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pPr>
        <w:jc w:val="center"/>
      </w:pPr>
      <w:r>
        <w:rPr>
          <w:rFonts w:ascii="黑体" w:hAnsi="黑体" w:eastAsia="黑体" w:cs="黑体"/>
          <w:b/>
          <w:color w:val="000000"/>
          <w:sz w:val="30"/>
        </w:rPr>
        <w:t>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asciiTheme="minorEastAsia" w:hAnsiTheme="minorEastAsia" w:eastAsiaTheme="minorEastAsia"/>
          <w:lang w:eastAsia="zh-CN"/>
        </w:rPr>
        <w:t>7</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Theme="minorEastAsia" w:hAnsiTheme="minorEastAsia" w:eastAsiaTheme="minorEastAsia"/>
          <w:lang w:eastAsia="zh-CN"/>
        </w:rPr>
        <w:t>10</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asciiTheme="minorEastAsia" w:hAnsiTheme="minorEastAsia" w:eastAsiaTheme="minorEastAsia"/>
          <w:lang w:eastAsia="zh-CN"/>
        </w:rPr>
        <w:t>11</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asciiTheme="minorEastAsia" w:hAnsiTheme="minorEastAsia" w:eastAsiaTheme="minorEastAsia"/>
          <w:lang w:eastAsia="zh-CN"/>
        </w:rPr>
        <w:t>14</w:t>
      </w:r>
      <w:r>
        <w:rPr>
          <w:rFonts w:hint="eastAsia" w:asciiTheme="minorEastAsia" w:hAnsiTheme="minor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15</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15</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16</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17</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17</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20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20</w:t>
      </w:r>
      <w:r>
        <w:rPr>
          <w:rFonts w:hint="eastAsia" w:eastAsiaTheme="minorEastAsia"/>
          <w:lang w:eastAsia="zh-CN"/>
        </w:rPr>
        <w:fldChar w:fldCharType="end"/>
      </w:r>
    </w:p>
    <w:p>
      <w:pPr>
        <w:pStyle w:val="32"/>
        <w:tabs>
          <w:tab w:val="right" w:leader="dot" w:pos="14562"/>
        </w:tabs>
        <w:jc w:val="center"/>
      </w:pPr>
      <w:r>
        <w:fldChar w:fldCharType="begin"/>
      </w:r>
      <w:r>
        <w:instrText xml:space="preserve"> HYPERLINK \l "_Toc_3_3_0000000017" </w:instrText>
      </w:r>
      <w:r>
        <w:fldChar w:fldCharType="separate"/>
      </w:r>
      <w:r>
        <w:t>八、名词解释</w:t>
      </w:r>
      <w:r>
        <w:tab/>
      </w:r>
      <w:r>
        <w:rPr>
          <w:rFonts w:hint="eastAsia" w:eastAsiaTheme="minorEastAsia"/>
          <w:lang w:eastAsia="zh-CN"/>
        </w:rPr>
        <w:t>21</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22</w:t>
      </w:r>
      <w:r>
        <w:rPr>
          <w:rFonts w:hint="eastAsia" w:eastAsiaTheme="minorEastAsia"/>
          <w:lang w:eastAsia="zh-CN"/>
        </w:rPr>
        <w:fldChar w:fldCharType="end"/>
      </w:r>
    </w:p>
    <w:p>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73.61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73.61</w:t>
            </w:r>
          </w:p>
        </w:tc>
        <w:tc>
          <w:tcPr>
            <w:tcW w:w="4535" w:type="dxa"/>
            <w:vAlign w:val="center"/>
          </w:tcPr>
          <w:p>
            <w:pPr>
              <w:pStyle w:val="14"/>
            </w:pPr>
            <w:r>
              <w:t>本年支出合计</w:t>
            </w:r>
          </w:p>
        </w:tc>
        <w:tc>
          <w:tcPr>
            <w:tcW w:w="2126" w:type="dxa"/>
            <w:vAlign w:val="center"/>
          </w:tcPr>
          <w:p>
            <w:pPr>
              <w:pStyle w:val="15"/>
            </w:pPr>
            <w:r>
              <w:t>73.61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73.61</w:t>
            </w:r>
          </w:p>
        </w:tc>
        <w:tc>
          <w:tcPr>
            <w:tcW w:w="4535" w:type="dxa"/>
            <w:vAlign w:val="center"/>
          </w:tcPr>
          <w:p>
            <w:pPr>
              <w:pStyle w:val="14"/>
            </w:pPr>
            <w:r>
              <w:t>支出总计</w:t>
            </w:r>
          </w:p>
        </w:tc>
        <w:tc>
          <w:tcPr>
            <w:tcW w:w="2126" w:type="dxa"/>
            <w:vAlign w:val="center"/>
          </w:tcPr>
          <w:p>
            <w:pPr>
              <w:pStyle w:val="15"/>
            </w:pPr>
            <w:r>
              <w:t>73.61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73.61</w:t>
            </w:r>
          </w:p>
        </w:tc>
        <w:tc>
          <w:tcPr>
            <w:tcW w:w="1134" w:type="dxa"/>
            <w:vAlign w:val="center"/>
          </w:tcPr>
          <w:p>
            <w:pPr>
              <w:pStyle w:val="15"/>
            </w:pPr>
            <w:r>
              <w:t>73.61</w:t>
            </w:r>
          </w:p>
        </w:tc>
        <w:tc>
          <w:tcPr>
            <w:tcW w:w="1134" w:type="dxa"/>
            <w:vAlign w:val="center"/>
          </w:tcPr>
          <w:p>
            <w:pPr>
              <w:pStyle w:val="15"/>
            </w:pPr>
            <w:r>
              <w:t>73.61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13.01</w:t>
            </w:r>
          </w:p>
        </w:tc>
        <w:tc>
          <w:tcPr>
            <w:tcW w:w="1134" w:type="dxa"/>
            <w:vAlign w:val="center"/>
          </w:tcPr>
          <w:p>
            <w:pPr>
              <w:pStyle w:val="11"/>
            </w:pPr>
            <w:r>
              <w:t>13.01</w:t>
            </w:r>
          </w:p>
        </w:tc>
        <w:tc>
          <w:tcPr>
            <w:tcW w:w="1134" w:type="dxa"/>
            <w:vAlign w:val="center"/>
          </w:tcPr>
          <w:p>
            <w:pPr>
              <w:pStyle w:val="11"/>
            </w:pPr>
            <w:r>
              <w:t>13.01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13.01</w:t>
            </w:r>
          </w:p>
        </w:tc>
        <w:tc>
          <w:tcPr>
            <w:tcW w:w="1134" w:type="dxa"/>
            <w:vAlign w:val="center"/>
          </w:tcPr>
          <w:p>
            <w:pPr>
              <w:pStyle w:val="11"/>
            </w:pPr>
            <w:r>
              <w:t>13.01</w:t>
            </w:r>
          </w:p>
        </w:tc>
        <w:tc>
          <w:tcPr>
            <w:tcW w:w="1134" w:type="dxa"/>
            <w:vAlign w:val="center"/>
          </w:tcPr>
          <w:p>
            <w:pPr>
              <w:pStyle w:val="11"/>
            </w:pPr>
            <w:r>
              <w:t>13.01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6.77</w:t>
            </w:r>
          </w:p>
        </w:tc>
        <w:tc>
          <w:tcPr>
            <w:tcW w:w="1134" w:type="dxa"/>
            <w:vAlign w:val="center"/>
          </w:tcPr>
          <w:p>
            <w:pPr>
              <w:pStyle w:val="11"/>
            </w:pPr>
            <w:r>
              <w:t>6.77</w:t>
            </w:r>
          </w:p>
        </w:tc>
        <w:tc>
          <w:tcPr>
            <w:tcW w:w="1134" w:type="dxa"/>
            <w:vAlign w:val="center"/>
          </w:tcPr>
          <w:p>
            <w:pPr>
              <w:pStyle w:val="11"/>
            </w:pPr>
            <w:r>
              <w:t>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r>
              <w:t>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2130101</w:t>
            </w:r>
          </w:p>
        </w:tc>
        <w:tc>
          <w:tcPr>
            <w:tcW w:w="1559" w:type="dxa"/>
            <w:vAlign w:val="center"/>
          </w:tcPr>
          <w:p>
            <w:pPr>
              <w:pStyle w:val="12"/>
            </w:pPr>
            <w:r>
              <w:t>行政运行</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r>
              <w:t>53.37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r>
              <w:t>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73.61</w:t>
            </w:r>
          </w:p>
        </w:tc>
        <w:tc>
          <w:tcPr>
            <w:tcW w:w="1361" w:type="dxa"/>
            <w:vAlign w:val="center"/>
          </w:tcPr>
          <w:p>
            <w:pPr>
              <w:pStyle w:val="15"/>
            </w:pPr>
            <w:r>
              <w:t>73.61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13.01</w:t>
            </w:r>
          </w:p>
        </w:tc>
        <w:tc>
          <w:tcPr>
            <w:tcW w:w="1361" w:type="dxa"/>
            <w:vAlign w:val="center"/>
          </w:tcPr>
          <w:p>
            <w:pPr>
              <w:pStyle w:val="11"/>
            </w:pPr>
            <w:r>
              <w:t>13.01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13.01</w:t>
            </w:r>
          </w:p>
        </w:tc>
        <w:tc>
          <w:tcPr>
            <w:tcW w:w="1361" w:type="dxa"/>
            <w:vAlign w:val="center"/>
          </w:tcPr>
          <w:p>
            <w:pPr>
              <w:pStyle w:val="11"/>
            </w:pPr>
            <w:r>
              <w:t>13.01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6.77</w:t>
            </w:r>
          </w:p>
        </w:tc>
        <w:tc>
          <w:tcPr>
            <w:tcW w:w="1361" w:type="dxa"/>
            <w:vAlign w:val="center"/>
          </w:tcPr>
          <w:p>
            <w:pPr>
              <w:pStyle w:val="11"/>
            </w:pPr>
            <w:r>
              <w:t>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6.24</w:t>
            </w:r>
          </w:p>
        </w:tc>
        <w:tc>
          <w:tcPr>
            <w:tcW w:w="1361" w:type="dxa"/>
            <w:vAlign w:val="center"/>
          </w:tcPr>
          <w:p>
            <w:pPr>
              <w:pStyle w:val="11"/>
            </w:pPr>
            <w:r>
              <w:t>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53.37</w:t>
            </w:r>
          </w:p>
        </w:tc>
        <w:tc>
          <w:tcPr>
            <w:tcW w:w="1361" w:type="dxa"/>
            <w:vAlign w:val="center"/>
          </w:tcPr>
          <w:p>
            <w:pPr>
              <w:pStyle w:val="11"/>
            </w:pPr>
            <w:r>
              <w:t>53.37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53.37</w:t>
            </w:r>
          </w:p>
        </w:tc>
        <w:tc>
          <w:tcPr>
            <w:tcW w:w="1361" w:type="dxa"/>
            <w:vAlign w:val="center"/>
          </w:tcPr>
          <w:p>
            <w:pPr>
              <w:pStyle w:val="11"/>
            </w:pPr>
            <w:r>
              <w:t>53.37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2130101</w:t>
            </w:r>
          </w:p>
        </w:tc>
        <w:tc>
          <w:tcPr>
            <w:tcW w:w="4535" w:type="dxa"/>
            <w:vAlign w:val="center"/>
          </w:tcPr>
          <w:p>
            <w:pPr>
              <w:pStyle w:val="12"/>
            </w:pPr>
            <w:r>
              <w:t>行政运行</w:t>
            </w:r>
          </w:p>
        </w:tc>
        <w:tc>
          <w:tcPr>
            <w:tcW w:w="1361" w:type="dxa"/>
            <w:vAlign w:val="center"/>
          </w:tcPr>
          <w:p>
            <w:pPr>
              <w:pStyle w:val="11"/>
            </w:pPr>
            <w:r>
              <w:t>53.37</w:t>
            </w:r>
          </w:p>
        </w:tc>
        <w:tc>
          <w:tcPr>
            <w:tcW w:w="1361" w:type="dxa"/>
            <w:vAlign w:val="center"/>
          </w:tcPr>
          <w:p>
            <w:pPr>
              <w:pStyle w:val="11"/>
            </w:pPr>
            <w:r>
              <w:t>53.37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4.54</w:t>
            </w:r>
          </w:p>
        </w:tc>
        <w:tc>
          <w:tcPr>
            <w:tcW w:w="1361" w:type="dxa"/>
            <w:vAlign w:val="center"/>
          </w:tcPr>
          <w:p>
            <w:pPr>
              <w:pStyle w:val="11"/>
            </w:pPr>
            <w:r>
              <w:t>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4.54</w:t>
            </w:r>
          </w:p>
        </w:tc>
        <w:tc>
          <w:tcPr>
            <w:tcW w:w="1361" w:type="dxa"/>
            <w:vAlign w:val="center"/>
          </w:tcPr>
          <w:p>
            <w:pPr>
              <w:pStyle w:val="11"/>
            </w:pPr>
            <w:r>
              <w:t>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4.54</w:t>
            </w:r>
          </w:p>
        </w:tc>
        <w:tc>
          <w:tcPr>
            <w:tcW w:w="1361" w:type="dxa"/>
            <w:vAlign w:val="center"/>
          </w:tcPr>
          <w:p>
            <w:pPr>
              <w:pStyle w:val="11"/>
            </w:pPr>
            <w:r>
              <w:t>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73.61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13.01</w:t>
            </w:r>
          </w:p>
        </w:tc>
        <w:tc>
          <w:tcPr>
            <w:tcW w:w="1474" w:type="dxa"/>
            <w:vAlign w:val="center"/>
          </w:tcPr>
          <w:p>
            <w:pPr>
              <w:pStyle w:val="11"/>
            </w:pPr>
            <w:r>
              <w:t>13.01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2.69</w:t>
            </w:r>
          </w:p>
        </w:tc>
        <w:tc>
          <w:tcPr>
            <w:tcW w:w="1474" w:type="dxa"/>
            <w:vAlign w:val="center"/>
          </w:tcPr>
          <w:p>
            <w:pPr>
              <w:pStyle w:val="11"/>
            </w:pPr>
            <w:r>
              <w:t>2.69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53.37</w:t>
            </w:r>
          </w:p>
        </w:tc>
        <w:tc>
          <w:tcPr>
            <w:tcW w:w="1474" w:type="dxa"/>
            <w:vAlign w:val="center"/>
          </w:tcPr>
          <w:p>
            <w:pPr>
              <w:pStyle w:val="11"/>
            </w:pPr>
            <w:r>
              <w:t>53.37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4.54</w:t>
            </w:r>
          </w:p>
        </w:tc>
        <w:tc>
          <w:tcPr>
            <w:tcW w:w="1474" w:type="dxa"/>
            <w:vAlign w:val="center"/>
          </w:tcPr>
          <w:p>
            <w:pPr>
              <w:pStyle w:val="11"/>
            </w:pPr>
            <w:r>
              <w:t>4.54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73.61</w:t>
            </w:r>
          </w:p>
        </w:tc>
        <w:tc>
          <w:tcPr>
            <w:tcW w:w="3402" w:type="dxa"/>
            <w:vAlign w:val="center"/>
          </w:tcPr>
          <w:p>
            <w:pPr>
              <w:pStyle w:val="14"/>
            </w:pPr>
            <w:r>
              <w:t>本年支出合计</w:t>
            </w:r>
          </w:p>
        </w:tc>
        <w:tc>
          <w:tcPr>
            <w:tcW w:w="1474" w:type="dxa"/>
            <w:vAlign w:val="center"/>
          </w:tcPr>
          <w:p>
            <w:pPr>
              <w:pStyle w:val="15"/>
            </w:pPr>
            <w:r>
              <w:t>73.61</w:t>
            </w:r>
          </w:p>
        </w:tc>
        <w:tc>
          <w:tcPr>
            <w:tcW w:w="1474" w:type="dxa"/>
            <w:vAlign w:val="center"/>
          </w:tcPr>
          <w:p>
            <w:pPr>
              <w:pStyle w:val="15"/>
            </w:pPr>
            <w:r>
              <w:t>73.61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73.61</w:t>
            </w:r>
          </w:p>
        </w:tc>
        <w:tc>
          <w:tcPr>
            <w:tcW w:w="3402" w:type="dxa"/>
            <w:vAlign w:val="center"/>
          </w:tcPr>
          <w:p>
            <w:pPr>
              <w:pStyle w:val="14"/>
            </w:pPr>
            <w:r>
              <w:t>支出总计</w:t>
            </w:r>
          </w:p>
        </w:tc>
        <w:tc>
          <w:tcPr>
            <w:tcW w:w="1474" w:type="dxa"/>
            <w:vAlign w:val="center"/>
          </w:tcPr>
          <w:p>
            <w:pPr>
              <w:pStyle w:val="15"/>
            </w:pPr>
            <w:r>
              <w:t>73.61</w:t>
            </w:r>
          </w:p>
        </w:tc>
        <w:tc>
          <w:tcPr>
            <w:tcW w:w="1474" w:type="dxa"/>
            <w:vAlign w:val="center"/>
          </w:tcPr>
          <w:p>
            <w:pPr>
              <w:pStyle w:val="15"/>
            </w:pPr>
            <w:r>
              <w:t>73.61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73.61</w:t>
            </w:r>
          </w:p>
        </w:tc>
        <w:tc>
          <w:tcPr>
            <w:tcW w:w="2551" w:type="dxa"/>
            <w:vAlign w:val="center"/>
          </w:tcPr>
          <w:p>
            <w:pPr>
              <w:pStyle w:val="15"/>
            </w:pPr>
            <w:r>
              <w:t>73.61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13.01</w:t>
            </w:r>
          </w:p>
        </w:tc>
        <w:tc>
          <w:tcPr>
            <w:tcW w:w="2551" w:type="dxa"/>
            <w:vAlign w:val="center"/>
          </w:tcPr>
          <w:p>
            <w:pPr>
              <w:pStyle w:val="11"/>
            </w:pPr>
            <w:r>
              <w:t>13.01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13.01</w:t>
            </w:r>
          </w:p>
        </w:tc>
        <w:tc>
          <w:tcPr>
            <w:tcW w:w="2551" w:type="dxa"/>
            <w:vAlign w:val="center"/>
          </w:tcPr>
          <w:p>
            <w:pPr>
              <w:pStyle w:val="11"/>
            </w:pPr>
            <w:r>
              <w:t>13.01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53.37</w:t>
            </w:r>
          </w:p>
        </w:tc>
        <w:tc>
          <w:tcPr>
            <w:tcW w:w="2551" w:type="dxa"/>
            <w:vAlign w:val="center"/>
          </w:tcPr>
          <w:p>
            <w:pPr>
              <w:pStyle w:val="11"/>
            </w:pPr>
            <w:r>
              <w:t>53.37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53.37</w:t>
            </w:r>
          </w:p>
        </w:tc>
        <w:tc>
          <w:tcPr>
            <w:tcW w:w="2551" w:type="dxa"/>
            <w:vAlign w:val="center"/>
          </w:tcPr>
          <w:p>
            <w:pPr>
              <w:pStyle w:val="11"/>
            </w:pPr>
            <w:r>
              <w:t>53.37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2130101</w:t>
            </w:r>
          </w:p>
        </w:tc>
        <w:tc>
          <w:tcPr>
            <w:tcW w:w="4535" w:type="dxa"/>
            <w:vAlign w:val="center"/>
          </w:tcPr>
          <w:p>
            <w:pPr>
              <w:pStyle w:val="12"/>
            </w:pPr>
            <w:r>
              <w:t>行政运行</w:t>
            </w:r>
          </w:p>
        </w:tc>
        <w:tc>
          <w:tcPr>
            <w:tcW w:w="2551" w:type="dxa"/>
            <w:vAlign w:val="center"/>
          </w:tcPr>
          <w:p>
            <w:pPr>
              <w:pStyle w:val="11"/>
            </w:pPr>
            <w:r>
              <w:t>53.37</w:t>
            </w:r>
          </w:p>
        </w:tc>
        <w:tc>
          <w:tcPr>
            <w:tcW w:w="2551" w:type="dxa"/>
            <w:vAlign w:val="center"/>
          </w:tcPr>
          <w:p>
            <w:pPr>
              <w:pStyle w:val="11"/>
            </w:pPr>
            <w:r>
              <w:t>53.37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73.61</w:t>
            </w:r>
          </w:p>
        </w:tc>
        <w:tc>
          <w:tcPr>
            <w:tcW w:w="2551" w:type="dxa"/>
            <w:vAlign w:val="center"/>
          </w:tcPr>
          <w:p>
            <w:pPr>
              <w:pStyle w:val="15"/>
            </w:pPr>
            <w:r>
              <w:t>66.95</w:t>
            </w:r>
          </w:p>
        </w:tc>
        <w:tc>
          <w:tcPr>
            <w:tcW w:w="2551" w:type="dxa"/>
            <w:vAlign w:val="center"/>
          </w:tcPr>
          <w:p>
            <w:pPr>
              <w:pStyle w:val="15"/>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60.18</w:t>
            </w:r>
          </w:p>
        </w:tc>
        <w:tc>
          <w:tcPr>
            <w:tcW w:w="2551" w:type="dxa"/>
            <w:vAlign w:val="center"/>
          </w:tcPr>
          <w:p>
            <w:pPr>
              <w:pStyle w:val="11"/>
            </w:pPr>
            <w:r>
              <w:t>60.18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38.56</w:t>
            </w:r>
          </w:p>
        </w:tc>
        <w:tc>
          <w:tcPr>
            <w:tcW w:w="2551" w:type="dxa"/>
            <w:vAlign w:val="center"/>
          </w:tcPr>
          <w:p>
            <w:pPr>
              <w:pStyle w:val="11"/>
            </w:pPr>
            <w:r>
              <w:t>38.56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2.15</w:t>
            </w:r>
          </w:p>
        </w:tc>
        <w:tc>
          <w:tcPr>
            <w:tcW w:w="2551" w:type="dxa"/>
            <w:vAlign w:val="center"/>
          </w:tcPr>
          <w:p>
            <w:pPr>
              <w:pStyle w:val="11"/>
            </w:pPr>
            <w:r>
              <w:t>2.15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6.24</w:t>
            </w:r>
          </w:p>
        </w:tc>
        <w:tc>
          <w:tcPr>
            <w:tcW w:w="2551" w:type="dxa"/>
            <w:vAlign w:val="center"/>
          </w:tcPr>
          <w:p>
            <w:pPr>
              <w:pStyle w:val="11"/>
            </w:pPr>
            <w:r>
              <w:t>6.24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0.19</w:t>
            </w:r>
          </w:p>
        </w:tc>
        <w:tc>
          <w:tcPr>
            <w:tcW w:w="2551" w:type="dxa"/>
            <w:vAlign w:val="center"/>
          </w:tcPr>
          <w:p>
            <w:pPr>
              <w:pStyle w:val="11"/>
            </w:pPr>
            <w:r>
              <w:t>0.19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4.54</w:t>
            </w:r>
          </w:p>
        </w:tc>
        <w:tc>
          <w:tcPr>
            <w:tcW w:w="2551" w:type="dxa"/>
            <w:vAlign w:val="center"/>
          </w:tcPr>
          <w:p>
            <w:pPr>
              <w:pStyle w:val="11"/>
            </w:pPr>
            <w:r>
              <w:t>4.54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6.66</w:t>
            </w:r>
          </w:p>
        </w:tc>
        <w:tc>
          <w:tcPr>
            <w:tcW w:w="2551" w:type="dxa"/>
            <w:vAlign w:val="center"/>
          </w:tcPr>
          <w:p>
            <w:pPr>
              <w:pStyle w:val="11"/>
            </w:pPr>
          </w:p>
        </w:tc>
        <w:tc>
          <w:tcPr>
            <w:tcW w:w="2551" w:type="dxa"/>
            <w:vAlign w:val="center"/>
          </w:tcPr>
          <w:p>
            <w:pPr>
              <w:pStyle w:val="11"/>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0.60</w:t>
            </w:r>
          </w:p>
        </w:tc>
        <w:tc>
          <w:tcPr>
            <w:tcW w:w="2551" w:type="dxa"/>
            <w:vAlign w:val="center"/>
          </w:tcPr>
          <w:p>
            <w:pPr>
              <w:pStyle w:val="11"/>
            </w:pPr>
          </w:p>
        </w:tc>
        <w:tc>
          <w:tcPr>
            <w:tcW w:w="2551"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6.77</w:t>
            </w:r>
          </w:p>
        </w:tc>
        <w:tc>
          <w:tcPr>
            <w:tcW w:w="2551" w:type="dxa"/>
            <w:vAlign w:val="center"/>
          </w:tcPr>
          <w:p>
            <w:pPr>
              <w:pStyle w:val="11"/>
            </w:pPr>
            <w:r>
              <w:t>6.77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rFonts w:eastAsiaTheme="minorEastAsia"/>
                <w:lang w:eastAsia="zh-CN"/>
              </w:rPr>
            </w:pPr>
            <w:r>
              <w:t>201成安县农</w:t>
            </w:r>
            <w:r>
              <w:rPr>
                <w:rFonts w:hint="eastAsia" w:asciiTheme="minorEastAsia" w:hAnsiTheme="minorEastAsia" w:eastAsiaTheme="minorEastAsia"/>
                <w:lang w:eastAsia="zh-CN"/>
              </w:rPr>
              <w:t>业服务协会办公室</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成安县农民合作组织服务中心2023年部门预算信息公开情况说明</w:t>
      </w:r>
    </w:p>
    <w:p>
      <w:pPr>
        <w:jc w:val="center"/>
      </w:pPr>
      <w:r>
        <w:rPr>
          <w:rFonts w:ascii="方正小标宋_GBK" w:hAnsi="方正小标宋_GBK" w:eastAsia="方正小标宋_GBK" w:cs="方正小标宋_GBK"/>
          <w:color w:val="000000"/>
          <w:sz w:val="44"/>
        </w:rPr>
        <w:t>成安县农</w:t>
      </w:r>
      <w:r>
        <w:rPr>
          <w:rFonts w:hint="eastAsia" w:cs="方正小标宋_GBK" w:asciiTheme="minorEastAsia" w:hAnsiTheme="minorEastAsia" w:eastAsiaTheme="minorEastAsia"/>
          <w:color w:val="000000"/>
          <w:sz w:val="44"/>
          <w:lang w:eastAsia="zh-CN"/>
        </w:rPr>
        <w:t>业服务协会办公室</w:t>
      </w:r>
      <w:r>
        <w:rPr>
          <w:rFonts w:ascii="方正小标宋_GBK" w:hAnsi="方正小标宋_GBK" w:eastAsia="方正小标宋_GBK" w:cs="方正小标宋_GBK"/>
          <w:color w:val="000000"/>
          <w:sz w:val="44"/>
        </w:rPr>
        <w:t>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预算法》、《地方预决算公开操作规程》和《关于进一步推进预算公开工作的实施意见》规定，现将成安县农</w:t>
      </w:r>
      <w:r>
        <w:rPr>
          <w:rFonts w:hint="eastAsia" w:asciiTheme="minorEastAsia" w:hAnsiTheme="minorEastAsia" w:eastAsiaTheme="minorEastAsia"/>
          <w:color w:val="000000"/>
          <w:sz w:val="28"/>
          <w:lang w:eastAsia="zh-CN"/>
        </w:rPr>
        <w:t>业服务协会办公室</w:t>
      </w:r>
      <w:r>
        <w:rPr>
          <w:rFonts w:eastAsia="方正仿宋_GBK"/>
          <w:color w:val="000000"/>
          <w:sz w:val="28"/>
        </w:rPr>
        <w:t>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bookmarkStart w:id="18" w:name="_GoBack"/>
      <w:bookmarkEnd w:id="18"/>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rPr>
        <w:t>1、负责全县农协系统工作人员的业务培训和农民专业合作社规范提升，积极开展防范农民专业合作社非法集资宣传活动，组织有关专家开展技术咨询和专业技术培训。</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2、负责收集、筛选、发布农民急需的种植、养殖、加工和专业技术培训。</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3、负责指导全县农民专业合作社的建设以及推荐申报、参评、监测国家、省、市级示范社工作，以及对上争取对全县各类农民专业合作社的扶持资金和落实各项优惠扶持政策。</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4、负责推荐申报、参评、监测省、市、县三级农业产业化重点龙头企业工作，以及对上争取对龙头企业的扶持资金和落实各项优惠扶持政策。</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完成县委、县政府交办的其它工作。</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spacing w:line="360" w:lineRule="auto"/>
        <w:ind w:firstLine="640" w:firstLineChars="200"/>
        <w:rPr>
          <w:rFonts w:eastAsiaTheme="minorEastAsia"/>
          <w:lang w:eastAsia="zh-CN"/>
        </w:rPr>
      </w:pPr>
      <w:r>
        <w:rPr>
          <w:rFonts w:hint="eastAsia" w:ascii="仿宋" w:hAnsi="仿宋" w:eastAsia="仿宋" w:cs="仿宋"/>
          <w:bCs/>
          <w:sz w:val="32"/>
          <w:szCs w:val="32"/>
        </w:rPr>
        <w:t>人员编制5名，其中领导职数</w:t>
      </w:r>
      <w:r>
        <w:rPr>
          <w:rFonts w:hint="eastAsia" w:ascii="仿宋" w:hAnsi="仿宋" w:eastAsia="仿宋" w:cs="仿宋"/>
          <w:bCs/>
          <w:sz w:val="32"/>
          <w:szCs w:val="32"/>
          <w:lang w:eastAsia="zh-CN"/>
        </w:rPr>
        <w:t>2</w:t>
      </w:r>
      <w:r>
        <w:rPr>
          <w:rFonts w:hint="eastAsia" w:ascii="仿宋" w:hAnsi="仿宋" w:eastAsia="仿宋" w:cs="仿宋"/>
          <w:bCs/>
          <w:sz w:val="32"/>
          <w:szCs w:val="32"/>
        </w:rPr>
        <w:t>个，股级职数1个。</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rFonts w:hint="eastAsia" w:eastAsiaTheme="minorEastAsia"/>
                <w:lang w:eastAsia="zh-CN"/>
              </w:rPr>
            </w:pPr>
            <w:r>
              <w:t>成安县</w:t>
            </w:r>
            <w:r>
              <w:rPr>
                <w:rFonts w:hint="eastAsia" w:eastAsiaTheme="minorEastAsia"/>
                <w:lang w:eastAsia="zh-CN"/>
              </w:rPr>
              <w:t>农业服务协会办公室</w:t>
            </w:r>
          </w:p>
        </w:tc>
        <w:tc>
          <w:tcPr>
            <w:tcW w:w="1843" w:type="dxa"/>
            <w:vAlign w:val="center"/>
          </w:tcPr>
          <w:p>
            <w:pPr>
              <w:pStyle w:val="13"/>
              <w:rPr>
                <w:rFonts w:hint="eastAsia" w:eastAsiaTheme="minorEastAsia"/>
                <w:lang w:eastAsia="zh-CN"/>
              </w:rPr>
            </w:pPr>
            <w:r>
              <w:rPr>
                <w:rFonts w:hint="eastAsia" w:eastAsiaTheme="minorEastAsia"/>
                <w:lang w:eastAsia="zh-CN"/>
              </w:rPr>
              <w:t>全额</w:t>
            </w:r>
            <w:r>
              <w:t>事业</w:t>
            </w:r>
            <w:r>
              <w:rPr>
                <w:rFonts w:hint="eastAsia" w:eastAsiaTheme="minorEastAsia"/>
                <w:lang w:eastAsia="zh-CN"/>
              </w:rPr>
              <w:t>单位</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按照预算管理有关规定，目前我省部门预算的编制实行综合预算管理，即全部收入和支出都反映在预算中。成安县农民合作组织服务中心机关及所属事业单位的收支包含在部门预算中。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numPr>
          <w:ilvl w:val="0"/>
          <w:numId w:val="1"/>
        </w:numPr>
        <w:spacing w:line="360" w:lineRule="auto"/>
        <w:ind w:left="480" w:leftChars="200"/>
        <w:rPr>
          <w:rFonts w:ascii="仿宋" w:hAnsi="仿宋" w:eastAsia="仿宋" w:cs="仿宋"/>
          <w:sz w:val="32"/>
          <w:szCs w:val="32"/>
        </w:rPr>
      </w:pPr>
      <w:r>
        <w:rPr>
          <w:rFonts w:hint="eastAsia" w:ascii="仿宋" w:hAnsi="仿宋" w:eastAsia="仿宋" w:cs="仿宋"/>
          <w:sz w:val="32"/>
          <w:szCs w:val="32"/>
        </w:rPr>
        <w:t>收入说明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eastAsia="zh-CN"/>
        </w:rPr>
        <w:t>3</w:t>
      </w:r>
      <w:r>
        <w:rPr>
          <w:rFonts w:hint="eastAsia" w:ascii="仿宋" w:hAnsi="仿宋" w:eastAsia="仿宋" w:cs="仿宋"/>
          <w:sz w:val="32"/>
          <w:szCs w:val="32"/>
        </w:rPr>
        <w:t>年预算收入为</w:t>
      </w:r>
      <w:r>
        <w:rPr>
          <w:rFonts w:hint="eastAsia" w:ascii="仿宋" w:hAnsi="仿宋" w:eastAsia="仿宋" w:cs="仿宋"/>
          <w:sz w:val="32"/>
          <w:szCs w:val="32"/>
          <w:lang w:eastAsia="zh-CN"/>
        </w:rPr>
        <w:t>73.61</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73.61</w:t>
      </w:r>
      <w:r>
        <w:rPr>
          <w:rFonts w:hint="eastAsia" w:ascii="仿宋" w:hAnsi="仿宋" w:eastAsia="仿宋" w:cs="仿宋"/>
          <w:sz w:val="32"/>
          <w:szCs w:val="32"/>
        </w:rPr>
        <w:t>万元，政府性基金收入0万元，国有资本经营收入0万元，事业收入0万元，其他收入0万元。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2、支出说明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eastAsia="zh-CN"/>
        </w:rPr>
        <w:t>3</w:t>
      </w:r>
      <w:r>
        <w:rPr>
          <w:rFonts w:hint="eastAsia" w:ascii="仿宋" w:hAnsi="仿宋" w:eastAsia="仿宋" w:cs="仿宋"/>
          <w:sz w:val="32"/>
          <w:szCs w:val="32"/>
        </w:rPr>
        <w:t>年支出预算总额为</w:t>
      </w:r>
      <w:r>
        <w:rPr>
          <w:rFonts w:hint="eastAsia" w:ascii="仿宋" w:hAnsi="仿宋" w:eastAsia="仿宋" w:cs="仿宋"/>
          <w:sz w:val="32"/>
          <w:szCs w:val="32"/>
          <w:lang w:eastAsia="zh-CN"/>
        </w:rPr>
        <w:t>73.61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73.61</w:t>
      </w:r>
      <w:r>
        <w:rPr>
          <w:rFonts w:hint="eastAsia" w:ascii="仿宋" w:hAnsi="仿宋" w:eastAsia="仿宋" w:cs="仿宋"/>
          <w:sz w:val="32"/>
          <w:szCs w:val="32"/>
        </w:rPr>
        <w:t>万元，包括人员经费</w:t>
      </w:r>
      <w:r>
        <w:rPr>
          <w:rFonts w:hint="eastAsia" w:ascii="仿宋" w:hAnsi="仿宋" w:eastAsia="仿宋" w:cs="仿宋"/>
          <w:sz w:val="32"/>
          <w:szCs w:val="32"/>
          <w:lang w:eastAsia="zh-CN"/>
        </w:rPr>
        <w:t>66.95</w:t>
      </w:r>
      <w:r>
        <w:rPr>
          <w:rFonts w:hint="eastAsia" w:ascii="仿宋" w:hAnsi="仿宋" w:eastAsia="仿宋" w:cs="仿宋"/>
          <w:sz w:val="32"/>
          <w:szCs w:val="32"/>
        </w:rPr>
        <w:t>万元，日常公用经费安排</w:t>
      </w:r>
      <w:r>
        <w:rPr>
          <w:rFonts w:ascii="仿宋" w:hAnsi="仿宋" w:eastAsia="仿宋" w:cs="仿宋"/>
          <w:sz w:val="32"/>
          <w:szCs w:val="32"/>
        </w:rPr>
        <w:t>6.</w:t>
      </w:r>
      <w:r>
        <w:rPr>
          <w:rFonts w:hint="eastAsia" w:ascii="仿宋" w:hAnsi="仿宋" w:eastAsia="仿宋" w:cs="仿宋"/>
          <w:sz w:val="32"/>
          <w:szCs w:val="32"/>
          <w:lang w:eastAsia="zh-CN"/>
        </w:rPr>
        <w:t>66</w:t>
      </w:r>
      <w:r>
        <w:rPr>
          <w:rFonts w:hint="eastAsia" w:ascii="仿宋" w:hAnsi="仿宋" w:eastAsia="仿宋" w:cs="仿宋"/>
          <w:sz w:val="32"/>
          <w:szCs w:val="32"/>
        </w:rPr>
        <w:t>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3、比上年增减变化情况</w:t>
      </w:r>
    </w:p>
    <w:p>
      <w:pPr>
        <w:spacing w:line="560" w:lineRule="exact"/>
        <w:ind w:firstLine="640"/>
        <w:rPr>
          <w:rFonts w:ascii="仿宋" w:hAnsi="仿宋" w:eastAsia="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eastAsia="zh-CN"/>
        </w:rPr>
        <w:t>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73.61</w:t>
      </w:r>
      <w:r>
        <w:rPr>
          <w:rFonts w:hint="eastAsia" w:ascii="仿宋" w:hAnsi="仿宋" w:eastAsia="仿宋" w:cs="仿宋"/>
          <w:sz w:val="32"/>
          <w:szCs w:val="32"/>
        </w:rPr>
        <w:t>万元，202</w:t>
      </w:r>
      <w:r>
        <w:rPr>
          <w:rFonts w:hint="eastAsia" w:ascii="仿宋" w:hAnsi="仿宋" w:eastAsia="仿宋" w:cs="仿宋"/>
          <w:sz w:val="32"/>
          <w:szCs w:val="32"/>
          <w:lang w:eastAsia="zh-CN"/>
        </w:rPr>
        <w:t>2</w:t>
      </w:r>
      <w:r>
        <w:rPr>
          <w:rFonts w:hint="eastAsia" w:ascii="仿宋" w:hAnsi="仿宋" w:eastAsia="仿宋" w:cs="仿宋"/>
          <w:sz w:val="32"/>
          <w:szCs w:val="32"/>
        </w:rPr>
        <w:t>年成安县农业服务协会财政拨款收入</w:t>
      </w:r>
      <w:r>
        <w:rPr>
          <w:rFonts w:hint="eastAsia" w:ascii="仿宋" w:hAnsi="仿宋" w:eastAsia="仿宋" w:cs="仿宋"/>
          <w:sz w:val="32"/>
          <w:szCs w:val="32"/>
          <w:lang w:eastAsia="zh-CN"/>
        </w:rPr>
        <w:t>53.37</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增加20.24</w:t>
      </w:r>
      <w:r>
        <w:rPr>
          <w:rFonts w:hint="eastAsia" w:ascii="仿宋" w:hAnsi="仿宋" w:eastAsia="仿宋" w:cs="仿宋"/>
          <w:sz w:val="32"/>
          <w:szCs w:val="32"/>
        </w:rPr>
        <w:t>万元，</w:t>
      </w:r>
      <w:r>
        <w:rPr>
          <w:rFonts w:hint="eastAsia" w:ascii="仿宋" w:hAnsi="仿宋" w:eastAsia="仿宋" w:cs="仿宋_GB2312"/>
          <w:sz w:val="32"/>
          <w:szCs w:val="32"/>
        </w:rPr>
        <w:t>主要是202</w:t>
      </w:r>
      <w:r>
        <w:rPr>
          <w:rFonts w:hint="eastAsia" w:ascii="仿宋" w:hAnsi="仿宋" w:eastAsia="仿宋" w:cs="仿宋_GB2312"/>
          <w:sz w:val="32"/>
          <w:szCs w:val="32"/>
          <w:lang w:eastAsia="zh-CN"/>
        </w:rPr>
        <w:t>3</w:t>
      </w:r>
      <w:r>
        <w:rPr>
          <w:rFonts w:hint="eastAsia" w:ascii="仿宋" w:hAnsi="仿宋" w:eastAsia="仿宋" w:cs="仿宋_GB2312"/>
          <w:sz w:val="32"/>
          <w:szCs w:val="32"/>
        </w:rPr>
        <w:t>年人员</w:t>
      </w:r>
      <w:r>
        <w:rPr>
          <w:rFonts w:hint="eastAsia" w:ascii="仿宋" w:hAnsi="仿宋" w:eastAsia="仿宋" w:cs="仿宋_GB2312"/>
          <w:sz w:val="32"/>
          <w:szCs w:val="32"/>
          <w:lang w:eastAsia="zh-CN"/>
        </w:rPr>
        <w:t>经费增加</w:t>
      </w:r>
      <w:r>
        <w:rPr>
          <w:rFonts w:hint="eastAsia" w:ascii="仿宋" w:hAnsi="仿宋" w:eastAsia="仿宋" w:cs="仿宋_GB2312"/>
          <w:sz w:val="32"/>
          <w:szCs w:val="32"/>
        </w:rPr>
        <w:t>。</w:t>
      </w:r>
    </w:p>
    <w:p>
      <w:pPr>
        <w:spacing w:before="10" w:after="10" w:line="360" w:lineRule="auto"/>
        <w:ind w:firstLine="640"/>
        <w:outlineLvl w:val="2"/>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机关运行经费共计6</w:t>
      </w:r>
      <w:r>
        <w:rPr>
          <w:rFonts w:ascii="仿宋" w:hAnsi="仿宋" w:eastAsia="仿宋" w:cs="仿宋"/>
          <w:sz w:val="32"/>
          <w:szCs w:val="32"/>
        </w:rPr>
        <w:t>.</w:t>
      </w:r>
      <w:r>
        <w:rPr>
          <w:rFonts w:hint="eastAsia" w:ascii="仿宋" w:hAnsi="仿宋" w:eastAsia="仿宋" w:cs="仿宋"/>
          <w:sz w:val="32"/>
          <w:szCs w:val="32"/>
          <w:lang w:eastAsia="zh-CN"/>
        </w:rPr>
        <w:t>66</w:t>
      </w:r>
      <w:r>
        <w:rPr>
          <w:rFonts w:hint="eastAsia" w:ascii="仿宋" w:hAnsi="仿宋" w:eastAsia="仿宋" w:cs="仿宋"/>
          <w:sz w:val="32"/>
          <w:szCs w:val="32"/>
        </w:rPr>
        <w:t>万元，其中日常经费6</w:t>
      </w:r>
      <w:r>
        <w:rPr>
          <w:rFonts w:ascii="仿宋" w:hAnsi="仿宋" w:eastAsia="仿宋" w:cs="仿宋"/>
          <w:sz w:val="32"/>
          <w:szCs w:val="32"/>
        </w:rPr>
        <w:t>.</w:t>
      </w:r>
      <w:r>
        <w:rPr>
          <w:rFonts w:hint="eastAsia" w:ascii="仿宋" w:hAnsi="仿宋" w:eastAsia="仿宋" w:cs="仿宋"/>
          <w:sz w:val="32"/>
          <w:szCs w:val="32"/>
          <w:lang w:eastAsia="zh-CN"/>
        </w:rPr>
        <w:t>66</w:t>
      </w:r>
      <w:r>
        <w:rPr>
          <w:rFonts w:hint="eastAsia" w:ascii="仿宋" w:hAnsi="仿宋" w:eastAsia="仿宋" w:cs="仿宋"/>
          <w:sz w:val="32"/>
          <w:szCs w:val="32"/>
        </w:rPr>
        <w:t>万元，主要用于办公费、差旅、邮电费、公务交通补贴、印刷费等日常运行支出。</w:t>
      </w:r>
    </w:p>
    <w:p>
      <w:pPr>
        <w:spacing w:before="10" w:after="10" w:line="360" w:lineRule="auto"/>
        <w:ind w:firstLine="64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eastAsia="zh-CN"/>
        </w:rPr>
        <w:t>3</w:t>
      </w:r>
      <w:r>
        <w:rPr>
          <w:rFonts w:hint="eastAsia" w:ascii="仿宋" w:hAnsi="仿宋" w:eastAsia="仿宋" w:cs="仿宋"/>
          <w:sz w:val="32"/>
          <w:szCs w:val="32"/>
        </w:rPr>
        <w:t>年，我单位“三公”经费预算安排0万元，其中，因公出国（境）费0元，安排公务用车维护费</w:t>
      </w:r>
      <w:r>
        <w:rPr>
          <w:rFonts w:ascii="仿宋" w:hAnsi="仿宋" w:eastAsia="仿宋" w:cs="仿宋"/>
          <w:sz w:val="32"/>
          <w:szCs w:val="32"/>
        </w:rPr>
        <w:t>0</w:t>
      </w:r>
      <w:r>
        <w:rPr>
          <w:rFonts w:hint="eastAsia" w:ascii="仿宋" w:hAnsi="仿宋" w:eastAsia="仿宋" w:cs="仿宋"/>
          <w:sz w:val="32"/>
          <w:szCs w:val="32"/>
        </w:rPr>
        <w:t>元，（其中公务用车购置费0元，公务用车运行维护费0万元），公务接等费0万元，与202</w:t>
      </w:r>
      <w:r>
        <w:rPr>
          <w:rFonts w:hint="eastAsia" w:ascii="仿宋" w:hAnsi="仿宋" w:eastAsia="仿宋" w:cs="仿宋"/>
          <w:sz w:val="32"/>
          <w:szCs w:val="32"/>
          <w:lang w:eastAsia="zh-CN"/>
        </w:rPr>
        <w:t>2</w:t>
      </w:r>
      <w:r>
        <w:rPr>
          <w:rFonts w:hint="eastAsia" w:ascii="仿宋" w:hAnsi="仿宋" w:eastAsia="仿宋" w:cs="仿宋"/>
          <w:sz w:val="32"/>
          <w:szCs w:val="32"/>
        </w:rPr>
        <w:t>年持平。因公出国（境）费与202</w:t>
      </w:r>
      <w:r>
        <w:rPr>
          <w:rFonts w:hint="eastAsia" w:ascii="仿宋" w:hAnsi="仿宋" w:eastAsia="仿宋" w:cs="仿宋"/>
          <w:sz w:val="32"/>
          <w:szCs w:val="32"/>
          <w:lang w:eastAsia="zh-CN"/>
        </w:rPr>
        <w:t>2</w:t>
      </w:r>
      <w:r>
        <w:rPr>
          <w:rFonts w:hint="eastAsia" w:ascii="仿宋" w:hAnsi="仿宋" w:eastAsia="仿宋" w:cs="仿宋"/>
          <w:sz w:val="32"/>
          <w:szCs w:val="32"/>
        </w:rPr>
        <w:t>年持平，公务用车维护费与202</w:t>
      </w:r>
      <w:r>
        <w:rPr>
          <w:rFonts w:hint="eastAsia" w:ascii="仿宋" w:hAnsi="仿宋" w:eastAsia="仿宋" w:cs="仿宋"/>
          <w:sz w:val="32"/>
          <w:szCs w:val="32"/>
          <w:lang w:eastAsia="zh-CN"/>
        </w:rPr>
        <w:t>2</w:t>
      </w:r>
      <w:r>
        <w:rPr>
          <w:rFonts w:hint="eastAsia" w:ascii="仿宋" w:hAnsi="仿宋" w:eastAsia="仿宋" w:cs="仿宋"/>
          <w:sz w:val="32"/>
          <w:szCs w:val="32"/>
        </w:rPr>
        <w:t>年相比持平，主要是单位无公务用车。</w:t>
      </w:r>
    </w:p>
    <w:p>
      <w:pPr>
        <w:spacing w:before="10" w:after="10" w:line="360" w:lineRule="auto"/>
        <w:ind w:firstLine="640"/>
        <w:outlineLvl w:val="2"/>
        <w:rPr>
          <w:rFonts w:ascii="黑体" w:hAnsi="黑体" w:eastAsia="黑体" w:cs="黑体"/>
          <w:color w:val="000000"/>
          <w:sz w:val="32"/>
          <w:lang w:eastAsia="zh-CN"/>
        </w:rPr>
      </w:pPr>
      <w:bookmarkStart w:id="13" w:name="_Toc_3_3_0000000014"/>
      <w:r>
        <w:rPr>
          <w:rFonts w:ascii="黑体" w:hAnsi="黑体" w:eastAsia="黑体" w:cs="黑体"/>
          <w:color w:val="000000"/>
          <w:sz w:val="32"/>
        </w:rPr>
        <w:t>五、预算绩效信息</w:t>
      </w:r>
      <w:bookmarkEnd w:id="13"/>
    </w:p>
    <w:p>
      <w:pPr>
        <w:spacing w:line="500" w:lineRule="exact"/>
        <w:ind w:firstLine="560"/>
        <w:rPr>
          <w:rFonts w:eastAsiaTheme="minorEastAsia"/>
          <w:color w:val="000000"/>
          <w:sz w:val="28"/>
          <w:lang w:eastAsia="zh-CN"/>
        </w:rPr>
      </w:pPr>
      <w:r>
        <w:rPr>
          <w:rFonts w:eastAsia="方正仿宋_GBK"/>
          <w:color w:val="000000"/>
          <w:sz w:val="28"/>
        </w:rPr>
        <w:t>（一）总体绩效目标</w:t>
      </w:r>
    </w:p>
    <w:p>
      <w:pPr>
        <w:ind w:firstLine="640" w:firstLineChars="200"/>
        <w:rPr>
          <w:rFonts w:ascii="仿宋" w:hAnsi="仿宋" w:eastAsia="仿宋"/>
          <w:sz w:val="32"/>
          <w:szCs w:val="32"/>
        </w:rPr>
      </w:pPr>
      <w:r>
        <w:rPr>
          <w:rFonts w:hint="eastAsia" w:ascii="仿宋" w:hAnsi="仿宋" w:eastAsia="仿宋"/>
          <w:sz w:val="32"/>
          <w:szCs w:val="32"/>
        </w:rPr>
        <w:t>深入贯彻中央、省、市关于“三农”工作的总体部署，认真落实《</w:t>
      </w:r>
      <w:r>
        <w:rPr>
          <w:rFonts w:hint="eastAsia" w:ascii="仿宋" w:hAnsi="仿宋" w:eastAsia="仿宋"/>
          <w:sz w:val="32"/>
          <w:szCs w:val="32"/>
          <w:lang w:val="en-US" w:eastAsia="zh-CN"/>
        </w:rPr>
        <w:t>中华人民共和国</w:t>
      </w:r>
      <w:r>
        <w:rPr>
          <w:rFonts w:hint="eastAsia" w:ascii="仿宋" w:hAnsi="仿宋" w:eastAsia="仿宋"/>
          <w:sz w:val="32"/>
          <w:szCs w:val="32"/>
        </w:rPr>
        <w:t>农民专业合作社法》和《河北省农民合作社条例》，坚持“发展与规范并举，数量与质量并重”指导思想，深入开展规范化建设年行动，进一步解放思想、创新思维，推进全县农民合作社健康发展。发挥协会的平台作用，开展农资服务、技术服务、信息服务。鼓励合作社开展社会化服务，向生活、供销等方面延伸，拓宽服务领域。在队伍建设、增强实力、转变作风上实现大突破，推动全市农协工作更上新台阶。</w:t>
      </w:r>
    </w:p>
    <w:p>
      <w:pPr>
        <w:spacing w:before="10" w:after="10" w:line="360" w:lineRule="auto"/>
        <w:ind w:firstLine="640"/>
        <w:outlineLvl w:val="2"/>
        <w:rPr>
          <w:lang w:eastAsia="zh-CN"/>
        </w:rPr>
      </w:pPr>
    </w:p>
    <w:p>
      <w:pPr>
        <w:spacing w:line="500" w:lineRule="exact"/>
        <w:rPr>
          <w:rFonts w:eastAsiaTheme="minorEastAsia"/>
          <w:color w:val="000000"/>
          <w:sz w:val="28"/>
          <w:lang w:eastAsia="zh-CN"/>
        </w:rPr>
      </w:pPr>
      <w:r>
        <w:rPr>
          <w:rFonts w:hint="eastAsia" w:eastAsiaTheme="minorEastAsia"/>
          <w:lang w:eastAsia="zh-CN"/>
        </w:rPr>
        <w:t xml:space="preserve">     </w:t>
      </w:r>
      <w:r>
        <w:rPr>
          <w:rFonts w:eastAsia="方正仿宋_GBK"/>
          <w:color w:val="000000"/>
          <w:sz w:val="28"/>
        </w:rPr>
        <w:t>（二）分项绩效目标</w:t>
      </w:r>
    </w:p>
    <w:p>
      <w:pPr>
        <w:pStyle w:val="35"/>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规范提升农民专业合作社</w:t>
      </w:r>
      <w:r>
        <w:rPr>
          <w:rFonts w:hint="eastAsia" w:ascii="仿宋" w:hAnsi="仿宋" w:eastAsia="仿宋" w:cs="仿宋"/>
          <w:sz w:val="32"/>
          <w:szCs w:val="32"/>
          <w:lang w:eastAsia="zh-CN"/>
        </w:rPr>
        <w:t>。</w:t>
      </w:r>
      <w:r>
        <w:rPr>
          <w:rFonts w:hint="eastAsia" w:ascii="仿宋" w:hAnsi="仿宋" w:eastAsia="仿宋" w:cs="仿宋"/>
          <w:sz w:val="32"/>
          <w:szCs w:val="32"/>
        </w:rPr>
        <w:t>绩效目标：</w:t>
      </w:r>
      <w:r>
        <w:rPr>
          <w:rFonts w:hint="eastAsia" w:ascii="仿宋" w:hAnsi="仿宋" w:eastAsia="仿宋" w:cs="仿宋"/>
          <w:sz w:val="32"/>
          <w:szCs w:val="32"/>
          <w:lang w:eastAsia="zh-CN"/>
        </w:rPr>
        <w:t>提升、宣</w:t>
      </w:r>
      <w:r>
        <w:rPr>
          <w:rFonts w:hint="eastAsia" w:ascii="仿宋" w:hAnsi="仿宋" w:eastAsia="仿宋" w:cs="仿宋"/>
          <w:sz w:val="32"/>
          <w:szCs w:val="32"/>
        </w:rPr>
        <w:t>传、培训。产出目标：</w:t>
      </w:r>
      <w:r>
        <w:rPr>
          <w:rFonts w:hint="eastAsia" w:ascii="仿宋" w:hAnsi="仿宋" w:eastAsia="仿宋" w:cs="仿宋"/>
          <w:sz w:val="32"/>
          <w:szCs w:val="32"/>
          <w:lang w:eastAsia="zh-CN"/>
        </w:rPr>
        <w:t>促进示范合作社规范提升，带动更多会员农户增收致富；积极开展合作社防范非法集资宣传，</w:t>
      </w:r>
      <w:r>
        <w:rPr>
          <w:rFonts w:hint="eastAsia" w:ascii="仿宋" w:hAnsi="仿宋" w:eastAsia="仿宋" w:cs="仿宋"/>
          <w:sz w:val="32"/>
          <w:szCs w:val="32"/>
        </w:rPr>
        <w:t>让农民群众增强法制观念和风险防范意识，</w:t>
      </w:r>
      <w:r>
        <w:rPr>
          <w:rFonts w:hint="eastAsia" w:ascii="仿宋" w:hAnsi="仿宋" w:eastAsia="仿宋" w:cs="仿宋"/>
          <w:sz w:val="32"/>
          <w:szCs w:val="32"/>
          <w:lang w:eastAsia="zh-CN"/>
        </w:rPr>
        <w:t>充分利用图版、宣传册、宣传资料、条幅等多种形式，</w:t>
      </w:r>
      <w:r>
        <w:rPr>
          <w:rFonts w:hint="eastAsia" w:ascii="仿宋" w:hAnsi="仿宋" w:eastAsia="仿宋" w:cs="仿宋"/>
          <w:sz w:val="32"/>
          <w:szCs w:val="32"/>
        </w:rPr>
        <w:t>每个合作社悬挂防范非法集资条幅，发放宣传</w:t>
      </w:r>
      <w:r>
        <w:rPr>
          <w:rFonts w:hint="eastAsia" w:ascii="仿宋" w:hAnsi="仿宋" w:eastAsia="仿宋" w:cs="仿宋"/>
          <w:sz w:val="32"/>
          <w:szCs w:val="32"/>
          <w:lang w:eastAsia="zh-CN"/>
        </w:rPr>
        <w:t>册、宣传</w:t>
      </w:r>
      <w:r>
        <w:rPr>
          <w:rFonts w:hint="eastAsia" w:ascii="仿宋" w:hAnsi="仿宋" w:eastAsia="仿宋" w:cs="仿宋"/>
          <w:sz w:val="32"/>
          <w:szCs w:val="32"/>
        </w:rPr>
        <w:t>资料2</w:t>
      </w:r>
      <w:r>
        <w:rPr>
          <w:rFonts w:hint="eastAsia" w:ascii="仿宋" w:hAnsi="仿宋" w:eastAsia="仿宋" w:cs="仿宋"/>
          <w:sz w:val="32"/>
          <w:szCs w:val="32"/>
          <w:lang w:eastAsia="zh-CN"/>
        </w:rPr>
        <w:t>0</w:t>
      </w:r>
      <w:r>
        <w:rPr>
          <w:rFonts w:hint="eastAsia" w:ascii="仿宋" w:hAnsi="仿宋" w:eastAsia="仿宋" w:cs="仿宋"/>
          <w:sz w:val="32"/>
          <w:szCs w:val="32"/>
        </w:rPr>
        <w:t>000余份等。服务对象满意度目标：群众满意度达到9</w:t>
      </w:r>
      <w:r>
        <w:rPr>
          <w:rFonts w:hint="eastAsia" w:ascii="仿宋" w:hAnsi="仿宋" w:eastAsia="仿宋" w:cs="仿宋"/>
          <w:sz w:val="32"/>
          <w:szCs w:val="32"/>
          <w:lang w:eastAsia="zh-CN"/>
        </w:rPr>
        <w:t>5</w:t>
      </w:r>
      <w:r>
        <w:rPr>
          <w:rFonts w:hint="eastAsia" w:ascii="仿宋" w:hAnsi="仿宋" w:eastAsia="仿宋" w:cs="仿宋"/>
          <w:sz w:val="32"/>
          <w:szCs w:val="32"/>
        </w:rPr>
        <w:t>%以上。</w:t>
      </w:r>
    </w:p>
    <w:p>
      <w:pPr>
        <w:pStyle w:val="35"/>
        <w:ind w:firstLine="640"/>
        <w:rPr>
          <w:rFonts w:ascii="仿宋" w:hAnsi="仿宋" w:eastAsia="仿宋" w:cs="仿宋"/>
          <w:sz w:val="32"/>
          <w:szCs w:val="32"/>
        </w:rPr>
      </w:pPr>
      <w:r>
        <w:rPr>
          <w:rFonts w:hint="eastAsia" w:ascii="仿宋" w:hAnsi="仿宋" w:eastAsia="仿宋" w:cs="仿宋"/>
          <w:sz w:val="32"/>
          <w:szCs w:val="32"/>
        </w:rPr>
        <w:t>2、为龙头企业搞好服务，搞好银企对接，解决资金瓶颈，拓宽产品销售渠道。</w:t>
      </w:r>
    </w:p>
    <w:p>
      <w:pPr>
        <w:spacing w:line="500" w:lineRule="exact"/>
        <w:rPr>
          <w:rFonts w:eastAsiaTheme="minorEastAsia"/>
          <w:color w:val="000000"/>
          <w:sz w:val="28"/>
          <w:lang w:eastAsia="zh-CN"/>
        </w:rPr>
      </w:pPr>
      <w:r>
        <w:rPr>
          <w:rFonts w:hint="eastAsia" w:eastAsiaTheme="minorEastAsia"/>
          <w:lang w:eastAsia="zh-CN"/>
        </w:rPr>
        <w:t xml:space="preserve">     </w:t>
      </w:r>
      <w:r>
        <w:rPr>
          <w:rFonts w:eastAsia="方正仿宋_GBK"/>
          <w:color w:val="000000"/>
          <w:sz w:val="28"/>
        </w:rPr>
        <w:t>（三）工作保障措施</w:t>
      </w:r>
    </w:p>
    <w:p>
      <w:pPr>
        <w:pStyle w:val="35"/>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积极</w:t>
      </w:r>
      <w:r>
        <w:rPr>
          <w:rFonts w:hint="eastAsia" w:ascii="仿宋" w:hAnsi="仿宋" w:eastAsia="仿宋" w:cs="仿宋"/>
          <w:sz w:val="32"/>
          <w:szCs w:val="32"/>
        </w:rPr>
        <w:t>开展</w:t>
      </w:r>
      <w:r>
        <w:rPr>
          <w:rFonts w:hint="eastAsia" w:ascii="仿宋" w:hAnsi="仿宋" w:eastAsia="仿宋" w:cs="仿宋"/>
          <w:sz w:val="32"/>
          <w:szCs w:val="32"/>
          <w:lang w:eastAsia="zh-CN"/>
        </w:rPr>
        <w:t>政银企对接，</w:t>
      </w:r>
      <w:r>
        <w:rPr>
          <w:rFonts w:hint="eastAsia" w:ascii="仿宋" w:hAnsi="仿宋" w:eastAsia="仿宋" w:cs="仿宋"/>
          <w:sz w:val="32"/>
          <w:szCs w:val="32"/>
        </w:rPr>
        <w:t>解</w:t>
      </w:r>
      <w:r>
        <w:rPr>
          <w:rFonts w:hint="eastAsia" w:ascii="仿宋" w:hAnsi="仿宋" w:eastAsia="仿宋" w:cs="仿宋"/>
          <w:sz w:val="32"/>
          <w:szCs w:val="32"/>
          <w:lang w:eastAsia="zh-CN"/>
        </w:rPr>
        <w:t>决</w:t>
      </w:r>
      <w:r>
        <w:rPr>
          <w:rFonts w:hint="eastAsia" w:ascii="仿宋" w:hAnsi="仿宋" w:eastAsia="仿宋" w:cs="仿宋"/>
          <w:sz w:val="32"/>
          <w:szCs w:val="32"/>
        </w:rPr>
        <w:t>企业</w:t>
      </w:r>
      <w:r>
        <w:rPr>
          <w:rFonts w:hint="eastAsia" w:ascii="仿宋" w:hAnsi="仿宋" w:eastAsia="仿宋" w:cs="仿宋"/>
          <w:sz w:val="32"/>
          <w:szCs w:val="32"/>
          <w:lang w:eastAsia="zh-CN"/>
        </w:rPr>
        <w:t>的资金瓶颈。</w:t>
      </w:r>
    </w:p>
    <w:p>
      <w:pPr>
        <w:pStyle w:val="35"/>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用足用好上级的优惠政策，助推企业做大做强</w:t>
      </w:r>
      <w:r>
        <w:rPr>
          <w:rFonts w:hint="eastAsia" w:ascii="仿宋" w:hAnsi="仿宋" w:eastAsia="仿宋" w:cs="仿宋"/>
          <w:sz w:val="32"/>
          <w:szCs w:val="32"/>
        </w:rPr>
        <w:t>。</w:t>
      </w:r>
    </w:p>
    <w:p>
      <w:pPr>
        <w:pStyle w:val="35"/>
        <w:rPr>
          <w:rFonts w:ascii="仿宋" w:hAnsi="仿宋" w:eastAsia="仿宋" w:cs="仿宋"/>
          <w:sz w:val="32"/>
          <w:szCs w:val="32"/>
        </w:rPr>
      </w:pPr>
      <w:r>
        <w:rPr>
          <w:rFonts w:hint="eastAsia" w:ascii="仿宋" w:hAnsi="仿宋" w:eastAsia="仿宋" w:cs="仿宋"/>
          <w:sz w:val="32"/>
          <w:szCs w:val="32"/>
        </w:rPr>
        <w:t>3、组织</w:t>
      </w:r>
      <w:r>
        <w:rPr>
          <w:rFonts w:hint="eastAsia" w:ascii="仿宋" w:hAnsi="仿宋" w:eastAsia="仿宋" w:cs="仿宋"/>
          <w:sz w:val="32"/>
          <w:szCs w:val="32"/>
          <w:lang w:eastAsia="zh-CN"/>
        </w:rPr>
        <w:t>龙头企业和示范社，拓宽销售渠道，增加企业收入</w:t>
      </w:r>
      <w:r>
        <w:rPr>
          <w:rFonts w:hint="eastAsia" w:ascii="仿宋" w:hAnsi="仿宋" w:eastAsia="仿宋" w:cs="仿宋"/>
          <w:sz w:val="32"/>
          <w:szCs w:val="32"/>
        </w:rPr>
        <w:t>。</w:t>
      </w:r>
    </w:p>
    <w:p>
      <w:pPr>
        <w:pStyle w:val="35"/>
        <w:rPr>
          <w:rFonts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积极为企业提供科技致富信息</w:t>
      </w:r>
      <w:r>
        <w:rPr>
          <w:rFonts w:hint="eastAsia" w:ascii="仿宋" w:hAnsi="仿宋" w:eastAsia="仿宋" w:cs="仿宋"/>
          <w:sz w:val="32"/>
          <w:szCs w:val="32"/>
        </w:rPr>
        <w:t>。</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rPr>
          <w:rFonts w:ascii="方正楷体_GBK" w:hAnsi="方正楷体_GBK" w:eastAsia="方正楷体_GBK" w:cs="方正楷体_GBK"/>
          <w:b/>
          <w:color w:val="000000"/>
          <w:sz w:val="32"/>
          <w:lang w:eastAsia="zh-CN"/>
        </w:rPr>
      </w:pPr>
    </w:p>
    <w:p>
      <w:pPr>
        <w:ind w:firstLine="3202" w:firstLineChars="100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p>
    <w:p>
      <w:pPr>
        <w:ind w:firstLine="560"/>
      </w:pPr>
      <w:r>
        <w:rPr>
          <w:rFonts w:ascii="方正仿宋_GBK" w:hAnsi="方正仿宋_GBK" w:eastAsia="方正仿宋_GBK" w:cs="方正仿宋_GBK"/>
          <w:b/>
          <w:color w:val="000000"/>
          <w:sz w:val="28"/>
        </w:rPr>
        <w:t>2022年办公经费绩效目标表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1.保证本单位正常运转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rPr>
                <w:lang w:eastAsia="zh-CN"/>
              </w:rPr>
            </w:pPr>
            <w:r>
              <w:rPr>
                <w:rFonts w:hint="eastAsia"/>
                <w:lang w:eastAsia="zh-CN"/>
              </w:rPr>
              <w:t>领取公务交通补贴人数</w:t>
            </w:r>
          </w:p>
        </w:tc>
        <w:tc>
          <w:tcPr>
            <w:tcW w:w="2466" w:type="dxa"/>
            <w:vAlign w:val="center"/>
          </w:tcPr>
          <w:p>
            <w:pPr>
              <w:pStyle w:val="12"/>
            </w:pPr>
            <w:r>
              <w:rPr>
                <w:rFonts w:hint="eastAsia"/>
                <w:lang w:eastAsia="zh-CN"/>
              </w:rPr>
              <w:t>领取公务交通补贴人数</w:t>
            </w:r>
          </w:p>
        </w:tc>
        <w:tc>
          <w:tcPr>
            <w:tcW w:w="2466" w:type="dxa"/>
            <w:vAlign w:val="center"/>
          </w:tcPr>
          <w:p>
            <w:pPr>
              <w:pStyle w:val="12"/>
              <w:rPr>
                <w:lang w:eastAsia="zh-CN"/>
              </w:rPr>
            </w:pPr>
            <w:r>
              <w:rPr>
                <w:rFonts w:hint="eastAsia"/>
                <w:lang w:eastAsia="zh-CN"/>
              </w:rPr>
              <w:t>3人</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rPr>
                <w:lang w:eastAsia="zh-CN"/>
              </w:rPr>
            </w:pPr>
            <w:r>
              <w:rPr>
                <w:rFonts w:hint="eastAsia"/>
                <w:lang w:eastAsia="zh-CN"/>
              </w:rPr>
              <w:t>完成时间</w:t>
            </w:r>
          </w:p>
        </w:tc>
        <w:tc>
          <w:tcPr>
            <w:tcW w:w="2466" w:type="dxa"/>
            <w:vAlign w:val="center"/>
          </w:tcPr>
          <w:p>
            <w:pPr>
              <w:pStyle w:val="12"/>
              <w:rPr>
                <w:lang w:eastAsia="zh-CN"/>
              </w:rPr>
            </w:pPr>
            <w:r>
              <w:rPr>
                <w:rFonts w:hint="eastAsia"/>
                <w:lang w:eastAsia="zh-CN"/>
              </w:rPr>
              <w:t>确保工作的正常开展</w:t>
            </w:r>
          </w:p>
        </w:tc>
        <w:tc>
          <w:tcPr>
            <w:tcW w:w="2466" w:type="dxa"/>
            <w:vAlign w:val="center"/>
          </w:tcPr>
          <w:p>
            <w:pPr>
              <w:pStyle w:val="12"/>
              <w:rPr>
                <w:lang w:eastAsia="zh-CN"/>
              </w:rPr>
            </w:pPr>
            <w:r>
              <w:rPr>
                <w:rFonts w:hint="eastAsia"/>
                <w:lang w:eastAsia="zh-CN"/>
              </w:rPr>
              <w:t>正常开展</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rPr>
                <w:lang w:eastAsia="zh-CN"/>
              </w:rPr>
            </w:pPr>
            <w:r>
              <w:rPr>
                <w:rFonts w:hint="eastAsia"/>
                <w:lang w:eastAsia="zh-CN"/>
              </w:rPr>
              <w:t>办公设配购置合格率</w:t>
            </w:r>
          </w:p>
        </w:tc>
        <w:tc>
          <w:tcPr>
            <w:tcW w:w="2466" w:type="dxa"/>
            <w:vAlign w:val="center"/>
          </w:tcPr>
          <w:p>
            <w:pPr>
              <w:pStyle w:val="12"/>
            </w:pPr>
            <w:r>
              <w:rPr>
                <w:rFonts w:hint="eastAsia"/>
                <w:lang w:eastAsia="zh-CN"/>
              </w:rPr>
              <w:t>办公设配购置合格率</w:t>
            </w:r>
          </w:p>
        </w:tc>
        <w:tc>
          <w:tcPr>
            <w:tcW w:w="2466" w:type="dxa"/>
            <w:vAlign w:val="center"/>
          </w:tcPr>
          <w:p>
            <w:pPr>
              <w:pStyle w:val="12"/>
            </w:pPr>
            <w:r>
              <w:t>≥9</w:t>
            </w:r>
            <w:r>
              <w:rPr>
                <w:rFonts w:hint="eastAsia"/>
                <w:lang w:eastAsia="zh-CN"/>
              </w:rPr>
              <w:t>0</w:t>
            </w:r>
            <w:r>
              <w:t>%</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tc>
        <w:tc>
          <w:tcPr>
            <w:tcW w:w="2466" w:type="dxa"/>
            <w:vAlign w:val="center"/>
          </w:tcPr>
          <w:p>
            <w:pPr>
              <w:pStyle w:val="12"/>
              <w:rPr>
                <w:lang w:eastAsia="zh-CN"/>
              </w:rPr>
            </w:pPr>
            <w:r>
              <w:rPr>
                <w:rFonts w:hint="eastAsia"/>
                <w:lang w:eastAsia="zh-CN"/>
              </w:rPr>
              <w:t>成本指标</w:t>
            </w:r>
          </w:p>
        </w:tc>
        <w:tc>
          <w:tcPr>
            <w:tcW w:w="2466" w:type="dxa"/>
            <w:vAlign w:val="center"/>
          </w:tcPr>
          <w:p>
            <w:pPr>
              <w:pStyle w:val="12"/>
              <w:rPr>
                <w:lang w:eastAsia="zh-CN"/>
              </w:rPr>
            </w:pPr>
            <w:r>
              <w:rPr>
                <w:rFonts w:hint="eastAsia"/>
                <w:lang w:eastAsia="zh-CN"/>
              </w:rPr>
              <w:t>按照费用项目细分</w:t>
            </w:r>
          </w:p>
        </w:tc>
        <w:tc>
          <w:tcPr>
            <w:tcW w:w="2466" w:type="dxa"/>
            <w:vAlign w:val="center"/>
          </w:tcPr>
          <w:p>
            <w:pPr>
              <w:pStyle w:val="12"/>
              <w:rPr>
                <w:lang w:eastAsia="zh-CN"/>
              </w:rPr>
            </w:pPr>
            <w:r>
              <w:rPr>
                <w:rFonts w:hint="eastAsia"/>
                <w:lang w:eastAsia="zh-CN"/>
              </w:rPr>
              <w:t>办公费4万元,印刷费0.6万元,差旅费0.4,公务交通补贴1.66万元</w:t>
            </w:r>
          </w:p>
        </w:tc>
        <w:tc>
          <w:tcPr>
            <w:tcW w:w="2466" w:type="dxa"/>
            <w:vAlign w:val="center"/>
          </w:tcPr>
          <w:p>
            <w:pPr>
              <w:pStyle w:val="12"/>
            </w:pPr>
            <w:r>
              <w:rPr>
                <w:rFonts w:hint="eastAsia"/>
                <w:lang w:eastAsia="zh-CN"/>
              </w:rPr>
              <w:t>按照费用项目细分</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经济效益指标</w:t>
            </w:r>
          </w:p>
        </w:tc>
        <w:tc>
          <w:tcPr>
            <w:tcW w:w="2466" w:type="dxa"/>
            <w:vAlign w:val="center"/>
          </w:tcPr>
          <w:p>
            <w:pPr>
              <w:pStyle w:val="12"/>
            </w:pPr>
            <w:r>
              <w:rPr>
                <w:rFonts w:hint="eastAsia"/>
                <w:lang w:eastAsia="zh-CN"/>
              </w:rPr>
              <w:t>不涉及</w:t>
            </w:r>
          </w:p>
        </w:tc>
        <w:tc>
          <w:tcPr>
            <w:tcW w:w="2466" w:type="dxa"/>
            <w:vAlign w:val="center"/>
          </w:tcPr>
          <w:p>
            <w:pPr>
              <w:pStyle w:val="12"/>
            </w:pPr>
            <w:r>
              <w:rPr>
                <w:rFonts w:hint="eastAsia"/>
                <w:lang w:eastAsia="zh-CN"/>
              </w:rPr>
              <w:t>不涉及</w:t>
            </w:r>
          </w:p>
        </w:tc>
        <w:tc>
          <w:tcPr>
            <w:tcW w:w="2466" w:type="dxa"/>
            <w:vAlign w:val="center"/>
          </w:tcPr>
          <w:p>
            <w:pPr>
              <w:pStyle w:val="12"/>
            </w:pPr>
            <w:r>
              <w:rPr>
                <w:rFonts w:hint="eastAsia"/>
                <w:lang w:eastAsia="zh-CN"/>
              </w:rPr>
              <w:t>不涉及</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rPr>
                <w:lang w:eastAsia="zh-CN"/>
              </w:rPr>
            </w:pPr>
            <w:r>
              <w:rPr>
                <w:rFonts w:hint="eastAsia"/>
                <w:lang w:eastAsia="zh-CN"/>
              </w:rPr>
              <w:t>保障正常办公</w:t>
            </w:r>
          </w:p>
        </w:tc>
        <w:tc>
          <w:tcPr>
            <w:tcW w:w="2466" w:type="dxa"/>
            <w:vAlign w:val="center"/>
          </w:tcPr>
          <w:p>
            <w:pPr>
              <w:pStyle w:val="12"/>
              <w:rPr>
                <w:lang w:eastAsia="zh-CN"/>
              </w:rPr>
            </w:pPr>
            <w:r>
              <w:rPr>
                <w:rFonts w:hint="eastAsia"/>
                <w:lang w:eastAsia="zh-CN"/>
              </w:rPr>
              <w:t>能够保障日常办公耗材的使用</w:t>
            </w:r>
          </w:p>
        </w:tc>
        <w:tc>
          <w:tcPr>
            <w:tcW w:w="2466" w:type="dxa"/>
            <w:vAlign w:val="center"/>
          </w:tcPr>
          <w:p>
            <w:pPr>
              <w:pStyle w:val="12"/>
            </w:pPr>
            <w:r>
              <w:rPr>
                <w:rFonts w:hint="eastAsia"/>
                <w:lang w:eastAsia="zh-CN"/>
              </w:rPr>
              <w:t>能够保障日常办公耗材的使用</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生态效益指标</w:t>
            </w:r>
          </w:p>
        </w:tc>
        <w:tc>
          <w:tcPr>
            <w:tcW w:w="2466" w:type="dxa"/>
            <w:vAlign w:val="center"/>
          </w:tcPr>
          <w:p>
            <w:pPr>
              <w:pStyle w:val="12"/>
            </w:pPr>
            <w:r>
              <w:rPr>
                <w:rFonts w:hint="eastAsia"/>
                <w:lang w:eastAsia="zh-CN"/>
              </w:rPr>
              <w:t>不涉及</w:t>
            </w:r>
          </w:p>
        </w:tc>
        <w:tc>
          <w:tcPr>
            <w:tcW w:w="2466" w:type="dxa"/>
            <w:vAlign w:val="center"/>
          </w:tcPr>
          <w:p>
            <w:pPr>
              <w:pStyle w:val="12"/>
              <w:rPr>
                <w:lang w:eastAsia="zh-CN"/>
              </w:rPr>
            </w:pPr>
            <w:r>
              <w:rPr>
                <w:rFonts w:hint="eastAsia"/>
                <w:lang w:eastAsia="zh-CN"/>
              </w:rPr>
              <w:t>不涉及</w:t>
            </w:r>
          </w:p>
        </w:tc>
        <w:tc>
          <w:tcPr>
            <w:tcW w:w="2466" w:type="dxa"/>
            <w:vAlign w:val="center"/>
          </w:tcPr>
          <w:p>
            <w:pPr>
              <w:pStyle w:val="12"/>
            </w:pPr>
            <w:r>
              <w:rPr>
                <w:rFonts w:hint="eastAsia"/>
                <w:lang w:eastAsia="zh-CN"/>
              </w:rPr>
              <w:t>不涉及</w:t>
            </w:r>
          </w:p>
        </w:tc>
        <w:tc>
          <w:tcPr>
            <w:tcW w:w="2466" w:type="dxa"/>
            <w:vAlign w:val="center"/>
          </w:tcPr>
          <w:p>
            <w:pPr>
              <w:pStyle w:val="12"/>
              <w:rPr>
                <w:lang w:eastAsia="zh-CN"/>
              </w:rPr>
            </w:pPr>
            <w:r>
              <w:rPr>
                <w:rFonts w:hint="eastAsia"/>
                <w:lang w:eastAsia="zh-CN"/>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rPr>
                <w:lang w:eastAsia="zh-CN"/>
              </w:rPr>
            </w:pPr>
            <w:r>
              <w:rPr>
                <w:rFonts w:hint="eastAsia"/>
                <w:lang w:eastAsia="zh-CN"/>
              </w:rPr>
              <w:t>提高服务质量</w:t>
            </w:r>
          </w:p>
        </w:tc>
        <w:tc>
          <w:tcPr>
            <w:tcW w:w="2466" w:type="dxa"/>
            <w:vAlign w:val="center"/>
          </w:tcPr>
          <w:p>
            <w:pPr>
              <w:pStyle w:val="12"/>
              <w:rPr>
                <w:lang w:eastAsia="zh-CN"/>
              </w:rPr>
            </w:pPr>
            <w:r>
              <w:rPr>
                <w:rFonts w:hint="eastAsia"/>
                <w:lang w:eastAsia="zh-CN"/>
              </w:rPr>
              <w:t>保障办事效率的提升</w:t>
            </w:r>
          </w:p>
        </w:tc>
        <w:tc>
          <w:tcPr>
            <w:tcW w:w="2466" w:type="dxa"/>
            <w:vAlign w:val="center"/>
          </w:tcPr>
          <w:p>
            <w:pPr>
              <w:pStyle w:val="12"/>
            </w:pPr>
            <w:r>
              <w:rPr>
                <w:rFonts w:hint="eastAsia"/>
                <w:lang w:eastAsia="zh-CN"/>
              </w:rPr>
              <w:t>保障办事效率的提升</w:t>
            </w:r>
          </w:p>
        </w:tc>
        <w:tc>
          <w:tcPr>
            <w:tcW w:w="2466" w:type="dxa"/>
            <w:vAlign w:val="center"/>
          </w:tcPr>
          <w:p>
            <w:pPr>
              <w:pStyle w:val="12"/>
              <w:rPr>
                <w:lang w:eastAsia="zh-CN"/>
              </w:rPr>
            </w:pPr>
            <w:r>
              <w:rPr>
                <w:rFonts w:hint="eastAsia"/>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单位服务对象的满意度</w:t>
            </w:r>
          </w:p>
        </w:tc>
        <w:tc>
          <w:tcPr>
            <w:tcW w:w="2466" w:type="dxa"/>
            <w:vAlign w:val="center"/>
          </w:tcPr>
          <w:p>
            <w:pPr>
              <w:pStyle w:val="12"/>
            </w:pPr>
            <w:r>
              <w:t>群众对单位服务的满意度</w:t>
            </w:r>
          </w:p>
        </w:tc>
        <w:tc>
          <w:tcPr>
            <w:tcW w:w="2466" w:type="dxa"/>
            <w:vAlign w:val="center"/>
          </w:tcPr>
          <w:p>
            <w:pPr>
              <w:pStyle w:val="12"/>
            </w:pPr>
            <w:r>
              <w:t>≥9</w:t>
            </w:r>
            <w:r>
              <w:rPr>
                <w:rFonts w:hint="eastAsia"/>
                <w:lang w:eastAsia="zh-CN"/>
              </w:rPr>
              <w:t>5</w:t>
            </w:r>
            <w:r>
              <w:t>%</w:t>
            </w:r>
          </w:p>
        </w:tc>
        <w:tc>
          <w:tcPr>
            <w:tcW w:w="2466" w:type="dxa"/>
            <w:vAlign w:val="center"/>
          </w:tcPr>
          <w:p>
            <w:pPr>
              <w:pStyle w:val="12"/>
              <w:rPr>
                <w:lang w:eastAsia="zh-CN"/>
              </w:rPr>
            </w:pPr>
            <w:r>
              <w:t>调查</w:t>
            </w:r>
            <w:r>
              <w:rPr>
                <w:rFonts w:hint="eastAsia"/>
                <w:lang w:eastAsia="zh-CN"/>
              </w:rPr>
              <w:t>表</w:t>
            </w:r>
          </w:p>
        </w:tc>
      </w:tr>
    </w:tbl>
    <w:p>
      <w:pPr>
        <w:ind w:firstLine="640"/>
        <w:rPr>
          <w:rFonts w:eastAsiaTheme="minorEastAsia"/>
          <w:lang w:eastAsia="zh-CN"/>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2023年，成安县农民合作组织服务中心安排政府采购预算</w:t>
      </w:r>
      <w:r>
        <w:rPr>
          <w:rFonts w:hint="eastAsia" w:eastAsiaTheme="minorEastAsia"/>
          <w:color w:val="000000"/>
          <w:sz w:val="28"/>
          <w:lang w:eastAsia="zh-CN"/>
        </w:rPr>
        <w:t>2.24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lang w:eastAsia="zh-CN"/>
              </w:rPr>
            </w:pPr>
            <w:r>
              <w:t>201成安县</w:t>
            </w:r>
            <w:r>
              <w:rPr>
                <w:rFonts w:hint="eastAsia"/>
                <w:lang w:eastAsia="zh-CN"/>
              </w:rPr>
              <w:t>农业协会服务办公室</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eastAsiaTheme="minorEastAsia"/>
                <w:lang w:eastAsia="zh-CN"/>
              </w:rPr>
              <w:t>合计</w:t>
            </w:r>
          </w:p>
        </w:tc>
        <w:tc>
          <w:tcPr>
            <w:tcW w:w="964" w:type="dxa"/>
            <w:vAlign w:val="center"/>
          </w:tcPr>
          <w:p>
            <w:pPr>
              <w:pStyle w:val="11"/>
              <w:rPr>
                <w:rFonts w:hint="eastAsia" w:eastAsiaTheme="minorEastAsia"/>
                <w:lang w:eastAsia="zh-CN"/>
              </w:rPr>
            </w:pPr>
          </w:p>
        </w:tc>
        <w:tc>
          <w:tcPr>
            <w:tcW w:w="1134" w:type="dxa"/>
            <w:vAlign w:val="center"/>
          </w:tcPr>
          <w:p>
            <w:pPr>
              <w:pStyle w:val="12"/>
              <w:rPr>
                <w:rFonts w:hint="eastAsia" w:eastAsiaTheme="minorEastAsia"/>
                <w:lang w:eastAsia="zh-CN"/>
              </w:rPr>
            </w:pPr>
          </w:p>
        </w:tc>
        <w:tc>
          <w:tcPr>
            <w:tcW w:w="1134" w:type="dxa"/>
            <w:vAlign w:val="center"/>
          </w:tcPr>
          <w:p>
            <w:pPr>
              <w:pStyle w:val="12"/>
            </w:pPr>
          </w:p>
        </w:tc>
        <w:tc>
          <w:tcPr>
            <w:tcW w:w="709" w:type="dxa"/>
            <w:vAlign w:val="center"/>
          </w:tcPr>
          <w:p>
            <w:pPr>
              <w:pStyle w:val="13"/>
              <w:rPr>
                <w:rFonts w:hint="eastAsia" w:eastAsiaTheme="minorEastAsia"/>
                <w:lang w:eastAsia="zh-CN"/>
              </w:rPr>
            </w:pPr>
          </w:p>
        </w:tc>
        <w:tc>
          <w:tcPr>
            <w:tcW w:w="850" w:type="dxa"/>
            <w:vAlign w:val="center"/>
          </w:tcPr>
          <w:p>
            <w:pPr>
              <w:pStyle w:val="11"/>
              <w:rPr>
                <w:rFonts w:hint="eastAsia" w:eastAsiaTheme="minorEastAsia"/>
                <w:lang w:eastAsia="zh-CN"/>
              </w:rPr>
            </w:pPr>
          </w:p>
        </w:tc>
        <w:tc>
          <w:tcPr>
            <w:tcW w:w="850" w:type="dxa"/>
            <w:vAlign w:val="center"/>
          </w:tcPr>
          <w:p>
            <w:pPr>
              <w:pStyle w:val="11"/>
              <w:rPr>
                <w:rFonts w:hint="eastAsia" w:eastAsiaTheme="minorEastAsia"/>
                <w:lang w:eastAsia="zh-CN"/>
              </w:rPr>
            </w:pPr>
          </w:p>
        </w:tc>
        <w:tc>
          <w:tcPr>
            <w:tcW w:w="964" w:type="dxa"/>
            <w:vAlign w:val="center"/>
          </w:tcPr>
          <w:p>
            <w:pPr>
              <w:pStyle w:val="11"/>
              <w:rPr>
                <w:rFonts w:hint="eastAsia" w:eastAsiaTheme="minorEastAsia"/>
                <w:lang w:eastAsia="zh-CN"/>
              </w:rPr>
            </w:pPr>
            <w:r>
              <w:rPr>
                <w:rFonts w:hint="eastAsia" w:eastAsiaTheme="minorEastAsia"/>
                <w:lang w:eastAsia="zh-CN"/>
              </w:rPr>
              <w:t>2.24</w:t>
            </w:r>
          </w:p>
        </w:tc>
        <w:tc>
          <w:tcPr>
            <w:tcW w:w="964" w:type="dxa"/>
            <w:vAlign w:val="center"/>
          </w:tcPr>
          <w:p>
            <w:pPr>
              <w:pStyle w:val="11"/>
              <w:rPr>
                <w:rFonts w:hint="eastAsia" w:eastAsiaTheme="minorEastAsia"/>
                <w:lang w:eastAsia="zh-CN"/>
              </w:rPr>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eastAsiaTheme="minorEastAsia"/>
                <w:lang w:eastAsia="zh-CN"/>
              </w:rPr>
              <w:t>日常公用经费</w:t>
            </w:r>
          </w:p>
        </w:tc>
        <w:tc>
          <w:tcPr>
            <w:tcW w:w="964" w:type="dxa"/>
            <w:vAlign w:val="center"/>
          </w:tcPr>
          <w:p>
            <w:pPr>
              <w:pStyle w:val="11"/>
              <w:rPr>
                <w:rFonts w:hint="eastAsia" w:eastAsiaTheme="minorEastAsia"/>
                <w:lang w:eastAsia="zh-CN"/>
              </w:rPr>
            </w:pPr>
            <w:r>
              <w:rPr>
                <w:rFonts w:hint="eastAsia" w:eastAsiaTheme="minorEastAsia"/>
                <w:lang w:eastAsia="zh-CN"/>
              </w:rPr>
              <w:t>0.5</w:t>
            </w:r>
          </w:p>
        </w:tc>
        <w:tc>
          <w:tcPr>
            <w:tcW w:w="1134" w:type="dxa"/>
            <w:vAlign w:val="center"/>
          </w:tcPr>
          <w:p>
            <w:pPr>
              <w:pStyle w:val="12"/>
              <w:rPr>
                <w:rFonts w:hint="eastAsia" w:eastAsiaTheme="minorEastAsia"/>
                <w:lang w:eastAsia="zh-CN"/>
              </w:rPr>
            </w:pPr>
            <w:r>
              <w:rPr>
                <w:rFonts w:hint="eastAsia" w:eastAsiaTheme="minorEastAsia"/>
                <w:lang w:eastAsia="zh-CN"/>
              </w:rPr>
              <w:t>电脑</w:t>
            </w:r>
          </w:p>
        </w:tc>
        <w:tc>
          <w:tcPr>
            <w:tcW w:w="1134" w:type="dxa"/>
            <w:vAlign w:val="center"/>
          </w:tcPr>
          <w:p>
            <w:pPr>
              <w:pStyle w:val="12"/>
            </w:pPr>
          </w:p>
        </w:tc>
        <w:tc>
          <w:tcPr>
            <w:tcW w:w="709" w:type="dxa"/>
            <w:vAlign w:val="center"/>
          </w:tcPr>
          <w:p>
            <w:pPr>
              <w:pStyle w:val="13"/>
              <w:rPr>
                <w:rFonts w:hint="eastAsia" w:eastAsiaTheme="minorEastAsia"/>
                <w:lang w:eastAsia="zh-CN"/>
              </w:rPr>
            </w:pPr>
            <w:r>
              <w:rPr>
                <w:rFonts w:hint="eastAsia" w:eastAsiaTheme="minorEastAsia"/>
                <w:lang w:eastAsia="zh-CN"/>
              </w:rPr>
              <w:t>台</w:t>
            </w:r>
          </w:p>
        </w:tc>
        <w:tc>
          <w:tcPr>
            <w:tcW w:w="850" w:type="dxa"/>
            <w:vAlign w:val="center"/>
          </w:tcPr>
          <w:p>
            <w:pPr>
              <w:pStyle w:val="11"/>
              <w:rPr>
                <w:rFonts w:hint="eastAsia" w:eastAsiaTheme="minorEastAsia"/>
                <w:lang w:eastAsia="zh-CN"/>
              </w:rPr>
            </w:pPr>
            <w:r>
              <w:rPr>
                <w:rFonts w:hint="eastAsia" w:eastAsiaTheme="minorEastAsia"/>
                <w:lang w:eastAsia="zh-CN"/>
              </w:rPr>
              <w:t>4</w:t>
            </w:r>
          </w:p>
        </w:tc>
        <w:tc>
          <w:tcPr>
            <w:tcW w:w="850" w:type="dxa"/>
            <w:vAlign w:val="center"/>
          </w:tcPr>
          <w:p>
            <w:pPr>
              <w:pStyle w:val="11"/>
              <w:rPr>
                <w:rFonts w:hint="eastAsia" w:eastAsiaTheme="minorEastAsia"/>
                <w:lang w:eastAsia="zh-CN"/>
              </w:rPr>
            </w:pPr>
            <w:r>
              <w:rPr>
                <w:rFonts w:hint="eastAsia" w:eastAsiaTheme="minorEastAsia"/>
                <w:lang w:eastAsia="zh-CN"/>
              </w:rPr>
              <w:t>0.5</w:t>
            </w:r>
          </w:p>
        </w:tc>
        <w:tc>
          <w:tcPr>
            <w:tcW w:w="964" w:type="dxa"/>
            <w:vAlign w:val="center"/>
          </w:tcPr>
          <w:p>
            <w:pPr>
              <w:pStyle w:val="11"/>
              <w:rPr>
                <w:rFonts w:hint="eastAsia" w:eastAsiaTheme="minorEastAsia"/>
                <w:lang w:eastAsia="zh-CN"/>
              </w:rPr>
            </w:pPr>
            <w:r>
              <w:rPr>
                <w:rFonts w:hint="eastAsia" w:eastAsiaTheme="minorEastAsia"/>
                <w:lang w:eastAsia="zh-CN"/>
              </w:rPr>
              <w:t>2</w:t>
            </w:r>
          </w:p>
        </w:tc>
        <w:tc>
          <w:tcPr>
            <w:tcW w:w="964" w:type="dxa"/>
            <w:vAlign w:val="center"/>
          </w:tcPr>
          <w:p>
            <w:pPr>
              <w:pStyle w:val="11"/>
              <w:rPr>
                <w:rFonts w:hint="eastAsia" w:eastAsiaTheme="minorEastAsia"/>
                <w:lang w:eastAsia="zh-CN"/>
              </w:rPr>
            </w:pPr>
            <w:r>
              <w:rPr>
                <w:rFonts w:hint="eastAsia" w:eastAsiaTheme="minorEastAsia"/>
                <w:lang w:eastAsia="zh-CN"/>
              </w:rPr>
              <w:t>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eastAsiaTheme="minorEastAsia"/>
                <w:lang w:eastAsia="zh-CN"/>
              </w:rPr>
            </w:pPr>
            <w:r>
              <w:rPr>
                <w:rFonts w:hint="eastAsia" w:eastAsiaTheme="minorEastAsia"/>
                <w:lang w:eastAsia="zh-CN"/>
              </w:rPr>
              <w:t>日常公用经费</w:t>
            </w:r>
          </w:p>
        </w:tc>
        <w:tc>
          <w:tcPr>
            <w:tcW w:w="964" w:type="dxa"/>
            <w:vAlign w:val="center"/>
          </w:tcPr>
          <w:p>
            <w:pPr>
              <w:pStyle w:val="11"/>
              <w:rPr>
                <w:rFonts w:hint="eastAsia" w:eastAsiaTheme="minorEastAsia"/>
                <w:lang w:eastAsia="zh-CN"/>
              </w:rPr>
            </w:pPr>
            <w:r>
              <w:rPr>
                <w:rFonts w:hint="eastAsia" w:eastAsiaTheme="minorEastAsia"/>
                <w:lang w:eastAsia="zh-CN"/>
              </w:rPr>
              <w:t>0.24</w:t>
            </w:r>
          </w:p>
        </w:tc>
        <w:tc>
          <w:tcPr>
            <w:tcW w:w="1134" w:type="dxa"/>
            <w:vAlign w:val="center"/>
          </w:tcPr>
          <w:p>
            <w:pPr>
              <w:pStyle w:val="12"/>
              <w:rPr>
                <w:rFonts w:hint="eastAsia" w:eastAsiaTheme="minorEastAsia"/>
                <w:lang w:eastAsia="zh-CN"/>
              </w:rPr>
            </w:pPr>
            <w:r>
              <w:rPr>
                <w:rFonts w:hint="eastAsia" w:eastAsiaTheme="minorEastAsia"/>
                <w:lang w:eastAsia="zh-CN"/>
              </w:rPr>
              <w:t>桌椅</w:t>
            </w:r>
          </w:p>
        </w:tc>
        <w:tc>
          <w:tcPr>
            <w:tcW w:w="1134" w:type="dxa"/>
            <w:vAlign w:val="center"/>
          </w:tcPr>
          <w:p>
            <w:pPr>
              <w:pStyle w:val="12"/>
            </w:pPr>
          </w:p>
        </w:tc>
        <w:tc>
          <w:tcPr>
            <w:tcW w:w="709" w:type="dxa"/>
            <w:vAlign w:val="center"/>
          </w:tcPr>
          <w:p>
            <w:pPr>
              <w:pStyle w:val="13"/>
              <w:rPr>
                <w:rFonts w:hint="eastAsia" w:eastAsiaTheme="minorEastAsia"/>
                <w:lang w:eastAsia="zh-CN"/>
              </w:rPr>
            </w:pPr>
          </w:p>
        </w:tc>
        <w:tc>
          <w:tcPr>
            <w:tcW w:w="850" w:type="dxa"/>
            <w:vAlign w:val="center"/>
          </w:tcPr>
          <w:p>
            <w:pPr>
              <w:pStyle w:val="11"/>
              <w:rPr>
                <w:rFonts w:hint="eastAsia" w:eastAsiaTheme="minorEastAsia"/>
                <w:lang w:eastAsia="zh-CN"/>
              </w:rPr>
            </w:pPr>
            <w:r>
              <w:rPr>
                <w:rFonts w:hint="eastAsia" w:eastAsiaTheme="minorEastAsia"/>
                <w:lang w:eastAsia="zh-CN"/>
              </w:rPr>
              <w:t>6</w:t>
            </w:r>
          </w:p>
        </w:tc>
        <w:tc>
          <w:tcPr>
            <w:tcW w:w="850" w:type="dxa"/>
            <w:vAlign w:val="center"/>
          </w:tcPr>
          <w:p>
            <w:pPr>
              <w:pStyle w:val="11"/>
              <w:rPr>
                <w:rFonts w:hint="eastAsia" w:eastAsiaTheme="minorEastAsia"/>
                <w:lang w:eastAsia="zh-CN"/>
              </w:rPr>
            </w:pPr>
            <w:r>
              <w:rPr>
                <w:rFonts w:hint="eastAsia" w:eastAsiaTheme="minorEastAsia"/>
                <w:lang w:eastAsia="zh-CN"/>
              </w:rPr>
              <w:t>0.04</w:t>
            </w:r>
          </w:p>
        </w:tc>
        <w:tc>
          <w:tcPr>
            <w:tcW w:w="964" w:type="dxa"/>
            <w:vAlign w:val="center"/>
          </w:tcPr>
          <w:p>
            <w:pPr>
              <w:pStyle w:val="11"/>
              <w:rPr>
                <w:rFonts w:hint="eastAsia" w:eastAsiaTheme="minorEastAsia"/>
                <w:lang w:eastAsia="zh-CN"/>
              </w:rPr>
            </w:pPr>
            <w:r>
              <w:rPr>
                <w:rFonts w:hint="eastAsia" w:eastAsiaTheme="minorEastAsia"/>
                <w:lang w:eastAsia="zh-CN"/>
              </w:rPr>
              <w:t>0.24</w:t>
            </w:r>
          </w:p>
        </w:tc>
        <w:tc>
          <w:tcPr>
            <w:tcW w:w="964" w:type="dxa"/>
            <w:vAlign w:val="center"/>
          </w:tcPr>
          <w:p>
            <w:pPr>
              <w:pStyle w:val="11"/>
              <w:rPr>
                <w:rFonts w:hint="eastAsia" w:eastAsiaTheme="minorEastAsia"/>
                <w:lang w:eastAsia="zh-CN"/>
              </w:rPr>
            </w:pPr>
            <w:r>
              <w:rPr>
                <w:rFonts w:hint="eastAsia" w:eastAsiaTheme="minorEastAsia"/>
                <w:lang w:eastAsia="zh-CN"/>
              </w:rPr>
              <w:t>0.24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eastAsiaTheme="minorEastAsia"/>
          <w:lang w:eastAsia="zh-CN"/>
        </w:rPr>
      </w:pP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w:t>
      </w:r>
      <w:r>
        <w:rPr>
          <w:rFonts w:hint="eastAsia" w:eastAsia="方正仿宋_GBK"/>
          <w:color w:val="000000"/>
          <w:sz w:val="28"/>
          <w:lang w:eastAsia="zh-CN"/>
        </w:rPr>
        <w:t>农业服务协会办公室</w:t>
      </w:r>
      <w:r>
        <w:rPr>
          <w:rFonts w:eastAsia="方正仿宋_GBK"/>
          <w:color w:val="000000"/>
          <w:sz w:val="28"/>
        </w:rPr>
        <w:t>（含所属单位）上年末固定资产金额为</w:t>
      </w:r>
      <w:r>
        <w:rPr>
          <w:rFonts w:hint="eastAsia" w:eastAsiaTheme="minorEastAsia"/>
          <w:color w:val="000000"/>
          <w:sz w:val="28"/>
          <w:lang w:eastAsia="zh-CN"/>
        </w:rPr>
        <w:t>3.78</w:t>
      </w:r>
      <w:r>
        <w:rPr>
          <w:rFonts w:eastAsia="方正仿宋_GBK"/>
          <w:color w:val="000000"/>
          <w:sz w:val="28"/>
        </w:rPr>
        <w:t>万元（详见下表）。本年度拟购置固定资产总额为</w:t>
      </w:r>
      <w:r>
        <w:rPr>
          <w:rFonts w:hint="eastAsia" w:eastAsiaTheme="minorEastAsia"/>
          <w:color w:val="000000"/>
          <w:sz w:val="28"/>
          <w:lang w:eastAsia="zh-CN"/>
        </w:rPr>
        <w:t>2.24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lang w:eastAsia="zh-CN"/>
              </w:rPr>
            </w:pPr>
            <w:r>
              <w:t>201成安县</w:t>
            </w:r>
            <w:r>
              <w:rPr>
                <w:rFonts w:hint="eastAsia"/>
                <w:lang w:eastAsia="zh-CN"/>
              </w:rPr>
              <w:t>农业服务协会办公室</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eastAsiaTheme="minorEastAsia"/>
                <w:lang w:eastAsia="zh-CN"/>
              </w:rPr>
              <w:t>资产总额</w:t>
            </w:r>
          </w:p>
        </w:tc>
        <w:tc>
          <w:tcPr>
            <w:tcW w:w="2835" w:type="dxa"/>
            <w:vAlign w:val="center"/>
          </w:tcPr>
          <w:p>
            <w:pPr>
              <w:pStyle w:val="13"/>
              <w:rPr>
                <w:rFonts w:hint="eastAsia" w:eastAsiaTheme="minorEastAsia"/>
                <w:lang w:eastAsia="zh-CN"/>
              </w:rPr>
            </w:pPr>
            <w:r>
              <w:rPr>
                <w:rFonts w:hint="eastAsia" w:eastAsiaTheme="minorEastAsia"/>
                <w:lang w:eastAsia="zh-CN"/>
              </w:rPr>
              <w:t>-</w:t>
            </w:r>
          </w:p>
        </w:tc>
        <w:tc>
          <w:tcPr>
            <w:tcW w:w="2835" w:type="dxa"/>
            <w:vAlign w:val="center"/>
          </w:tcPr>
          <w:p>
            <w:pPr>
              <w:pStyle w:val="11"/>
              <w:rPr>
                <w:rFonts w:hint="eastAsia" w:eastAsiaTheme="minorEastAsia"/>
                <w:lang w:eastAsia="zh-CN"/>
              </w:rPr>
            </w:pPr>
            <w:r>
              <w:rPr>
                <w:rFonts w:hint="eastAsia" w:eastAsiaTheme="minorEastAsia"/>
                <w:lang w:eastAsia="zh-CN"/>
              </w:rP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eastAsiaTheme="minorEastAsia"/>
                <w:lang w:eastAsia="zh-CN"/>
              </w:rPr>
              <w:t>一、固定资产</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8"/>
                <w:szCs w:val="28"/>
              </w:rPr>
            </w:pPr>
            <w:r>
              <w:rPr>
                <w:rFonts w:hint="eastAsia" w:ascii="仿宋" w:hAnsi="仿宋" w:eastAsia="仿宋" w:cs="仿宋"/>
                <w:sz w:val="28"/>
                <w:szCs w:val="28"/>
              </w:rPr>
              <w:t>1、房屋（平方米）</w:t>
            </w:r>
          </w:p>
        </w:tc>
        <w:tc>
          <w:tcPr>
            <w:tcW w:w="2835" w:type="dxa"/>
            <w:vAlign w:val="center"/>
          </w:tcPr>
          <w:p>
            <w:pPr>
              <w:jc w:val="center"/>
              <w:rPr>
                <w:rFonts w:ascii="仿宋" w:hAnsi="仿宋" w:eastAsia="仿宋" w:cs="仿宋"/>
                <w:sz w:val="28"/>
                <w:szCs w:val="28"/>
              </w:rPr>
            </w:pPr>
            <w:r>
              <w:rPr>
                <w:rFonts w:hint="eastAsia" w:ascii="仿宋" w:hAnsi="仿宋" w:eastAsia="仿宋" w:cs="仿宋"/>
                <w:sz w:val="28"/>
                <w:szCs w:val="28"/>
              </w:rPr>
              <w:t>50</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8"/>
                <w:szCs w:val="28"/>
              </w:rPr>
            </w:pPr>
            <w:r>
              <w:rPr>
                <w:rFonts w:hint="eastAsia" w:ascii="仿宋" w:hAnsi="仿宋" w:eastAsia="仿宋" w:cs="仿宋"/>
                <w:sz w:val="28"/>
                <w:szCs w:val="28"/>
              </w:rPr>
              <w:t>其中：办公用房（平方米）</w:t>
            </w:r>
          </w:p>
        </w:tc>
        <w:tc>
          <w:tcPr>
            <w:tcW w:w="2835" w:type="dxa"/>
            <w:vAlign w:val="center"/>
          </w:tcPr>
          <w:p>
            <w:pPr>
              <w:jc w:val="center"/>
              <w:rPr>
                <w:rFonts w:ascii="仿宋" w:hAnsi="仿宋" w:eastAsia="仿宋" w:cs="仿宋"/>
                <w:sz w:val="28"/>
                <w:szCs w:val="28"/>
              </w:rPr>
            </w:pPr>
            <w:r>
              <w:rPr>
                <w:rFonts w:hint="eastAsia" w:ascii="仿宋" w:hAnsi="仿宋" w:eastAsia="仿宋" w:cs="仿宋"/>
                <w:sz w:val="28"/>
                <w:szCs w:val="28"/>
              </w:rPr>
              <w:t>40</w:t>
            </w:r>
          </w:p>
        </w:tc>
        <w:tc>
          <w:tcPr>
            <w:tcW w:w="2835" w:type="dxa"/>
            <w:vAlign w:val="center"/>
          </w:tcPr>
          <w:p>
            <w:pPr>
              <w:jc w:val="center"/>
              <w:rPr>
                <w:rFonts w:ascii="仿宋" w:hAnsi="仿宋" w:eastAsia="仿宋" w:cs="仿宋"/>
                <w:sz w:val="28"/>
                <w:szCs w:val="28"/>
              </w:rPr>
            </w:pPr>
            <w:r>
              <w:rPr>
                <w:rFonts w:hint="eastAsia" w:ascii="仿宋" w:hAnsi="仿宋" w:eastAsia="仿宋" w:cs="仿宋"/>
                <w:sz w:val="28"/>
                <w:szCs w:val="28"/>
              </w:rPr>
              <w:t>我单位在政府集中办公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8"/>
                <w:szCs w:val="28"/>
              </w:rPr>
            </w:pPr>
            <w:r>
              <w:rPr>
                <w:rFonts w:hint="eastAsia" w:ascii="仿宋" w:hAnsi="仿宋" w:eastAsia="仿宋" w:cs="仿宋"/>
                <w:sz w:val="28"/>
                <w:szCs w:val="28"/>
              </w:rP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8"/>
                <w:szCs w:val="28"/>
              </w:rPr>
            </w:pPr>
            <w:r>
              <w:rPr>
                <w:rFonts w:hint="eastAsia" w:ascii="仿宋" w:hAnsi="仿宋" w:eastAsia="仿宋" w:cs="仿宋"/>
                <w:sz w:val="28"/>
                <w:szCs w:val="28"/>
              </w:rPr>
              <w:t>3、单价在50万元以上的设备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8"/>
                <w:szCs w:val="28"/>
              </w:rPr>
            </w:pPr>
            <w:r>
              <w:rPr>
                <w:rFonts w:hint="eastAsia" w:ascii="仿宋" w:hAnsi="仿宋" w:eastAsia="仿宋" w:cs="仿宋"/>
                <w:sz w:val="28"/>
                <w:szCs w:val="28"/>
              </w:rPr>
              <w:t>4、其他固定资产</w:t>
            </w:r>
          </w:p>
        </w:tc>
        <w:tc>
          <w:tcPr>
            <w:tcW w:w="2835" w:type="dxa"/>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2835" w:type="dxa"/>
            <w:vAlign w:val="center"/>
          </w:tcPr>
          <w:p>
            <w:pPr>
              <w:jc w:val="center"/>
              <w:rPr>
                <w:rFonts w:ascii="仿宋" w:hAnsi="仿宋" w:eastAsia="仿宋" w:cs="仿宋"/>
                <w:sz w:val="28"/>
                <w:szCs w:val="28"/>
                <w:lang w:eastAsia="zh-CN"/>
              </w:rPr>
            </w:pPr>
            <w:r>
              <w:rPr>
                <w:rFonts w:hint="eastAsia" w:ascii="仿宋" w:hAnsi="仿宋" w:eastAsia="仿宋" w:cs="仿宋"/>
                <w:sz w:val="28"/>
                <w:szCs w:val="28"/>
                <w:lang w:eastAsia="zh-CN"/>
              </w:rPr>
              <w:t>3.78</w:t>
            </w:r>
          </w:p>
        </w:tc>
      </w:tr>
    </w:tbl>
    <w:p>
      <w:pPr>
        <w:spacing w:line="360" w:lineRule="auto"/>
        <w:ind w:firstLine="640" w:firstLineChars="200"/>
      </w:pPr>
      <w:r>
        <w:rPr>
          <w:rFonts w:hint="eastAsia" w:ascii="仿宋" w:hAnsi="仿宋" w:eastAsia="仿宋" w:cs="仿宋"/>
          <w:color w:val="333333"/>
          <w:sz w:val="32"/>
          <w:szCs w:val="32"/>
        </w:rPr>
        <w:t>截止上年</w:t>
      </w:r>
      <w:r>
        <w:rPr>
          <w:rFonts w:hint="eastAsia" w:ascii="仿宋" w:hAnsi="仿宋" w:eastAsia="仿宋" w:cs="仿宋"/>
          <w:sz w:val="32"/>
          <w:szCs w:val="32"/>
        </w:rPr>
        <w:t>末固定资产帐面结余</w:t>
      </w:r>
      <w:r>
        <w:rPr>
          <w:rFonts w:hint="eastAsia" w:ascii="仿宋" w:hAnsi="仿宋" w:eastAsia="仿宋" w:cs="仿宋"/>
          <w:sz w:val="32"/>
          <w:szCs w:val="32"/>
          <w:lang w:eastAsia="zh-CN"/>
        </w:rPr>
        <w:t>3.78</w:t>
      </w:r>
      <w:r>
        <w:rPr>
          <w:rFonts w:hint="eastAsia" w:ascii="仿宋" w:hAnsi="仿宋" w:eastAsia="仿宋" w:cs="仿宋"/>
          <w:sz w:val="32"/>
          <w:szCs w:val="32"/>
        </w:rPr>
        <w:t>万元。其中：房屋价值0万元，车辆价值0万元，其它资产通用设备</w:t>
      </w:r>
      <w:r>
        <w:rPr>
          <w:rFonts w:hint="eastAsia" w:ascii="仿宋" w:hAnsi="仿宋" w:eastAsia="仿宋" w:cs="仿宋"/>
          <w:sz w:val="32"/>
          <w:szCs w:val="32"/>
          <w:lang w:eastAsia="zh-CN"/>
        </w:rPr>
        <w:t>3.36</w:t>
      </w:r>
      <w:r>
        <w:rPr>
          <w:rFonts w:hint="eastAsia" w:ascii="仿宋" w:hAnsi="仿宋" w:eastAsia="仿宋" w:cs="仿宋"/>
          <w:sz w:val="32"/>
          <w:szCs w:val="32"/>
        </w:rPr>
        <w:t>万元、办公家具</w:t>
      </w:r>
      <w:r>
        <w:rPr>
          <w:rFonts w:hint="eastAsia" w:ascii="仿宋" w:hAnsi="仿宋" w:eastAsia="仿宋" w:cs="仿宋"/>
          <w:sz w:val="32"/>
          <w:szCs w:val="32"/>
          <w:lang w:eastAsia="zh-CN"/>
        </w:rPr>
        <w:t>0.42</w:t>
      </w:r>
      <w:r>
        <w:rPr>
          <w:rFonts w:hint="eastAsia" w:ascii="仿宋" w:hAnsi="仿宋" w:eastAsia="仿宋" w:cs="仿宋"/>
          <w:sz w:val="32"/>
          <w:szCs w:val="32"/>
        </w:rPr>
        <w:t>万元、合计</w:t>
      </w:r>
      <w:r>
        <w:rPr>
          <w:rFonts w:hint="eastAsia" w:ascii="仿宋" w:hAnsi="仿宋" w:eastAsia="仿宋" w:cs="仿宋"/>
          <w:sz w:val="32"/>
          <w:szCs w:val="32"/>
          <w:lang w:eastAsia="zh-CN"/>
        </w:rPr>
        <w:t>3.78</w:t>
      </w:r>
      <w:r>
        <w:rPr>
          <w:rFonts w:hint="eastAsia" w:ascii="仿宋" w:hAnsi="仿宋" w:eastAsia="仿宋" w:cs="仿宋"/>
          <w:sz w:val="32"/>
          <w:szCs w:val="32"/>
        </w:rPr>
        <w:t>万元。202</w:t>
      </w:r>
      <w:r>
        <w:rPr>
          <w:rFonts w:hint="eastAsia" w:ascii="仿宋" w:hAnsi="仿宋" w:eastAsia="仿宋" w:cs="仿宋"/>
          <w:sz w:val="32"/>
          <w:szCs w:val="32"/>
          <w:lang w:eastAsia="zh-CN"/>
        </w:rPr>
        <w:t>3</w:t>
      </w:r>
      <w:r>
        <w:rPr>
          <w:rFonts w:hint="eastAsia" w:ascii="仿宋" w:hAnsi="仿宋" w:eastAsia="仿宋" w:cs="仿宋"/>
          <w:sz w:val="32"/>
          <w:szCs w:val="32"/>
        </w:rPr>
        <w:t>年我单位拟购置固定资产</w:t>
      </w:r>
      <w:r>
        <w:rPr>
          <w:rFonts w:hint="eastAsia" w:ascii="仿宋" w:hAnsi="仿宋" w:eastAsia="仿宋" w:cs="仿宋"/>
          <w:sz w:val="32"/>
          <w:szCs w:val="32"/>
          <w:lang w:eastAsia="zh-CN"/>
        </w:rPr>
        <w:t>2.24</w:t>
      </w:r>
      <w:r>
        <w:rPr>
          <w:rFonts w:hint="eastAsia" w:ascii="仿宋" w:hAnsi="仿宋" w:eastAsia="仿宋" w:cs="仿宋"/>
          <w:sz w:val="32"/>
          <w:szCs w:val="32"/>
        </w:rPr>
        <w:t>万元。</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p>
    <w:p>
      <w:pPr>
        <w:jc w:val="center"/>
      </w:pPr>
    </w:p>
    <w:p>
      <w:pPr>
        <w:jc w:val="cente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66BA9"/>
    <w:multiLevelType w:val="singleLevel"/>
    <w:tmpl w:val="5A066B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gzMjU3YzJkZjExOTIxODZlZjM5YWNiM2YxODQ5MjcifQ=="/>
  </w:docVars>
  <w:rsids>
    <w:rsidRoot w:val="003D2F0E"/>
    <w:rsid w:val="000823CA"/>
    <w:rsid w:val="000964D0"/>
    <w:rsid w:val="00112066"/>
    <w:rsid w:val="001146D0"/>
    <w:rsid w:val="00122246"/>
    <w:rsid w:val="001508F4"/>
    <w:rsid w:val="00170D4F"/>
    <w:rsid w:val="00217520"/>
    <w:rsid w:val="0022472C"/>
    <w:rsid w:val="00232839"/>
    <w:rsid w:val="002337DD"/>
    <w:rsid w:val="002C3612"/>
    <w:rsid w:val="002D5EE6"/>
    <w:rsid w:val="002F1EF0"/>
    <w:rsid w:val="003074BB"/>
    <w:rsid w:val="00393860"/>
    <w:rsid w:val="003D2F0E"/>
    <w:rsid w:val="003D4C46"/>
    <w:rsid w:val="003F3E89"/>
    <w:rsid w:val="00412A8E"/>
    <w:rsid w:val="004401A6"/>
    <w:rsid w:val="004B25AF"/>
    <w:rsid w:val="004D146E"/>
    <w:rsid w:val="00516992"/>
    <w:rsid w:val="005469EA"/>
    <w:rsid w:val="005819E9"/>
    <w:rsid w:val="005A1666"/>
    <w:rsid w:val="005A78F8"/>
    <w:rsid w:val="005D1DB8"/>
    <w:rsid w:val="005E5F39"/>
    <w:rsid w:val="006179FC"/>
    <w:rsid w:val="00632512"/>
    <w:rsid w:val="00643790"/>
    <w:rsid w:val="006658F5"/>
    <w:rsid w:val="00665A4D"/>
    <w:rsid w:val="00680711"/>
    <w:rsid w:val="006B7CF1"/>
    <w:rsid w:val="006D4049"/>
    <w:rsid w:val="006E249D"/>
    <w:rsid w:val="00734545"/>
    <w:rsid w:val="00796304"/>
    <w:rsid w:val="007E6750"/>
    <w:rsid w:val="00815229"/>
    <w:rsid w:val="00822890"/>
    <w:rsid w:val="00831CE2"/>
    <w:rsid w:val="00832B7F"/>
    <w:rsid w:val="00906E18"/>
    <w:rsid w:val="009212CC"/>
    <w:rsid w:val="00937EAB"/>
    <w:rsid w:val="00953E36"/>
    <w:rsid w:val="0096302F"/>
    <w:rsid w:val="009D24F2"/>
    <w:rsid w:val="00A048C8"/>
    <w:rsid w:val="00A14759"/>
    <w:rsid w:val="00A93A35"/>
    <w:rsid w:val="00AD5E61"/>
    <w:rsid w:val="00B1779F"/>
    <w:rsid w:val="00B26C8D"/>
    <w:rsid w:val="00B30D84"/>
    <w:rsid w:val="00B3767B"/>
    <w:rsid w:val="00B45378"/>
    <w:rsid w:val="00BB2C92"/>
    <w:rsid w:val="00BC7083"/>
    <w:rsid w:val="00BF65E7"/>
    <w:rsid w:val="00CD78C6"/>
    <w:rsid w:val="00D10D80"/>
    <w:rsid w:val="00D35B91"/>
    <w:rsid w:val="00D84B24"/>
    <w:rsid w:val="00D8724D"/>
    <w:rsid w:val="00D900A6"/>
    <w:rsid w:val="00E07F76"/>
    <w:rsid w:val="00E436F5"/>
    <w:rsid w:val="00E54B32"/>
    <w:rsid w:val="00E55EE1"/>
    <w:rsid w:val="00E7504A"/>
    <w:rsid w:val="00E85165"/>
    <w:rsid w:val="00E85434"/>
    <w:rsid w:val="00EA7712"/>
    <w:rsid w:val="00F042E4"/>
    <w:rsid w:val="00F0736C"/>
    <w:rsid w:val="00F71C19"/>
    <w:rsid w:val="00FB7F08"/>
    <w:rsid w:val="00FE0043"/>
    <w:rsid w:val="150537D9"/>
    <w:rsid w:val="5B210858"/>
    <w:rsid w:val="6EEE3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 w:type="paragraph" w:customStyle="1" w:styleId="35">
    <w:name w:val="[Normal]"/>
    <w:autoRedefine/>
    <w:qFormat/>
    <w:uiPriority w:val="6"/>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2023-02-14T15:23:47Z</dcterms:created>
  <dcterms:modified xsi:type="dcterms:W3CDTF">2023-02-14T07:23:47Z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2023-02-14T15:23:44Z</dcterms:created>
  <dcterms:modified xsi:type="dcterms:W3CDTF">2023-02-14T07:23:43Z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2023-02-14T15:24:00Z</dcterms:created>
  <dcterms:modified xsi:type="dcterms:W3CDTF">2023-02-14T07:24:00Z</dcterms:modified>
</cp:coreProperties>
</file>

<file path=customXml/itemProps1.xml><?xml version="1.0" encoding="utf-8"?>
<ds:datastoreItem xmlns:ds="http://schemas.openxmlformats.org/officeDocument/2006/customXml" ds:itemID="{3DC20D26-D172-4630-A63A-44A6F21F90C3}">
  <ds:schemaRefs/>
</ds:datastoreItem>
</file>

<file path=customXml/itemProps10.xml><?xml version="1.0" encoding="utf-8"?>
<ds:datastoreItem xmlns:ds="http://schemas.openxmlformats.org/officeDocument/2006/customXml" ds:itemID="{2942581C-0210-4955-9517-052A416E7694}">
  <ds:schemaRefs/>
</ds:datastoreItem>
</file>

<file path=customXml/itemProps2.xml><?xml version="1.0" encoding="utf-8"?>
<ds:datastoreItem xmlns:ds="http://schemas.openxmlformats.org/officeDocument/2006/customXml" ds:itemID="{AC3B8805-3E2E-4E2B-BDC1-82B977334B66}">
  <ds:schemaRefs/>
</ds:datastoreItem>
</file>

<file path=customXml/itemProps3.xml><?xml version="1.0" encoding="utf-8"?>
<ds:datastoreItem xmlns:ds="http://schemas.openxmlformats.org/officeDocument/2006/customXml" ds:itemID="{4B60CDD0-67D1-4533-A29F-542EF1D139D8}">
  <ds:schemaRefs/>
</ds:datastoreItem>
</file>

<file path=customXml/itemProps4.xml><?xml version="1.0" encoding="utf-8"?>
<ds:datastoreItem xmlns:ds="http://schemas.openxmlformats.org/officeDocument/2006/customXml" ds:itemID="{DD608545-8AA6-4573-BF10-24F7B4178BB8}">
  <ds:schemaRefs/>
</ds:datastoreItem>
</file>

<file path=customXml/itemProps5.xml><?xml version="1.0" encoding="utf-8"?>
<ds:datastoreItem xmlns:ds="http://schemas.openxmlformats.org/officeDocument/2006/customXml" ds:itemID="{EC00C575-E2EB-497C-862D-EFAFB8EE6BB3}">
  <ds:schemaRefs/>
</ds:datastoreItem>
</file>

<file path=customXml/itemProps6.xml><?xml version="1.0" encoding="utf-8"?>
<ds:datastoreItem xmlns:ds="http://schemas.openxmlformats.org/officeDocument/2006/customXml" ds:itemID="{A72E5631-8145-4A37-9974-604F1E28ED53}">
  <ds:schemaRefs/>
</ds:datastoreItem>
</file>

<file path=customXml/itemProps7.xml><?xml version="1.0" encoding="utf-8"?>
<ds:datastoreItem xmlns:ds="http://schemas.openxmlformats.org/officeDocument/2006/customXml" ds:itemID="{C291FA82-7C70-4505-8FEC-B9EF69344506}">
  <ds:schemaRefs/>
</ds:datastoreItem>
</file>

<file path=customXml/itemProps8.xml><?xml version="1.0" encoding="utf-8"?>
<ds:datastoreItem xmlns:ds="http://schemas.openxmlformats.org/officeDocument/2006/customXml" ds:itemID="{9294CBBC-F111-43B9-AB81-4324537C5B24}">
  <ds:schemaRefs/>
</ds:datastoreItem>
</file>

<file path=customXml/itemProps9.xml><?xml version="1.0" encoding="utf-8"?>
<ds:datastoreItem xmlns:ds="http://schemas.openxmlformats.org/officeDocument/2006/customXml" ds:itemID="{A82322FB-F0C6-448E-B166-A3FA673D4E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1409</Words>
  <Characters>8037</Characters>
  <Lines>66</Lines>
  <Paragraphs>18</Paragraphs>
  <TotalTime>3</TotalTime>
  <ScaleCrop>false</ScaleCrop>
  <LinksUpToDate>false</LinksUpToDate>
  <CharactersWithSpaces>9428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2023-02-14T07:25:00Z</dcterms:created>
  <dc:creator>Administrator</dc:creator>
  <cp:lastModifiedBy>郭大少爷</cp:lastModifiedBy>
  <dcterms:modified xsi:type="dcterms:W3CDTF">2024-01-18T13:28:01Z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D96DD0C3FC03450D9963CEFAD8BA91D9</vt:lpwstr>
  </property>
</Properties>
</file>