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640"/>
        <w:jc w:val="center"/>
        <w:rPr>
          <w:rFonts w:asciiTheme="minorEastAsia" w:hAnsiTheme="minorEastAsia" w:cstheme="minorEastAsia"/>
          <w:b/>
          <w:bCs/>
          <w:sz w:val="44"/>
          <w:szCs w:val="44"/>
        </w:rPr>
      </w:pPr>
    </w:p>
    <w:p>
      <w:pPr>
        <w:widowControl/>
        <w:spacing w:line="360" w:lineRule="auto"/>
        <w:ind w:left="640"/>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成安县总工会</w:t>
      </w:r>
    </w:p>
    <w:p>
      <w:pPr>
        <w:widowControl/>
        <w:spacing w:line="360" w:lineRule="auto"/>
        <w:ind w:left="640"/>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2021年度</w:t>
      </w:r>
      <w:r>
        <w:rPr>
          <w:rFonts w:hint="eastAsia" w:asciiTheme="minorEastAsia" w:hAnsiTheme="minorEastAsia" w:cstheme="minorEastAsia"/>
          <w:b/>
          <w:bCs/>
          <w:sz w:val="44"/>
          <w:szCs w:val="44"/>
          <w:lang w:eastAsia="zh-CN"/>
        </w:rPr>
        <w:t>单位</w:t>
      </w:r>
      <w:r>
        <w:rPr>
          <w:rFonts w:hint="eastAsia" w:asciiTheme="minorEastAsia" w:hAnsiTheme="minorEastAsia" w:cstheme="minorEastAsia"/>
          <w:b/>
          <w:bCs/>
          <w:sz w:val="44"/>
          <w:szCs w:val="44"/>
        </w:rPr>
        <w:t>预算情况说明</w:t>
      </w:r>
    </w:p>
    <w:p>
      <w:pPr>
        <w:widowControl/>
        <w:spacing w:line="360" w:lineRule="auto"/>
        <w:ind w:left="640"/>
        <w:jc w:val="left"/>
        <w:rPr>
          <w:rFonts w:ascii="黑体" w:hAnsi="黑体" w:eastAsia="黑体" w:cs="黑体"/>
          <w:sz w:val="32"/>
          <w:szCs w:val="32"/>
        </w:rPr>
      </w:pPr>
    </w:p>
    <w:p>
      <w:pPr>
        <w:spacing w:line="58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按照《预算法》有关规定和财政部关于印发《地方预决算公开操作规程》的通知，</w:t>
      </w:r>
      <w:r>
        <w:rPr>
          <w:rFonts w:hint="eastAsia" w:ascii="仿宋" w:hAnsi="仿宋" w:eastAsia="仿宋" w:cs="仿宋_GB2312"/>
          <w:kern w:val="0"/>
          <w:sz w:val="32"/>
          <w:szCs w:val="32"/>
        </w:rPr>
        <w:t>现将成安县档案馆2021年</w:t>
      </w:r>
      <w:r>
        <w:rPr>
          <w:rFonts w:hint="eastAsia" w:ascii="仿宋" w:hAnsi="仿宋" w:eastAsia="仿宋" w:cs="仿宋_GB2312"/>
          <w:kern w:val="0"/>
          <w:sz w:val="32"/>
          <w:szCs w:val="32"/>
          <w:lang w:eastAsia="zh-CN"/>
        </w:rPr>
        <w:t>单位</w:t>
      </w:r>
      <w:r>
        <w:rPr>
          <w:rFonts w:hint="eastAsia" w:ascii="仿宋" w:hAnsi="仿宋" w:eastAsia="仿宋" w:cs="仿宋_GB2312"/>
          <w:kern w:val="0"/>
          <w:sz w:val="32"/>
          <w:szCs w:val="32"/>
        </w:rPr>
        <w:t>预算公开如下：</w:t>
      </w:r>
    </w:p>
    <w:p>
      <w:pPr>
        <w:widowControl/>
        <w:spacing w:line="360" w:lineRule="auto"/>
        <w:ind w:left="640"/>
        <w:jc w:val="left"/>
        <w:rPr>
          <w:rFonts w:ascii="仿宋_GB2312" w:hAnsi="Calibri"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单位</w:t>
      </w:r>
      <w:r>
        <w:rPr>
          <w:rFonts w:hint="eastAsia" w:ascii="黑体" w:hAnsi="黑体" w:eastAsia="黑体" w:cs="黑体"/>
          <w:sz w:val="32"/>
          <w:szCs w:val="32"/>
        </w:rPr>
        <w:t>职责及机构设置情况</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维护职工合法权益是工会的基本职责，终极动员和组织职工参加建设和改革，完成经济和社会发展任务；教育职工不断提高思想道德素质和科学文化素质，建设有思想、有道德、有文化、有纪律的职工队伍。</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3317" w:type="dxa"/>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成安县总工会</w:t>
            </w:r>
          </w:p>
        </w:tc>
        <w:tc>
          <w:tcPr>
            <w:tcW w:w="1134" w:type="dxa"/>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行政</w:t>
            </w:r>
          </w:p>
        </w:tc>
        <w:tc>
          <w:tcPr>
            <w:tcW w:w="1276" w:type="dxa"/>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正科级</w:t>
            </w:r>
          </w:p>
        </w:tc>
        <w:tc>
          <w:tcPr>
            <w:tcW w:w="2902" w:type="dxa"/>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财政性资金零补助</w:t>
            </w:r>
          </w:p>
        </w:tc>
      </w:tr>
    </w:tbl>
    <w:p>
      <w:pPr>
        <w:widowControl/>
        <w:spacing w:line="360" w:lineRule="auto"/>
        <w:ind w:left="628"/>
        <w:jc w:val="left"/>
        <w:rPr>
          <w:rFonts w:ascii="仿宋" w:hAnsi="仿宋" w:eastAsia="仿宋" w:cs="仿宋"/>
          <w:bCs/>
          <w:kern w:val="0"/>
          <w:sz w:val="32"/>
          <w:szCs w:val="32"/>
        </w:rPr>
      </w:pPr>
      <w:r>
        <w:rPr>
          <w:rFonts w:hint="eastAsia" w:ascii="仿宋" w:hAnsi="仿宋" w:eastAsia="仿宋" w:cs="仿宋"/>
          <w:bCs/>
          <w:kern w:val="0"/>
          <w:sz w:val="32"/>
          <w:szCs w:val="32"/>
        </w:rPr>
        <w:t>成安县总工会，预算编码是711，内设2个内部机构。</w:t>
      </w:r>
    </w:p>
    <w:p>
      <w:pPr>
        <w:widowControl/>
        <w:numPr>
          <w:ilvl w:val="0"/>
          <w:numId w:val="1"/>
        </w:numPr>
        <w:spacing w:line="360" w:lineRule="auto"/>
        <w:ind w:left="628"/>
        <w:jc w:val="left"/>
        <w:rPr>
          <w:rFonts w:ascii="仿宋" w:hAnsi="仿宋" w:eastAsia="仿宋" w:cs="仿宋"/>
          <w:bCs/>
          <w:kern w:val="0"/>
          <w:sz w:val="32"/>
          <w:szCs w:val="32"/>
        </w:rPr>
      </w:pPr>
      <w:r>
        <w:rPr>
          <w:rFonts w:hint="eastAsia" w:ascii="仿宋" w:hAnsi="仿宋" w:eastAsia="仿宋" w:cs="仿宋"/>
          <w:bCs/>
          <w:kern w:val="0"/>
          <w:sz w:val="32"/>
          <w:szCs w:val="32"/>
        </w:rPr>
        <w:t>办公室</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xml:space="preserve">     主要负责：日常工作事务，后勤保障。</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2、宣教部</w:t>
      </w:r>
    </w:p>
    <w:p>
      <w:pPr>
        <w:widowControl/>
        <w:spacing w:line="360" w:lineRule="auto"/>
        <w:ind w:firstLine="640" w:firstLineChars="200"/>
        <w:jc w:val="left"/>
        <w:rPr>
          <w:rFonts w:ascii="Calibri" w:hAnsi="Calibri" w:eastAsia="仿宋_GB2312" w:cs="Calibri"/>
          <w:b/>
          <w:kern w:val="0"/>
          <w:sz w:val="32"/>
          <w:szCs w:val="32"/>
        </w:rPr>
      </w:pPr>
      <w:r>
        <w:rPr>
          <w:rFonts w:hint="eastAsia" w:ascii="仿宋" w:hAnsi="仿宋" w:eastAsia="仿宋" w:cs="仿宋"/>
          <w:bCs/>
          <w:kern w:val="0"/>
          <w:sz w:val="32"/>
          <w:szCs w:val="32"/>
        </w:rPr>
        <w:t>主要负责：工会有关法律法规宣传。</w:t>
      </w:r>
    </w:p>
    <w:p>
      <w:pPr>
        <w:widowControl/>
        <w:spacing w:line="360" w:lineRule="auto"/>
        <w:ind w:left="993"/>
        <w:jc w:val="left"/>
        <w:rPr>
          <w:rFonts w:ascii="Calibri" w:hAnsi="Calibri" w:eastAsia="仿宋_GB2312" w:cs="Calibri"/>
          <w:b/>
          <w:kern w:val="0"/>
          <w:sz w:val="32"/>
          <w:szCs w:val="32"/>
        </w:rPr>
      </w:pPr>
      <w:r>
        <w:rPr>
          <w:rFonts w:hint="eastAsia" w:ascii="Calibri" w:hAnsi="Calibri" w:eastAsia="仿宋_GB2312" w:cs="Calibri"/>
          <w:b/>
          <w:kern w:val="0"/>
          <w:sz w:val="32"/>
          <w:szCs w:val="32"/>
        </w:rPr>
        <w:t>人员编制和领导职数</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成安县总工会，人员编制8名，其中领导职数3个</w:t>
      </w:r>
    </w:p>
    <w:p>
      <w:pPr>
        <w:pStyle w:val="10"/>
        <w:widowControl/>
        <w:spacing w:line="360" w:lineRule="auto"/>
        <w:ind w:left="720" w:firstLine="0" w:firstLineChars="0"/>
        <w:jc w:val="left"/>
        <w:rPr>
          <w:rFonts w:ascii="黑体" w:hAnsi="黑体" w:eastAsia="黑体" w:cs="仿宋_GB2312"/>
          <w:kern w:val="0"/>
          <w:sz w:val="32"/>
          <w:szCs w:val="32"/>
        </w:rPr>
      </w:pPr>
      <w:r>
        <w:rPr>
          <w:rFonts w:hint="eastAsia" w:ascii="黑体" w:hAnsi="黑体" w:eastAsia="黑体" w:cs="仿宋_GB2312"/>
          <w:b/>
          <w:kern w:val="0"/>
          <w:sz w:val="32"/>
          <w:szCs w:val="32"/>
        </w:rPr>
        <w:t>二、预算安排总体情况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w:t>
      </w:r>
      <w:r>
        <w:rPr>
          <w:rFonts w:hint="eastAsia" w:ascii="仿宋" w:hAnsi="仿宋" w:eastAsia="仿宋" w:cs="仿宋"/>
          <w:sz w:val="32"/>
          <w:szCs w:val="32"/>
          <w:lang w:eastAsia="zh-CN"/>
        </w:rPr>
        <w:t>单位</w:t>
      </w:r>
      <w:r>
        <w:rPr>
          <w:rFonts w:hint="eastAsia" w:ascii="仿宋" w:hAnsi="仿宋" w:eastAsia="仿宋" w:cs="仿宋"/>
          <w:sz w:val="32"/>
          <w:szCs w:val="32"/>
        </w:rPr>
        <w:t>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
          <w:sz w:val="32"/>
          <w:szCs w:val="32"/>
        </w:rPr>
      </w:pPr>
      <w:r>
        <w:rPr>
          <w:rFonts w:hint="eastAsia" w:ascii="宋体" w:hAnsi="宋体" w:eastAsia="宋体" w:cs="Times New Roman"/>
          <w:sz w:val="32"/>
          <w:szCs w:val="32"/>
        </w:rPr>
        <w:t>2021</w:t>
      </w:r>
      <w:r>
        <w:rPr>
          <w:rFonts w:hint="eastAsia" w:ascii="仿宋" w:hAnsi="仿宋" w:eastAsia="仿宋" w:cs="仿宋"/>
          <w:sz w:val="32"/>
          <w:szCs w:val="32"/>
        </w:rPr>
        <w:t>年预算收入155.27万元，其中：一般公共预算收入155.27万元，政府性基金收入0万元，国有资本经营收入0万元，事业收入0万元，其他收入0万元。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2021年支出预算155.27万元，其中基本支出155.27万元，包括人员经费和日常公用经费；项目支出0万元。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仿宋"/>
          <w:color w:val="FF0000"/>
          <w:sz w:val="32"/>
          <w:szCs w:val="32"/>
        </w:rPr>
      </w:pPr>
      <w:r>
        <w:rPr>
          <w:rFonts w:hint="eastAsia" w:ascii="仿宋" w:hAnsi="仿宋" w:eastAsia="仿宋" w:cs="仿宋"/>
          <w:sz w:val="32"/>
          <w:szCs w:val="32"/>
        </w:rPr>
        <w:t>2021年预算收支安排155.27万元，较2020年预算增加34.23万元，</w:t>
      </w:r>
      <w:r>
        <w:rPr>
          <w:rFonts w:hint="eastAsia" w:ascii="仿宋" w:hAnsi="仿宋" w:eastAsia="仿宋" w:cs="仿宋_GB2312"/>
          <w:kern w:val="0"/>
          <w:sz w:val="32"/>
          <w:szCs w:val="32"/>
        </w:rPr>
        <w:t>主要是2020年包括社会保险资金、人员增加。</w:t>
      </w:r>
    </w:p>
    <w:p>
      <w:pPr>
        <w:pStyle w:val="10"/>
        <w:widowControl/>
        <w:spacing w:line="360" w:lineRule="auto"/>
        <w:ind w:left="720" w:firstLine="0" w:firstLineChars="0"/>
        <w:jc w:val="left"/>
        <w:rPr>
          <w:rFonts w:ascii="仿宋_GB2312" w:hAnsi="Calibri" w:eastAsia="仿宋_GB2312" w:cs="仿宋_GB2312"/>
          <w:b/>
          <w:bCs/>
          <w:kern w:val="0"/>
          <w:sz w:val="32"/>
          <w:szCs w:val="32"/>
        </w:rPr>
      </w:pPr>
      <w:r>
        <w:rPr>
          <w:rFonts w:hint="eastAsia" w:ascii="仿宋_GB2312" w:hAnsi="Calibri" w:eastAsia="仿宋_GB2312" w:cs="仿宋_GB2312"/>
          <w:b/>
          <w:bCs/>
          <w:kern w:val="0"/>
          <w:sz w:val="32"/>
          <w:szCs w:val="32"/>
        </w:rPr>
        <w:t>三、机关运行经费情况</w:t>
      </w:r>
    </w:p>
    <w:p>
      <w:pPr>
        <w:widowControl/>
        <w:spacing w:line="360" w:lineRule="auto"/>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日常公用经费安排8万元，包括：办公费、差旅费、交通费、会议费、招待费、其他支出等。</w:t>
      </w:r>
    </w:p>
    <w:p>
      <w:pPr>
        <w:widowControl/>
        <w:spacing w:line="360" w:lineRule="auto"/>
        <w:ind w:firstLine="643" w:firstLineChars="200"/>
        <w:jc w:val="left"/>
        <w:rPr>
          <w:rFonts w:ascii="仿宋_GB2312" w:hAnsi="Calibri" w:eastAsia="仿宋_GB2312" w:cs="仿宋_GB2312"/>
          <w:b/>
          <w:bCs/>
          <w:kern w:val="0"/>
          <w:sz w:val="32"/>
          <w:szCs w:val="32"/>
        </w:rPr>
      </w:pPr>
      <w:r>
        <w:rPr>
          <w:rFonts w:hint="eastAsia" w:ascii="仿宋_GB2312" w:hAnsi="Calibri" w:eastAsia="仿宋_GB2312" w:cs="仿宋_GB2312"/>
          <w:b/>
          <w:bCs/>
          <w:kern w:val="0"/>
          <w:sz w:val="32"/>
          <w:szCs w:val="32"/>
        </w:rPr>
        <w:t>四、“三公”经费预算情况</w:t>
      </w:r>
    </w:p>
    <w:p>
      <w:pPr>
        <w:autoSpaceDE w:val="0"/>
        <w:autoSpaceDN w:val="0"/>
        <w:adjustRightInd w:val="0"/>
        <w:spacing w:line="560" w:lineRule="exact"/>
        <w:ind w:firstLine="640" w:firstLineChars="200"/>
        <w:jc w:val="left"/>
        <w:rPr>
          <w:rFonts w:ascii="黑体" w:hAnsi="黑体" w:eastAsia="黑体" w:cs="黑体"/>
          <w:color w:val="FF0000"/>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经费预算安排0万元，其中因公出国（境）费0万元；公务用车购置及运维费0万元（其中：公务用车购置费为0万元，公务用车运行费0万元</w:t>
      </w:r>
      <w:r>
        <w:rPr>
          <w:rFonts w:ascii="仿宋" w:hAnsi="仿宋" w:eastAsia="仿宋" w:cs="Times New Roman"/>
          <w:sz w:val="32"/>
          <w:szCs w:val="32"/>
        </w:rPr>
        <w:t>)</w:t>
      </w:r>
      <w:r>
        <w:rPr>
          <w:rFonts w:hint="eastAsia" w:ascii="仿宋" w:hAnsi="仿宋" w:eastAsia="仿宋" w:cs="方正仿宋_GBK"/>
          <w:sz w:val="32"/>
          <w:szCs w:val="32"/>
        </w:rPr>
        <w:t>；公务接待费0万元,培训费0万元。因公出国（境）费与2020年相比持平；公务用车购置费与2020年相比持平；公务用车运行费与2020年相比持平；公务接待费与2020年相比持平；培训费与2020年相比持平。</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360" w:lineRule="auto"/>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（一）总体绩效目标</w:t>
      </w:r>
    </w:p>
    <w:p>
      <w:pPr>
        <w:spacing w:line="360" w:lineRule="auto"/>
        <w:ind w:firstLine="630"/>
        <w:jc w:val="left"/>
        <w:rPr>
          <w:rFonts w:ascii="仿宋_GB2312" w:hAnsi="Times New Roman" w:eastAsia="仿宋_GB2312"/>
          <w:sz w:val="32"/>
          <w:szCs w:val="32"/>
        </w:rPr>
      </w:pPr>
      <w:r>
        <w:rPr>
          <w:rFonts w:ascii="仿宋_GB2312" w:hAnsi="Times New Roman" w:eastAsia="仿宋_GB2312"/>
          <w:sz w:val="32"/>
          <w:szCs w:val="32"/>
        </w:rPr>
        <w:t>20</w:t>
      </w:r>
      <w:r>
        <w:rPr>
          <w:rFonts w:hint="eastAsia" w:ascii="仿宋_GB2312" w:hAnsi="Times New Roman" w:eastAsia="仿宋_GB2312"/>
          <w:sz w:val="32"/>
          <w:szCs w:val="32"/>
        </w:rPr>
        <w:t>21年县工会工作的总体目标是：深入学习贯彻习近平总书记系列重要讲话精神，按照市委和上级工会的决策部署，依法履职，改革创新，服务大局，服务职工，切实加强基层工会建设，不断提高维权能力，抓好大事、善事、要事和有影响的事，团结动员广大职工为开创建设宜居宜业宜游富强邯郸、美丽邯郸新局面贡献力量。</w:t>
      </w:r>
    </w:p>
    <w:p>
      <w:pPr>
        <w:spacing w:line="360" w:lineRule="auto"/>
        <w:ind w:firstLine="630"/>
        <w:jc w:val="left"/>
        <w:rPr>
          <w:rFonts w:hint="eastAsia" w:ascii="仿宋_GB2312" w:hAnsi="Times New Roman" w:eastAsia="仿宋_GB2312"/>
          <w:sz w:val="32"/>
          <w:szCs w:val="32"/>
        </w:rPr>
      </w:pPr>
      <w:r>
        <w:rPr>
          <w:rFonts w:hint="eastAsia" w:ascii="仿宋_GB2312" w:hAnsi="Times New Roman" w:eastAsia="仿宋_GB2312"/>
          <w:sz w:val="32"/>
          <w:szCs w:val="32"/>
        </w:rPr>
        <w:t>（二）分项绩效目标</w:t>
      </w:r>
    </w:p>
    <w:p>
      <w:pPr>
        <w:spacing w:line="360" w:lineRule="auto"/>
        <w:ind w:firstLine="630"/>
        <w:jc w:val="left"/>
        <w:rPr>
          <w:rFonts w:ascii="仿宋_GB2312" w:hAnsi="Times New Roman" w:eastAsia="仿宋_GB2312"/>
          <w:sz w:val="32"/>
          <w:szCs w:val="32"/>
        </w:rPr>
      </w:pPr>
      <w:r>
        <w:rPr>
          <w:rFonts w:hint="eastAsia" w:ascii="仿宋_GB2312" w:hAnsi="Times New Roman" w:eastAsia="仿宋_GB2312"/>
          <w:sz w:val="32"/>
          <w:szCs w:val="32"/>
        </w:rPr>
        <w:t>1.以职工经济技术创新引领群众性劳动竞赛，为促进成安经济稳步较快增长作出新贡献。</w:t>
      </w:r>
    </w:p>
    <w:p>
      <w:pPr>
        <w:spacing w:line="360" w:lineRule="auto"/>
        <w:ind w:firstLine="630"/>
        <w:jc w:val="left"/>
        <w:rPr>
          <w:rFonts w:ascii="仿宋_GB2312" w:hAnsi="Times New Roman" w:eastAsia="仿宋_GB2312"/>
          <w:sz w:val="32"/>
          <w:szCs w:val="32"/>
        </w:rPr>
      </w:pPr>
      <w:r>
        <w:rPr>
          <w:rFonts w:hint="eastAsia" w:ascii="仿宋_GB2312" w:hAnsi="Times New Roman" w:eastAsia="仿宋_GB2312"/>
          <w:sz w:val="32"/>
          <w:szCs w:val="32"/>
        </w:rPr>
        <w:t>2.坚持用法治思维开展工作，不断提高依法履职、依法维权能力。</w:t>
      </w:r>
    </w:p>
    <w:p>
      <w:pPr>
        <w:spacing w:line="360" w:lineRule="auto"/>
        <w:ind w:firstLine="630"/>
        <w:jc w:val="left"/>
        <w:rPr>
          <w:rFonts w:ascii="仿宋_GB2312" w:hAnsi="Times New Roman" w:eastAsia="仿宋_GB2312"/>
          <w:sz w:val="32"/>
          <w:szCs w:val="32"/>
        </w:rPr>
      </w:pPr>
      <w:r>
        <w:rPr>
          <w:rFonts w:hint="eastAsia" w:ascii="仿宋_GB2312" w:hAnsi="Times New Roman" w:eastAsia="仿宋_GB2312"/>
          <w:sz w:val="32"/>
          <w:szCs w:val="32"/>
        </w:rPr>
        <w:t>3.积极实施精准帮扶，为职工做好事办实事解难事。</w:t>
      </w:r>
    </w:p>
    <w:p>
      <w:pPr>
        <w:spacing w:line="360" w:lineRule="auto"/>
        <w:ind w:firstLine="630"/>
        <w:jc w:val="left"/>
        <w:rPr>
          <w:rFonts w:ascii="仿宋_GB2312" w:hAnsi="Times New Roman" w:eastAsia="仿宋_GB2312"/>
          <w:sz w:val="32"/>
          <w:szCs w:val="32"/>
        </w:rPr>
      </w:pPr>
      <w:r>
        <w:rPr>
          <w:rFonts w:hint="eastAsia" w:ascii="仿宋_GB2312" w:hAnsi="Times New Roman" w:eastAsia="仿宋_GB2312"/>
          <w:sz w:val="32"/>
          <w:szCs w:val="32"/>
        </w:rPr>
        <w:t>4.以改革创新精神加强自身建设，不断提高履职能力和服务水平。在突出抓好以上工作的同时，还要要突出女职工工作特色，加强对女职工的维权服务。理顺产业工会组织体制，建立起具有产业特征和行业特点的产业工会格局。</w:t>
      </w:r>
    </w:p>
    <w:p>
      <w:pPr>
        <w:ind w:firstLine="640" w:firstLineChars="200"/>
        <w:rPr>
          <w:rFonts w:ascii="Calibri" w:hAnsi="Calibri" w:eastAsia="仿宋_GB2312" w:cs="Calibri"/>
          <w:sz w:val="32"/>
          <w:szCs w:val="32"/>
        </w:rPr>
      </w:pPr>
      <w:r>
        <w:rPr>
          <w:rFonts w:hint="eastAsia" w:ascii="Calibri" w:hAnsi="Calibri" w:eastAsia="仿宋_GB2312" w:cs="Calibri"/>
          <w:sz w:val="32"/>
          <w:szCs w:val="32"/>
        </w:rPr>
        <w:t>（三）工作保障措施</w:t>
      </w:r>
    </w:p>
    <w:p>
      <w:pPr>
        <w:spacing w:line="360" w:lineRule="auto"/>
        <w:ind w:firstLine="640" w:firstLineChars="200"/>
        <w:rPr>
          <w:rFonts w:ascii="Calibri" w:hAnsi="Calibri" w:eastAsia="仿宋_GB2312" w:cs="Calibri"/>
          <w:sz w:val="32"/>
          <w:szCs w:val="32"/>
        </w:rPr>
        <w:sectPr>
          <w:pgSz w:w="11907" w:h="16839"/>
          <w:pgMar w:top="1020" w:right="1134" w:bottom="1020" w:left="1134" w:header="851" w:footer="992" w:gutter="0"/>
          <w:cols w:space="425" w:num="1"/>
          <w:docGrid w:type="lines" w:linePitch="312" w:charSpace="0"/>
        </w:sectPr>
      </w:pPr>
      <w:r>
        <w:rPr>
          <w:rFonts w:hint="eastAsia" w:ascii="仿宋_GB2312" w:hAnsi="仿宋_GB2312" w:eastAsia="仿宋_GB2312" w:cs="仿宋_GB2312"/>
          <w:color w:val="333333"/>
          <w:kern w:val="0"/>
          <w:sz w:val="32"/>
          <w:szCs w:val="32"/>
        </w:rPr>
        <w:t>围绕职工合法权益的重大问题进行调查研究，向市总工会反映职工群众的思想、愿望和要求，提出意见和建议。参与涉及职工切身利益的有关地方性法规和政策、措施、制度的拟定；参与职工重大伤亡事故的调查处理。依照法律和《中国工会章程》，组织和指导全县各级工会坚定不移地落实党的全心全意依靠工人阶级的根本指导方针，进一步突出和履行维护职能。</w:t>
      </w:r>
    </w:p>
    <w:tbl>
      <w:tblPr>
        <w:tblStyle w:val="6"/>
        <w:tblW w:w="14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198"/>
        <w:gridCol w:w="850"/>
        <w:gridCol w:w="843"/>
        <w:gridCol w:w="858"/>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767"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711</w:t>
            </w:r>
            <w:r>
              <w:rPr>
                <w:rFonts w:hint="eastAsia" w:ascii="方正小标宋_GBK" w:eastAsia="方正小标宋_GBK"/>
                <w:sz w:val="24"/>
                <w:lang w:val="en-US" w:eastAsia="zh-CN"/>
              </w:rPr>
              <w:t>001</w:t>
            </w:r>
            <w:r>
              <w:rPr>
                <w:rFonts w:hint="eastAsia" w:ascii="方正小标宋_GBK" w:eastAsia="方正小标宋_GBK"/>
                <w:sz w:val="24"/>
              </w:rPr>
              <w:t>成安县总工会</w:t>
            </w:r>
          </w:p>
        </w:tc>
        <w:tc>
          <w:tcPr>
            <w:tcW w:w="34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98"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4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198" w:type="dxa"/>
            <w:vMerge w:val="continue"/>
            <w:vAlign w:val="center"/>
          </w:tcPr>
          <w:p>
            <w:pPr>
              <w:spacing w:line="300" w:lineRule="exact"/>
              <w:jc w:val="left"/>
              <w:outlineLvl w:val="0"/>
            </w:pP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843"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858"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9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维护职工合法权益</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各级组织职工开展民主选举、民主决策、民主管理和民主监督工作；推动基层工会建立集体合同制度、工资集体协商和监督保证机制；参与职工安全生产保护工作；为工会组织、干部、职工提供维权渠道。</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确保职工合法权益得到有效保障，改善困难劳模生活困境，提升广大职工技术技能素质。</w:t>
            </w:r>
          </w:p>
        </w:tc>
        <w:tc>
          <w:tcPr>
            <w:tcW w:w="1198" w:type="dxa"/>
            <w:vAlign w:val="center"/>
          </w:tcPr>
          <w:p>
            <w:pPr>
              <w:spacing w:line="300" w:lineRule="exact"/>
              <w:jc w:val="left"/>
              <w:rPr>
                <w:rFonts w:ascii="方正书宋_GBK" w:eastAsia="方正书宋_GBK"/>
              </w:rPr>
            </w:pPr>
          </w:p>
        </w:tc>
        <w:tc>
          <w:tcPr>
            <w:tcW w:w="850"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95%</w:t>
            </w:r>
          </w:p>
        </w:tc>
        <w:tc>
          <w:tcPr>
            <w:tcW w:w="843"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93%</w:t>
            </w:r>
          </w:p>
        </w:tc>
        <w:tc>
          <w:tcPr>
            <w:tcW w:w="858"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90%</w:t>
            </w:r>
          </w:p>
        </w:tc>
        <w:tc>
          <w:tcPr>
            <w:tcW w:w="897"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提升职工技能及创新水平</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围绕县委、县政府提出的重点工程、重点项目和重点领域，组织全县职工开展劳动竞赛，大力推进实施职工经济技术创新工程。</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有效促进全县重点工程、重点项目和重点领域的建设，为全县经济社会持续健康发展建功立业。</w:t>
            </w:r>
          </w:p>
        </w:tc>
        <w:tc>
          <w:tcPr>
            <w:tcW w:w="1198" w:type="dxa"/>
            <w:vAlign w:val="center"/>
          </w:tcPr>
          <w:p>
            <w:pPr>
              <w:spacing w:line="300" w:lineRule="exact"/>
              <w:jc w:val="left"/>
              <w:rPr>
                <w:rFonts w:ascii="方正书宋_GBK" w:eastAsia="方正书宋_GBK"/>
              </w:rPr>
            </w:pPr>
          </w:p>
        </w:tc>
        <w:tc>
          <w:tcPr>
            <w:tcW w:w="850"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95%</w:t>
            </w:r>
          </w:p>
        </w:tc>
        <w:tc>
          <w:tcPr>
            <w:tcW w:w="843"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93%</w:t>
            </w:r>
          </w:p>
        </w:tc>
        <w:tc>
          <w:tcPr>
            <w:tcW w:w="858"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90%</w:t>
            </w:r>
          </w:p>
        </w:tc>
        <w:tc>
          <w:tcPr>
            <w:tcW w:w="897"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工会事务管理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研究指导全县工会自身建设；承担县委、县政府及全国总工会交办的其他事项。</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加强组织和干部队伍建设，提高干部业务素质和大型企事业单位工会领导干部水平，促进工会事业发展。</w:t>
            </w:r>
          </w:p>
        </w:tc>
        <w:tc>
          <w:tcPr>
            <w:tcW w:w="1198" w:type="dxa"/>
            <w:vAlign w:val="center"/>
          </w:tcPr>
          <w:p>
            <w:pPr>
              <w:spacing w:line="300" w:lineRule="exact"/>
              <w:jc w:val="left"/>
              <w:rPr>
                <w:rFonts w:ascii="方正书宋_GBK" w:eastAsia="方正书宋_GBK"/>
              </w:rPr>
            </w:pPr>
          </w:p>
        </w:tc>
        <w:tc>
          <w:tcPr>
            <w:tcW w:w="850"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95%</w:t>
            </w:r>
          </w:p>
        </w:tc>
        <w:tc>
          <w:tcPr>
            <w:tcW w:w="843"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93%</w:t>
            </w:r>
          </w:p>
        </w:tc>
        <w:tc>
          <w:tcPr>
            <w:tcW w:w="858"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90%</w:t>
            </w:r>
          </w:p>
        </w:tc>
        <w:tc>
          <w:tcPr>
            <w:tcW w:w="897"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综合事务管理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研究指导全县工会自身改革和建设；负责工会干部管理制度和培训规划制定以及培训工作；承担县委、县政府及全国总工会交办的其他事项。</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切实提高工会综合事务管理水平，保障单位的正常运转</w:t>
            </w:r>
          </w:p>
        </w:tc>
        <w:tc>
          <w:tcPr>
            <w:tcW w:w="1198"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850"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95%</w:t>
            </w:r>
          </w:p>
        </w:tc>
        <w:tc>
          <w:tcPr>
            <w:tcW w:w="843" w:type="dxa"/>
            <w:vAlign w:val="center"/>
          </w:tcPr>
          <w:p>
            <w:pPr>
              <w:spacing w:line="300" w:lineRule="exact"/>
              <w:jc w:val="center"/>
              <w:rPr>
                <w:rFonts w:ascii="方正书宋_GBK" w:eastAsia="方正书宋_GBK"/>
              </w:rPr>
            </w:pPr>
            <w:r>
              <w:rPr>
                <w:rFonts w:hint="eastAsia" w:ascii="宋体" w:hAnsi="宋体" w:eastAsia="宋体"/>
              </w:rPr>
              <w:t>≥</w:t>
            </w:r>
            <w:r>
              <w:rPr>
                <w:rFonts w:ascii="方正书宋_GBK" w:eastAsia="方正书宋_GBK"/>
              </w:rPr>
              <w:t>9</w:t>
            </w:r>
            <w:r>
              <w:rPr>
                <w:rFonts w:hint="eastAsia" w:ascii="方正书宋_GBK" w:eastAsia="方正书宋_GBK"/>
              </w:rPr>
              <w:t>3%</w:t>
            </w:r>
          </w:p>
        </w:tc>
        <w:tc>
          <w:tcPr>
            <w:tcW w:w="858"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90%</w:t>
            </w:r>
          </w:p>
        </w:tc>
        <w:tc>
          <w:tcPr>
            <w:tcW w:w="897" w:type="dxa"/>
            <w:vAlign w:val="center"/>
          </w:tcPr>
          <w:p>
            <w:pPr>
              <w:spacing w:line="300" w:lineRule="exact"/>
              <w:jc w:val="center"/>
              <w:rPr>
                <w:rFonts w:ascii="方正书宋_GBK" w:eastAsia="方正书宋_GBK"/>
              </w:rPr>
            </w:pPr>
            <w:r>
              <w:rPr>
                <w:rFonts w:hint="eastAsia" w:ascii="宋体" w:hAnsi="宋体" w:eastAsia="宋体"/>
              </w:rPr>
              <w:t>＜</w:t>
            </w:r>
            <w:r>
              <w:rPr>
                <w:rFonts w:hint="eastAsia" w:ascii="方正书宋_GBK" w:eastAsia="方正书宋_GBK"/>
              </w:rPr>
              <w:t>90%</w:t>
            </w:r>
          </w:p>
        </w:tc>
      </w:tr>
    </w:tbl>
    <w:p>
      <w:pPr>
        <w:widowControl/>
        <w:spacing w:line="360" w:lineRule="auto"/>
        <w:jc w:val="left"/>
        <w:rPr>
          <w:rFonts w:ascii="Calibri" w:hAnsi="Calibri" w:eastAsia="仿宋_GB2312" w:cs="Calibri"/>
          <w:b/>
          <w:kern w:val="0"/>
          <w:sz w:val="32"/>
          <w:szCs w:val="32"/>
        </w:rPr>
        <w:sectPr>
          <w:pgSz w:w="16839" w:h="11907" w:orient="landscape"/>
          <w:pgMar w:top="1134" w:right="1020" w:bottom="1134" w:left="1020" w:header="851" w:footer="992" w:gutter="0"/>
          <w:cols w:space="0" w:num="1"/>
          <w:docGrid w:type="lines" w:linePitch="321" w:charSpace="0"/>
        </w:sectPr>
      </w:pPr>
    </w:p>
    <w:p>
      <w:pPr>
        <w:pStyle w:val="10"/>
        <w:widowControl/>
        <w:numPr>
          <w:ilvl w:val="0"/>
          <w:numId w:val="2"/>
        </w:numPr>
        <w:spacing w:line="360" w:lineRule="auto"/>
        <w:ind w:firstLineChars="0"/>
        <w:jc w:val="left"/>
        <w:rPr>
          <w:rFonts w:ascii="Calibri" w:hAnsi="Calibri" w:eastAsia="仿宋_GB2312" w:cs="Calibri"/>
          <w:b/>
          <w:kern w:val="0"/>
          <w:sz w:val="32"/>
          <w:szCs w:val="32"/>
        </w:rPr>
      </w:pPr>
      <w:r>
        <w:rPr>
          <w:rFonts w:hint="eastAsia" w:ascii="Calibri" w:hAnsi="Calibri" w:eastAsia="仿宋_GB2312" w:cs="Calibri"/>
          <w:b/>
          <w:kern w:val="0"/>
          <w:sz w:val="32"/>
          <w:szCs w:val="32"/>
        </w:rPr>
        <w:t>政府采购预算情况</w:t>
      </w:r>
    </w:p>
    <w:p>
      <w:pPr>
        <w:widowControl/>
        <w:spacing w:line="360" w:lineRule="auto"/>
        <w:ind w:left="638" w:leftChars="304" w:firstLine="640"/>
        <w:jc w:val="left"/>
        <w:rPr>
          <w:rFonts w:ascii="仿宋_GB2312" w:hAnsi="微软雅黑" w:eastAsia="仿宋_GB2312" w:cs="仿宋_GB2312"/>
          <w:kern w:val="0"/>
          <w:sz w:val="32"/>
          <w:szCs w:val="32"/>
        </w:rPr>
      </w:pP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_GB2312" w:hAnsi="微软雅黑" w:eastAsia="仿宋_GB2312" w:cs="仿宋_GB2312"/>
          <w:kern w:val="0"/>
          <w:sz w:val="32"/>
          <w:szCs w:val="32"/>
        </w:rPr>
        <w:t>单位</w:t>
      </w:r>
      <w:r>
        <w:rPr>
          <w:rFonts w:ascii="仿宋_GB2312" w:hAnsi="微软雅黑" w:eastAsia="仿宋_GB2312" w:cs="仿宋_GB2312"/>
          <w:kern w:val="0"/>
          <w:sz w:val="32"/>
          <w:szCs w:val="32"/>
        </w:rPr>
        <w:t>实际，</w:t>
      </w:r>
      <w:r>
        <w:rPr>
          <w:rFonts w:hint="eastAsia" w:ascii="仿宋_GB2312" w:hAnsi="微软雅黑" w:eastAsia="仿宋_GB2312" w:cs="仿宋_GB2312"/>
          <w:kern w:val="0"/>
          <w:sz w:val="32"/>
          <w:szCs w:val="32"/>
        </w:rPr>
        <w:t>2021</w:t>
      </w:r>
      <w:r>
        <w:rPr>
          <w:rFonts w:ascii="仿宋_GB2312" w:hAnsi="微软雅黑" w:eastAsia="仿宋_GB2312" w:cs="仿宋_GB2312"/>
          <w:kern w:val="0"/>
          <w:sz w:val="32"/>
          <w:szCs w:val="32"/>
        </w:rPr>
        <w:t>年我</w:t>
      </w:r>
      <w:r>
        <w:rPr>
          <w:rFonts w:hint="eastAsia" w:ascii="仿宋_GB2312" w:hAnsi="微软雅黑" w:eastAsia="仿宋_GB2312" w:cs="仿宋_GB2312"/>
          <w:kern w:val="0"/>
          <w:sz w:val="32"/>
          <w:szCs w:val="32"/>
        </w:rPr>
        <w:t>单位</w:t>
      </w:r>
      <w:r>
        <w:rPr>
          <w:rFonts w:ascii="仿宋_GB2312" w:hAnsi="微软雅黑" w:eastAsia="仿宋_GB2312" w:cs="仿宋_GB2312"/>
          <w:kern w:val="0"/>
          <w:sz w:val="32"/>
          <w:szCs w:val="32"/>
        </w:rPr>
        <w:t>政府采购事项</w:t>
      </w:r>
      <w:r>
        <w:rPr>
          <w:rFonts w:hint="eastAsia" w:ascii="仿宋_GB2312" w:hAnsi="微软雅黑" w:eastAsia="仿宋_GB2312" w:cs="仿宋_GB2312"/>
          <w:kern w:val="0"/>
          <w:sz w:val="32"/>
          <w:szCs w:val="32"/>
        </w:rPr>
        <w:t>0.6万元，拟购置政府采购0.6万元。其中：打印机1台，金额0.6万元。</w:t>
      </w: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widowControl/>
        <w:spacing w:line="360" w:lineRule="auto"/>
        <w:ind w:left="638" w:leftChars="304" w:firstLine="640"/>
        <w:jc w:val="left"/>
        <w:rPr>
          <w:rFonts w:ascii="仿宋_GB2312" w:hAnsi="微软雅黑" w:eastAsia="仿宋_GB2312" w:cs="仿宋_GB2312"/>
          <w:kern w:val="0"/>
          <w:sz w:val="32"/>
          <w:szCs w:val="32"/>
        </w:rPr>
      </w:pPr>
    </w:p>
    <w:p>
      <w:pPr>
        <w:spacing w:line="560" w:lineRule="exact"/>
        <w:jc w:val="center"/>
        <w:outlineLvl w:val="0"/>
        <w:rPr>
          <w:rFonts w:ascii="宋体" w:hAnsi="宋体" w:eastAsia="宋体" w:cs="方正小标宋_GBK"/>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lang w:eastAsia="zh-CN"/>
        </w:rPr>
        <w:t>单位</w:t>
      </w:r>
      <w:r>
        <w:rPr>
          <w:rFonts w:hint="eastAsia" w:ascii="宋体" w:hAnsi="宋体" w:eastAsia="宋体" w:cs="方正小标宋_GBK"/>
          <w:sz w:val="32"/>
          <w:szCs w:val="32"/>
        </w:rPr>
        <w:t>政府采购预算</w:t>
      </w:r>
    </w:p>
    <w:tbl>
      <w:tblPr>
        <w:tblStyle w:val="6"/>
        <w:tblW w:w="96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708"/>
        <w:gridCol w:w="851"/>
        <w:gridCol w:w="1134"/>
        <w:gridCol w:w="425"/>
        <w:gridCol w:w="567"/>
        <w:gridCol w:w="709"/>
        <w:gridCol w:w="709"/>
        <w:gridCol w:w="843"/>
        <w:gridCol w:w="562"/>
        <w:gridCol w:w="511"/>
        <w:gridCol w:w="551"/>
        <w:gridCol w:w="503"/>
        <w:gridCol w:w="48"/>
        <w:gridCol w:w="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564" w:type="dxa"/>
          <w:tblHeader/>
          <w:jc w:val="center"/>
        </w:trPr>
        <w:tc>
          <w:tcPr>
            <w:tcW w:w="4669" w:type="dxa"/>
            <w:gridSpan w:val="6"/>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lang w:eastAsia="zh-CN"/>
              </w:rPr>
              <w:t>单位</w:t>
            </w:r>
            <w:r>
              <w:rPr>
                <w:rFonts w:hint="eastAsia" w:ascii="宋体" w:hAnsi="宋体" w:eastAsia="宋体" w:cs="方正小标宋_GBK"/>
                <w:sz w:val="24"/>
                <w:szCs w:val="24"/>
              </w:rPr>
              <w:t>名称：成安县总工会</w:t>
            </w:r>
          </w:p>
        </w:tc>
        <w:tc>
          <w:tcPr>
            <w:tcW w:w="4388"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92" w:type="dxa"/>
            <w:gridSpan w:val="2"/>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85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113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w:t>
            </w:r>
            <w:bookmarkStart w:id="0" w:name="_GoBack"/>
            <w:bookmarkEnd w:id="0"/>
            <w:r>
              <w:rPr>
                <w:rFonts w:hint="eastAsia" w:ascii="宋体" w:hAnsi="宋体" w:eastAsia="宋体" w:cs="方正书宋_GBK"/>
                <w:b/>
                <w:bCs/>
              </w:rPr>
              <w:t>序号</w:t>
            </w:r>
          </w:p>
        </w:tc>
        <w:tc>
          <w:tcPr>
            <w:tcW w:w="42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56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70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4243" w:type="dxa"/>
            <w:gridSpan w:val="8"/>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84"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项目名称</w:t>
            </w:r>
          </w:p>
        </w:tc>
        <w:tc>
          <w:tcPr>
            <w:tcW w:w="708"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预算资金</w:t>
            </w:r>
          </w:p>
        </w:tc>
        <w:tc>
          <w:tcPr>
            <w:tcW w:w="851" w:type="dxa"/>
            <w:vMerge w:val="continue"/>
            <w:vAlign w:val="center"/>
          </w:tcPr>
          <w:p>
            <w:pPr>
              <w:spacing w:line="560" w:lineRule="exact"/>
              <w:jc w:val="left"/>
              <w:outlineLvl w:val="0"/>
              <w:rPr>
                <w:rFonts w:ascii="宋体" w:hAnsi="宋体" w:eastAsia="宋体" w:cs="Times New Roman"/>
              </w:rPr>
            </w:pPr>
          </w:p>
        </w:tc>
        <w:tc>
          <w:tcPr>
            <w:tcW w:w="1134" w:type="dxa"/>
            <w:vMerge w:val="continue"/>
            <w:vAlign w:val="center"/>
          </w:tcPr>
          <w:p>
            <w:pPr>
              <w:spacing w:line="560" w:lineRule="exact"/>
              <w:jc w:val="left"/>
              <w:outlineLvl w:val="0"/>
              <w:rPr>
                <w:rFonts w:ascii="宋体" w:hAnsi="宋体" w:eastAsia="宋体" w:cs="Times New Roman"/>
              </w:rPr>
            </w:pPr>
          </w:p>
        </w:tc>
        <w:tc>
          <w:tcPr>
            <w:tcW w:w="425" w:type="dxa"/>
            <w:vMerge w:val="continue"/>
            <w:vAlign w:val="center"/>
          </w:tcPr>
          <w:p>
            <w:pPr>
              <w:spacing w:line="560" w:lineRule="exact"/>
              <w:jc w:val="left"/>
              <w:outlineLvl w:val="0"/>
              <w:rPr>
                <w:rFonts w:ascii="宋体" w:hAnsi="宋体" w:eastAsia="宋体" w:cs="Times New Roman"/>
              </w:rPr>
            </w:pPr>
          </w:p>
        </w:tc>
        <w:tc>
          <w:tcPr>
            <w:tcW w:w="567" w:type="dxa"/>
            <w:vMerge w:val="continue"/>
            <w:vAlign w:val="center"/>
          </w:tcPr>
          <w:p>
            <w:pPr>
              <w:spacing w:line="560" w:lineRule="exact"/>
              <w:jc w:val="left"/>
              <w:outlineLvl w:val="0"/>
              <w:rPr>
                <w:rFonts w:ascii="宋体" w:hAnsi="宋体" w:eastAsia="宋体" w:cs="Times New Roman"/>
              </w:rPr>
            </w:pPr>
          </w:p>
        </w:tc>
        <w:tc>
          <w:tcPr>
            <w:tcW w:w="709" w:type="dxa"/>
            <w:vMerge w:val="continue"/>
            <w:vAlign w:val="center"/>
          </w:tcPr>
          <w:p>
            <w:pPr>
              <w:spacing w:line="560" w:lineRule="exact"/>
              <w:jc w:val="left"/>
              <w:outlineLvl w:val="0"/>
              <w:rPr>
                <w:rFonts w:ascii="宋体" w:hAnsi="宋体" w:eastAsia="宋体" w:cs="Times New Roman"/>
              </w:rPr>
            </w:pPr>
          </w:p>
        </w:tc>
        <w:tc>
          <w:tcPr>
            <w:tcW w:w="70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3018" w:type="dxa"/>
            <w:gridSpan w:val="6"/>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w:t>
            </w:r>
            <w:r>
              <w:rPr>
                <w:rFonts w:hint="eastAsia" w:ascii="宋体" w:hAnsi="宋体" w:eastAsia="宋体" w:cs="方正书宋_GBK"/>
                <w:b/>
                <w:bCs/>
                <w:lang w:eastAsia="zh-CN"/>
              </w:rPr>
              <w:t>单位</w:t>
            </w:r>
            <w:r>
              <w:rPr>
                <w:rFonts w:hint="eastAsia" w:ascii="宋体" w:hAnsi="宋体" w:eastAsia="宋体" w:cs="方正书宋_GBK"/>
                <w:b/>
                <w:bCs/>
              </w:rPr>
              <w:t>预算安排资金</w:t>
            </w:r>
          </w:p>
        </w:tc>
        <w:tc>
          <w:tcPr>
            <w:tcW w:w="516"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984" w:type="dxa"/>
            <w:vMerge w:val="continue"/>
            <w:vAlign w:val="center"/>
          </w:tcPr>
          <w:p>
            <w:pPr>
              <w:spacing w:line="560" w:lineRule="exact"/>
              <w:jc w:val="left"/>
              <w:outlineLvl w:val="0"/>
              <w:rPr>
                <w:rFonts w:ascii="宋体" w:hAnsi="宋体" w:eastAsia="宋体" w:cs="Times New Roman"/>
              </w:rPr>
            </w:pPr>
          </w:p>
        </w:tc>
        <w:tc>
          <w:tcPr>
            <w:tcW w:w="708" w:type="dxa"/>
            <w:vMerge w:val="continue"/>
            <w:vAlign w:val="center"/>
          </w:tcPr>
          <w:p>
            <w:pPr>
              <w:spacing w:line="560" w:lineRule="exact"/>
              <w:jc w:val="left"/>
              <w:outlineLvl w:val="0"/>
              <w:rPr>
                <w:rFonts w:ascii="宋体" w:hAnsi="宋体" w:eastAsia="宋体" w:cs="Times New Roman"/>
              </w:rPr>
            </w:pPr>
          </w:p>
        </w:tc>
        <w:tc>
          <w:tcPr>
            <w:tcW w:w="851" w:type="dxa"/>
            <w:vMerge w:val="continue"/>
            <w:vAlign w:val="center"/>
          </w:tcPr>
          <w:p>
            <w:pPr>
              <w:spacing w:line="560" w:lineRule="exact"/>
              <w:jc w:val="left"/>
              <w:outlineLvl w:val="0"/>
              <w:rPr>
                <w:rFonts w:ascii="宋体" w:hAnsi="宋体" w:eastAsia="宋体" w:cs="Times New Roman"/>
              </w:rPr>
            </w:pPr>
          </w:p>
        </w:tc>
        <w:tc>
          <w:tcPr>
            <w:tcW w:w="1134" w:type="dxa"/>
            <w:vMerge w:val="continue"/>
            <w:vAlign w:val="center"/>
          </w:tcPr>
          <w:p>
            <w:pPr>
              <w:spacing w:line="560" w:lineRule="exact"/>
              <w:jc w:val="left"/>
              <w:outlineLvl w:val="0"/>
              <w:rPr>
                <w:rFonts w:ascii="宋体" w:hAnsi="宋体" w:eastAsia="宋体" w:cs="Times New Roman"/>
              </w:rPr>
            </w:pPr>
          </w:p>
        </w:tc>
        <w:tc>
          <w:tcPr>
            <w:tcW w:w="425" w:type="dxa"/>
            <w:vMerge w:val="continue"/>
            <w:vAlign w:val="center"/>
          </w:tcPr>
          <w:p>
            <w:pPr>
              <w:spacing w:line="560" w:lineRule="exact"/>
              <w:jc w:val="left"/>
              <w:outlineLvl w:val="0"/>
              <w:rPr>
                <w:rFonts w:ascii="宋体" w:hAnsi="宋体" w:eastAsia="宋体" w:cs="Times New Roman"/>
              </w:rPr>
            </w:pPr>
          </w:p>
        </w:tc>
        <w:tc>
          <w:tcPr>
            <w:tcW w:w="567" w:type="dxa"/>
            <w:vMerge w:val="continue"/>
            <w:vAlign w:val="center"/>
          </w:tcPr>
          <w:p>
            <w:pPr>
              <w:spacing w:line="560" w:lineRule="exact"/>
              <w:jc w:val="left"/>
              <w:outlineLvl w:val="0"/>
              <w:rPr>
                <w:rFonts w:ascii="宋体" w:hAnsi="宋体" w:eastAsia="宋体" w:cs="Times New Roman"/>
              </w:rPr>
            </w:pPr>
          </w:p>
        </w:tc>
        <w:tc>
          <w:tcPr>
            <w:tcW w:w="709" w:type="dxa"/>
            <w:vMerge w:val="continue"/>
            <w:vAlign w:val="center"/>
          </w:tcPr>
          <w:p>
            <w:pPr>
              <w:spacing w:line="560" w:lineRule="exact"/>
              <w:jc w:val="left"/>
              <w:outlineLvl w:val="0"/>
              <w:rPr>
                <w:rFonts w:ascii="宋体" w:hAnsi="宋体" w:eastAsia="宋体" w:cs="Times New Roman"/>
              </w:rPr>
            </w:pPr>
          </w:p>
        </w:tc>
        <w:tc>
          <w:tcPr>
            <w:tcW w:w="709" w:type="dxa"/>
            <w:vMerge w:val="continue"/>
            <w:vAlign w:val="center"/>
          </w:tcPr>
          <w:p>
            <w:pPr>
              <w:spacing w:line="560" w:lineRule="exact"/>
              <w:jc w:val="left"/>
              <w:outlineLvl w:val="0"/>
              <w:rPr>
                <w:rFonts w:ascii="宋体" w:hAnsi="宋体" w:eastAsia="宋体" w:cs="Times New Roman"/>
              </w:rPr>
            </w:pPr>
          </w:p>
        </w:tc>
        <w:tc>
          <w:tcPr>
            <w:tcW w:w="843"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562"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511"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551"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551" w:type="dxa"/>
            <w:gridSpan w:val="2"/>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516" w:type="dxa"/>
            <w:vMerge w:val="continue"/>
            <w:vAlign w:val="center"/>
          </w:tcPr>
          <w:p>
            <w:pPr>
              <w:spacing w:line="28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708" w:type="dxa"/>
            <w:vAlign w:val="center"/>
          </w:tcPr>
          <w:p>
            <w:pPr>
              <w:spacing w:line="560" w:lineRule="exact"/>
              <w:jc w:val="right"/>
              <w:rPr>
                <w:rFonts w:hint="default" w:ascii="宋体" w:hAnsi="宋体" w:eastAsia="宋体" w:cs="Times New Roman"/>
                <w:b/>
                <w:bCs/>
                <w:lang w:val="en-US" w:eastAsia="zh-CN"/>
              </w:rPr>
            </w:pPr>
            <w:r>
              <w:rPr>
                <w:rFonts w:hint="eastAsia" w:ascii="宋体" w:hAnsi="宋体" w:eastAsia="宋体" w:cs="Times New Roman"/>
                <w:b/>
                <w:bCs/>
                <w:lang w:val="en-US" w:eastAsia="zh-CN"/>
              </w:rPr>
              <w:t>0.6</w:t>
            </w:r>
          </w:p>
        </w:tc>
        <w:tc>
          <w:tcPr>
            <w:tcW w:w="851" w:type="dxa"/>
            <w:vAlign w:val="center"/>
          </w:tcPr>
          <w:p>
            <w:pPr>
              <w:spacing w:line="560" w:lineRule="exact"/>
              <w:jc w:val="left"/>
              <w:rPr>
                <w:rFonts w:ascii="宋体" w:hAnsi="宋体" w:eastAsia="宋体" w:cs="Times New Roman"/>
                <w:b/>
                <w:bCs/>
                <w:kern w:val="2"/>
                <w:sz w:val="21"/>
                <w:szCs w:val="22"/>
                <w:lang w:val="en-US" w:eastAsia="zh-CN" w:bidi="ar-SA"/>
              </w:rPr>
            </w:pPr>
            <w:r>
              <w:rPr>
                <w:rFonts w:hint="eastAsia" w:ascii="宋体" w:hAnsi="宋体" w:eastAsia="宋体" w:cs="Times New Roman"/>
                <w:b/>
                <w:bCs/>
              </w:rPr>
              <w:t>打印机</w:t>
            </w:r>
          </w:p>
        </w:tc>
        <w:tc>
          <w:tcPr>
            <w:tcW w:w="1134" w:type="dxa"/>
            <w:vAlign w:val="center"/>
          </w:tcPr>
          <w:p>
            <w:pPr>
              <w:spacing w:line="560" w:lineRule="exact"/>
              <w:jc w:val="left"/>
              <w:rPr>
                <w:rFonts w:ascii="宋体" w:hAnsi="宋体" w:eastAsia="宋体" w:cs="Times New Roman"/>
                <w:b/>
                <w:bCs/>
                <w:kern w:val="2"/>
                <w:sz w:val="21"/>
                <w:szCs w:val="22"/>
                <w:lang w:val="en-US" w:eastAsia="zh-CN" w:bidi="ar-SA"/>
              </w:rPr>
            </w:pPr>
            <w:r>
              <w:rPr>
                <w:rFonts w:hint="eastAsia" w:ascii="宋体" w:hAnsi="宋体" w:eastAsia="宋体" w:cs="Times New Roman"/>
                <w:b/>
                <w:bCs/>
              </w:rPr>
              <w:t>A0201060199</w:t>
            </w:r>
          </w:p>
        </w:tc>
        <w:tc>
          <w:tcPr>
            <w:tcW w:w="425" w:type="dxa"/>
            <w:vAlign w:val="center"/>
          </w:tcPr>
          <w:p>
            <w:pPr>
              <w:spacing w:line="560" w:lineRule="exact"/>
              <w:jc w:val="left"/>
              <w:rPr>
                <w:rFonts w:ascii="宋体" w:hAnsi="宋体" w:eastAsia="宋体" w:cs="Times New Roman"/>
                <w:b/>
                <w:bCs/>
                <w:kern w:val="2"/>
                <w:sz w:val="21"/>
                <w:szCs w:val="22"/>
                <w:lang w:val="en-US" w:eastAsia="zh-CN" w:bidi="ar-SA"/>
              </w:rPr>
            </w:pPr>
          </w:p>
        </w:tc>
        <w:tc>
          <w:tcPr>
            <w:tcW w:w="567" w:type="dxa"/>
            <w:vAlign w:val="center"/>
          </w:tcPr>
          <w:p>
            <w:pPr>
              <w:spacing w:line="560" w:lineRule="exact"/>
              <w:jc w:val="right"/>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rPr>
              <w:t>1</w:t>
            </w:r>
          </w:p>
        </w:tc>
        <w:tc>
          <w:tcPr>
            <w:tcW w:w="709" w:type="dxa"/>
            <w:vAlign w:val="center"/>
          </w:tcPr>
          <w:p>
            <w:pPr>
              <w:spacing w:line="560" w:lineRule="exact"/>
              <w:jc w:val="right"/>
              <w:rPr>
                <w:rFonts w:ascii="宋体" w:hAnsi="宋体" w:eastAsia="宋体" w:cs="Times New Roman"/>
                <w:b/>
                <w:bCs/>
                <w:kern w:val="2"/>
                <w:sz w:val="21"/>
                <w:szCs w:val="22"/>
                <w:lang w:val="en-US" w:eastAsia="zh-CN" w:bidi="ar-SA"/>
              </w:rPr>
            </w:pPr>
            <w:r>
              <w:rPr>
                <w:rFonts w:hint="eastAsia" w:ascii="宋体" w:hAnsi="宋体" w:eastAsia="宋体" w:cs="Times New Roman"/>
                <w:b/>
                <w:bCs/>
              </w:rPr>
              <w:t>0.6</w:t>
            </w:r>
          </w:p>
        </w:tc>
        <w:tc>
          <w:tcPr>
            <w:tcW w:w="709" w:type="dxa"/>
            <w:vAlign w:val="center"/>
          </w:tcPr>
          <w:p>
            <w:pPr>
              <w:spacing w:line="560" w:lineRule="exact"/>
              <w:jc w:val="right"/>
              <w:rPr>
                <w:rFonts w:ascii="宋体" w:hAnsi="宋体" w:eastAsia="宋体" w:cs="Times New Roman"/>
                <w:b/>
                <w:bCs/>
                <w:kern w:val="2"/>
                <w:sz w:val="21"/>
                <w:szCs w:val="22"/>
                <w:lang w:val="en-US" w:eastAsia="zh-CN" w:bidi="ar-SA"/>
              </w:rPr>
            </w:pPr>
            <w:r>
              <w:rPr>
                <w:rFonts w:hint="eastAsia" w:ascii="宋体" w:hAnsi="宋体" w:eastAsia="宋体" w:cs="Times New Roman"/>
                <w:b/>
                <w:bCs/>
              </w:rPr>
              <w:t>0.6</w:t>
            </w:r>
          </w:p>
        </w:tc>
        <w:tc>
          <w:tcPr>
            <w:tcW w:w="843" w:type="dxa"/>
            <w:vAlign w:val="center"/>
          </w:tcPr>
          <w:p>
            <w:pPr>
              <w:spacing w:line="560" w:lineRule="exact"/>
              <w:jc w:val="right"/>
              <w:rPr>
                <w:rFonts w:ascii="宋体" w:hAnsi="宋体" w:eastAsia="宋体" w:cs="Times New Roman"/>
                <w:b/>
                <w:bCs/>
                <w:kern w:val="2"/>
                <w:sz w:val="21"/>
                <w:szCs w:val="22"/>
                <w:lang w:val="en-US" w:eastAsia="zh-CN" w:bidi="ar-SA"/>
              </w:rPr>
            </w:pPr>
            <w:r>
              <w:rPr>
                <w:rFonts w:hint="eastAsia" w:ascii="宋体" w:hAnsi="宋体" w:eastAsia="宋体" w:cs="Times New Roman"/>
                <w:b/>
                <w:bCs/>
              </w:rPr>
              <w:t>0.6</w:t>
            </w:r>
          </w:p>
        </w:tc>
        <w:tc>
          <w:tcPr>
            <w:tcW w:w="562" w:type="dxa"/>
            <w:vAlign w:val="center"/>
          </w:tcPr>
          <w:p>
            <w:pPr>
              <w:spacing w:line="560" w:lineRule="exact"/>
              <w:jc w:val="right"/>
              <w:rPr>
                <w:rFonts w:ascii="宋体" w:hAnsi="宋体" w:eastAsia="宋体" w:cs="Times New Roman"/>
                <w:b/>
                <w:bCs/>
                <w:kern w:val="2"/>
                <w:sz w:val="21"/>
                <w:szCs w:val="22"/>
                <w:lang w:val="en-US" w:eastAsia="zh-CN" w:bidi="ar-SA"/>
              </w:rPr>
            </w:pPr>
            <w:r>
              <w:rPr>
                <w:rFonts w:hint="eastAsia" w:ascii="宋体" w:hAnsi="宋体" w:eastAsia="宋体" w:cs="Times New Roman"/>
                <w:b/>
                <w:bCs/>
              </w:rPr>
              <w:t>0.6</w:t>
            </w:r>
          </w:p>
        </w:tc>
        <w:tc>
          <w:tcPr>
            <w:tcW w:w="51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51" w:type="dxa"/>
            <w:gridSpan w:val="2"/>
            <w:vAlign w:val="center"/>
          </w:tcPr>
          <w:p>
            <w:pPr>
              <w:spacing w:line="560" w:lineRule="exact"/>
              <w:jc w:val="right"/>
              <w:rPr>
                <w:rFonts w:ascii="宋体" w:hAnsi="宋体" w:eastAsia="宋体" w:cs="Times New Roman"/>
                <w:b/>
                <w:bCs/>
              </w:rPr>
            </w:pPr>
          </w:p>
        </w:tc>
        <w:tc>
          <w:tcPr>
            <w:tcW w:w="516"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4" w:type="dxa"/>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日常公用经费</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0.6</w:t>
            </w:r>
          </w:p>
        </w:tc>
        <w:tc>
          <w:tcPr>
            <w:tcW w:w="851"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打印机</w:t>
            </w:r>
          </w:p>
        </w:tc>
        <w:tc>
          <w:tcPr>
            <w:tcW w:w="1134"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A0201060199</w:t>
            </w:r>
          </w:p>
        </w:tc>
        <w:tc>
          <w:tcPr>
            <w:tcW w:w="425" w:type="dxa"/>
            <w:vAlign w:val="center"/>
          </w:tcPr>
          <w:p>
            <w:pPr>
              <w:spacing w:line="560" w:lineRule="exact"/>
              <w:jc w:val="left"/>
              <w:rPr>
                <w:rFonts w:ascii="宋体" w:hAnsi="宋体" w:eastAsia="宋体" w:cs="Times New Roman"/>
                <w:b/>
                <w:bCs/>
              </w:rPr>
            </w:pPr>
          </w:p>
        </w:tc>
        <w:tc>
          <w:tcPr>
            <w:tcW w:w="567"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w:t>
            </w:r>
          </w:p>
        </w:tc>
        <w:tc>
          <w:tcPr>
            <w:tcW w:w="70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0.6</w:t>
            </w:r>
          </w:p>
        </w:tc>
        <w:tc>
          <w:tcPr>
            <w:tcW w:w="70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0.6</w:t>
            </w:r>
          </w:p>
        </w:tc>
        <w:tc>
          <w:tcPr>
            <w:tcW w:w="843"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0.6</w:t>
            </w:r>
          </w:p>
        </w:tc>
        <w:tc>
          <w:tcPr>
            <w:tcW w:w="562"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0.6</w:t>
            </w:r>
          </w:p>
        </w:tc>
        <w:tc>
          <w:tcPr>
            <w:tcW w:w="51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51" w:type="dxa"/>
            <w:gridSpan w:val="2"/>
            <w:vAlign w:val="center"/>
          </w:tcPr>
          <w:p>
            <w:pPr>
              <w:spacing w:line="560" w:lineRule="exact"/>
              <w:jc w:val="right"/>
              <w:rPr>
                <w:rFonts w:ascii="宋体" w:hAnsi="宋体" w:eastAsia="宋体" w:cs="Times New Roman"/>
                <w:b/>
                <w:bCs/>
              </w:rPr>
            </w:pPr>
          </w:p>
        </w:tc>
        <w:tc>
          <w:tcPr>
            <w:tcW w:w="516" w:type="dxa"/>
            <w:vAlign w:val="center"/>
          </w:tcPr>
          <w:p>
            <w:pPr>
              <w:spacing w:line="560" w:lineRule="exact"/>
              <w:jc w:val="right"/>
              <w:rPr>
                <w:rFonts w:ascii="宋体" w:hAnsi="宋体" w:eastAsia="宋体" w:cs="Times New Roman"/>
                <w:b/>
                <w:bCs/>
              </w:rPr>
            </w:pPr>
          </w:p>
        </w:tc>
      </w:tr>
    </w:tbl>
    <w:p>
      <w:pPr>
        <w:widowControl/>
        <w:spacing w:line="360" w:lineRule="auto"/>
        <w:ind w:firstLine="977" w:firstLineChars="304"/>
        <w:jc w:val="left"/>
        <w:rPr>
          <w:rFonts w:ascii="Calibri" w:hAnsi="Calibri" w:eastAsia="仿宋_GB2312" w:cs="Calibri"/>
          <w:b/>
          <w:kern w:val="0"/>
          <w:sz w:val="32"/>
          <w:szCs w:val="32"/>
        </w:rPr>
      </w:pPr>
      <w:r>
        <w:rPr>
          <w:rFonts w:hint="eastAsia" w:ascii="Calibri" w:hAnsi="Calibri" w:eastAsia="仿宋_GB2312" w:cs="Calibri"/>
          <w:b/>
          <w:kern w:val="0"/>
          <w:sz w:val="32"/>
          <w:szCs w:val="32"/>
        </w:rPr>
        <w:t>七、国有资产情况的说明</w:t>
      </w:r>
    </w:p>
    <w:p>
      <w:pPr>
        <w:widowControl/>
        <w:spacing w:line="360" w:lineRule="auto"/>
        <w:ind w:firstLine="972" w:firstLineChars="304"/>
        <w:jc w:val="left"/>
        <w:rPr>
          <w:rFonts w:hint="default" w:ascii="仿宋_GB2312" w:hAnsi="Calibri" w:eastAsia="仿宋_GB2312" w:cs="仿宋_GB2312"/>
          <w:kern w:val="0"/>
          <w:sz w:val="32"/>
          <w:szCs w:val="32"/>
          <w:lang w:val="en-US" w:eastAsia="zh-CN"/>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155.7</w:t>
      </w:r>
      <w:r>
        <w:rPr>
          <w:rFonts w:hint="eastAsia" w:ascii="仿宋_GB2312" w:hAnsi="Calibri" w:eastAsia="仿宋_GB2312" w:cs="仿宋_GB2312"/>
          <w:kern w:val="0"/>
          <w:sz w:val="32"/>
          <w:szCs w:val="32"/>
          <w:lang w:val="en-US" w:eastAsia="zh-CN"/>
        </w:rPr>
        <w:t>7</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其他固定资产包括打印机2台，电脑5台，办公桌椅15个等。</w:t>
      </w:r>
      <w:r>
        <w:rPr>
          <w:rFonts w:hint="eastAsia" w:ascii="仿宋_GB2312" w:hAnsi="Calibri" w:eastAsia="仿宋_GB2312" w:cs="仿宋_GB2312"/>
          <w:kern w:val="0"/>
          <w:sz w:val="32"/>
          <w:szCs w:val="32"/>
          <w:lang w:val="en-US" w:eastAsia="zh-CN"/>
        </w:rPr>
        <w:t>2021年拟购置固定资产0.6万元。</w:t>
      </w:r>
    </w:p>
    <w:tbl>
      <w:tblPr>
        <w:tblStyle w:val="6"/>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lang w:eastAsia="zh-CN"/>
              </w:rPr>
              <w:t>单位</w:t>
            </w:r>
            <w:r>
              <w:rPr>
                <w:rFonts w:hint="eastAsia" w:ascii="宋体" w:hAnsi="宋体" w:eastAsia="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w:t>
            </w:r>
            <w:r>
              <w:rPr>
                <w:rFonts w:hint="eastAsia" w:ascii="宋体" w:hAnsi="宋体" w:eastAsia="宋体" w:cs="宋体"/>
                <w:kern w:val="0"/>
                <w:sz w:val="22"/>
                <w:lang w:eastAsia="zh-CN"/>
              </w:rPr>
              <w:t>单位</w:t>
            </w:r>
            <w:r>
              <w:rPr>
                <w:rFonts w:hint="eastAsia" w:ascii="宋体" w:hAnsi="宋体" w:eastAsia="宋体" w:cs="宋体"/>
                <w:kern w:val="0"/>
                <w:sz w:val="22"/>
              </w:rPr>
              <w:t>：</w:t>
            </w:r>
            <w:r>
              <w:rPr>
                <w:rFonts w:hint="eastAsia" w:ascii="宋体" w:hAnsi="宋体" w:eastAsia="宋体" w:cs="方正小标宋_GBK"/>
                <w:sz w:val="24"/>
                <w:szCs w:val="24"/>
              </w:rPr>
              <w:t>成安县总工会</w:t>
            </w:r>
          </w:p>
        </w:tc>
        <w:tc>
          <w:tcPr>
            <w:tcW w:w="4066"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截止时间：2020年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31</w:t>
            </w:r>
            <w:r>
              <w:rPr>
                <w:rFonts w:hint="eastAsia" w:ascii="宋体" w:hAnsi="宋体" w:eastAsia="宋体" w:cs="宋体"/>
                <w:kern w:val="0"/>
                <w:sz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项目</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406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40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155.7</w:t>
            </w:r>
            <w:r>
              <w:rPr>
                <w:rFonts w:hint="eastAsia" w:ascii="宋体" w:hAnsi="宋体" w:eastAsia="宋体" w:cs="宋体"/>
                <w:kern w:val="0"/>
                <w:sz w:val="22"/>
                <w:lang w:val="en-US" w:eastAsia="zh-CN"/>
              </w:rPr>
              <w:t>7</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其中：办公用房（平方米）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960</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98.8</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50</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56.97</w:t>
            </w:r>
          </w:p>
        </w:tc>
      </w:tr>
    </w:tbl>
    <w:p>
      <w:pPr>
        <w:widowControl/>
        <w:spacing w:line="360" w:lineRule="auto"/>
        <w:jc w:val="left"/>
        <w:rPr>
          <w:rFonts w:ascii="仿宋_GB2312" w:hAnsi="Calibri" w:eastAsia="仿宋_GB2312" w:cs="仿宋_GB2312"/>
          <w:b/>
          <w:kern w:val="0"/>
          <w:sz w:val="32"/>
          <w:szCs w:val="32"/>
        </w:rPr>
      </w:pPr>
    </w:p>
    <w:p>
      <w:pPr>
        <w:widowControl/>
        <w:spacing w:line="360" w:lineRule="auto"/>
        <w:ind w:firstLine="643" w:firstLineChars="200"/>
        <w:jc w:val="left"/>
        <w:rPr>
          <w:rFonts w:ascii="仿宋" w:hAnsi="仿宋" w:eastAsia="仿宋" w:cs="仿宋"/>
          <w:kern w:val="0"/>
          <w:sz w:val="32"/>
          <w:szCs w:val="32"/>
        </w:rPr>
      </w:pPr>
      <w:r>
        <w:rPr>
          <w:rFonts w:hint="eastAsia" w:ascii="仿宋_GB2312" w:hAnsi="Calibri" w:eastAsia="仿宋_GB2312" w:cs="仿宋_GB2312"/>
          <w:b/>
          <w:kern w:val="0"/>
          <w:sz w:val="32"/>
          <w:szCs w:val="32"/>
        </w:rPr>
        <w:t>八、</w:t>
      </w:r>
      <w:r>
        <w:rPr>
          <w:rFonts w:hint="eastAsia" w:ascii="仿宋" w:hAnsi="仿宋" w:eastAsia="仿宋" w:cs="仿宋"/>
          <w:b/>
          <w:kern w:val="0"/>
          <w:sz w:val="32"/>
          <w:szCs w:val="32"/>
        </w:rPr>
        <w:t>名词解释</w:t>
      </w:r>
      <w:r>
        <w:rPr>
          <w:rFonts w:hint="eastAsia" w:ascii="仿宋" w:hAnsi="仿宋" w:eastAsia="仿宋" w:cs="仿宋"/>
          <w:kern w:val="0"/>
          <w:sz w:val="32"/>
          <w:szCs w:val="32"/>
        </w:rPr>
        <w:t> </w:t>
      </w:r>
    </w:p>
    <w:p>
      <w:pPr>
        <w:widowControl/>
        <w:numPr>
          <w:ilvl w:val="0"/>
          <w:numId w:val="3"/>
        </w:numPr>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Calibri" w:hAnsi="Calibri" w:eastAsia="仿宋_GB2312" w:cs="Calibri"/>
          <w:b/>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480" w:firstLineChars="200"/>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 3</w:t>
      </w:r>
      <w:r>
        <w:rPr>
          <w:rFonts w:hint="eastAsia" w:ascii="仿宋" w:hAnsi="仿宋" w:eastAsia="仿宋"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p>
    <w:p>
      <w:pPr>
        <w:widowControl/>
        <w:spacing w:line="36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 4、基本支出</w:t>
      </w:r>
      <w:r>
        <w:rPr>
          <w:rFonts w:hint="eastAsia" w:ascii="仿宋" w:hAnsi="仿宋" w:eastAsia="仿宋" w:cs="仿宋"/>
          <w:kern w:val="0"/>
          <w:sz w:val="32"/>
          <w:szCs w:val="32"/>
        </w:rPr>
        <w:t>：指单位为了保障其正常运转、完成日常工作任务而发生的人员支出和公用支出。</w:t>
      </w:r>
    </w:p>
    <w:p>
      <w:pPr>
        <w:widowControl/>
        <w:spacing w:line="360" w:lineRule="auto"/>
        <w:ind w:firstLine="643" w:firstLineChars="200"/>
        <w:jc w:val="left"/>
        <w:rPr>
          <w:rFonts w:ascii="Calibri" w:hAnsi="Calibri" w:eastAsia="仿宋_GB2312" w:cs="Calibri"/>
          <w:b/>
          <w:kern w:val="0"/>
          <w:sz w:val="32"/>
          <w:szCs w:val="32"/>
        </w:rPr>
      </w:pPr>
      <w:r>
        <w:rPr>
          <w:rFonts w:hint="eastAsia" w:ascii="仿宋" w:hAnsi="仿宋" w:eastAsia="仿宋" w:cs="仿宋"/>
          <w:b/>
          <w:kern w:val="0"/>
          <w:sz w:val="32"/>
          <w:szCs w:val="32"/>
        </w:rPr>
        <w:t> 5、项目支出：</w:t>
      </w:r>
      <w:r>
        <w:rPr>
          <w:rFonts w:hint="eastAsia" w:ascii="仿宋" w:hAnsi="仿宋" w:eastAsia="仿宋" w:cs="仿宋"/>
          <w:kern w:val="0"/>
          <w:sz w:val="32"/>
          <w:szCs w:val="32"/>
        </w:rPr>
        <w:t>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szCs w:val="24"/>
        </w:rPr>
      </w:pPr>
      <w:r>
        <w:rPr>
          <w:rFonts w:hint="eastAsia" w:ascii="仿宋" w:hAnsi="仿宋" w:eastAsia="仿宋" w:cs="仿宋"/>
          <w:kern w:val="0"/>
          <w:sz w:val="32"/>
          <w:szCs w:val="32"/>
        </w:rPr>
        <w:t>无。</w:t>
      </w:r>
    </w:p>
    <w:p>
      <w:pPr>
        <w:widowControl/>
        <w:spacing w:line="360" w:lineRule="auto"/>
        <w:ind w:firstLine="420" w:firstLineChars="200"/>
        <w:jc w:val="left"/>
      </w:pPr>
    </w:p>
    <w:sectPr>
      <w:pgSz w:w="11907" w:h="16839"/>
      <w:pgMar w:top="1020" w:right="1134" w:bottom="1020"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CCB38"/>
    <w:multiLevelType w:val="singleLevel"/>
    <w:tmpl w:val="58BCCB38"/>
    <w:lvl w:ilvl="0" w:tentative="0">
      <w:start w:val="1"/>
      <w:numFmt w:val="decimal"/>
      <w:suff w:val="nothing"/>
      <w:lvlText w:val="%1、"/>
      <w:lvlJc w:val="left"/>
    </w:lvl>
  </w:abstractNum>
  <w:abstractNum w:abstractNumId="1">
    <w:nsid w:val="5A0BB78E"/>
    <w:multiLevelType w:val="singleLevel"/>
    <w:tmpl w:val="5A0BB78E"/>
    <w:lvl w:ilvl="0" w:tentative="0">
      <w:start w:val="1"/>
      <w:numFmt w:val="decimal"/>
      <w:suff w:val="nothing"/>
      <w:lvlText w:val="%1、"/>
      <w:lvlJc w:val="left"/>
    </w:lvl>
  </w:abstractNum>
  <w:abstractNum w:abstractNumId="2">
    <w:nsid w:val="66163943"/>
    <w:multiLevelType w:val="multilevel"/>
    <w:tmpl w:val="66163943"/>
    <w:lvl w:ilvl="0" w:tentative="0">
      <w:start w:val="6"/>
      <w:numFmt w:val="japaneseCounting"/>
      <w:lvlText w:val="%1、"/>
      <w:lvlJc w:val="left"/>
      <w:pPr>
        <w:ind w:left="2138" w:hanging="720"/>
      </w:pPr>
      <w:rPr>
        <w:rFonts w:hint="default" w:ascii="仿宋" w:hAnsi="仿宋" w:eastAsia="仿宋" w:cs="仿宋"/>
        <w:b/>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E810D6"/>
    <w:rsid w:val="000054B6"/>
    <w:rsid w:val="000913EF"/>
    <w:rsid w:val="00093BE4"/>
    <w:rsid w:val="000A75FA"/>
    <w:rsid w:val="000C2470"/>
    <w:rsid w:val="000D231C"/>
    <w:rsid w:val="000D2EB9"/>
    <w:rsid w:val="0011078B"/>
    <w:rsid w:val="00167F56"/>
    <w:rsid w:val="001774CF"/>
    <w:rsid w:val="00194D6B"/>
    <w:rsid w:val="001B213D"/>
    <w:rsid w:val="001D7F45"/>
    <w:rsid w:val="00202BED"/>
    <w:rsid w:val="00236B7F"/>
    <w:rsid w:val="0024293E"/>
    <w:rsid w:val="002C4EB8"/>
    <w:rsid w:val="002D43D8"/>
    <w:rsid w:val="002E3A95"/>
    <w:rsid w:val="002F418A"/>
    <w:rsid w:val="00341A05"/>
    <w:rsid w:val="00355C43"/>
    <w:rsid w:val="003730D4"/>
    <w:rsid w:val="003D4B92"/>
    <w:rsid w:val="00453C24"/>
    <w:rsid w:val="00480169"/>
    <w:rsid w:val="004A12F5"/>
    <w:rsid w:val="004C3904"/>
    <w:rsid w:val="00535949"/>
    <w:rsid w:val="00545E8E"/>
    <w:rsid w:val="005D136A"/>
    <w:rsid w:val="005E274B"/>
    <w:rsid w:val="00600721"/>
    <w:rsid w:val="00601E9C"/>
    <w:rsid w:val="0061371F"/>
    <w:rsid w:val="0062621A"/>
    <w:rsid w:val="006560E8"/>
    <w:rsid w:val="00657C7F"/>
    <w:rsid w:val="00685811"/>
    <w:rsid w:val="006D1C5B"/>
    <w:rsid w:val="006E52CB"/>
    <w:rsid w:val="00724FE1"/>
    <w:rsid w:val="007A507B"/>
    <w:rsid w:val="007D6BF0"/>
    <w:rsid w:val="008058DC"/>
    <w:rsid w:val="00862EA2"/>
    <w:rsid w:val="008C479C"/>
    <w:rsid w:val="008C7744"/>
    <w:rsid w:val="00950A9F"/>
    <w:rsid w:val="009E611A"/>
    <w:rsid w:val="00A07D70"/>
    <w:rsid w:val="00A1130B"/>
    <w:rsid w:val="00A35FC1"/>
    <w:rsid w:val="00A41E4B"/>
    <w:rsid w:val="00A61E29"/>
    <w:rsid w:val="00A6226E"/>
    <w:rsid w:val="00A80198"/>
    <w:rsid w:val="00AE29B6"/>
    <w:rsid w:val="00B520FF"/>
    <w:rsid w:val="00C0352F"/>
    <w:rsid w:val="00CB110A"/>
    <w:rsid w:val="00CC2644"/>
    <w:rsid w:val="00CF5B36"/>
    <w:rsid w:val="00D945ED"/>
    <w:rsid w:val="00E41871"/>
    <w:rsid w:val="00E73D1B"/>
    <w:rsid w:val="00E810D6"/>
    <w:rsid w:val="00EF1266"/>
    <w:rsid w:val="00F37FAA"/>
    <w:rsid w:val="00F4740D"/>
    <w:rsid w:val="00F53FC9"/>
    <w:rsid w:val="013B67CD"/>
    <w:rsid w:val="016C22DD"/>
    <w:rsid w:val="01B06621"/>
    <w:rsid w:val="01CA412B"/>
    <w:rsid w:val="037D399A"/>
    <w:rsid w:val="03B213E5"/>
    <w:rsid w:val="047F71D2"/>
    <w:rsid w:val="06096D52"/>
    <w:rsid w:val="063402B1"/>
    <w:rsid w:val="06550E5D"/>
    <w:rsid w:val="0726741C"/>
    <w:rsid w:val="078B752A"/>
    <w:rsid w:val="08D34D69"/>
    <w:rsid w:val="09E50DB9"/>
    <w:rsid w:val="0B6C587A"/>
    <w:rsid w:val="0BB759F9"/>
    <w:rsid w:val="0CBF7A43"/>
    <w:rsid w:val="0DD4180B"/>
    <w:rsid w:val="130B706D"/>
    <w:rsid w:val="13161153"/>
    <w:rsid w:val="139106CF"/>
    <w:rsid w:val="13DE0FA8"/>
    <w:rsid w:val="163506CD"/>
    <w:rsid w:val="17252863"/>
    <w:rsid w:val="175940C0"/>
    <w:rsid w:val="17C16AC9"/>
    <w:rsid w:val="180D78B9"/>
    <w:rsid w:val="1AEF7278"/>
    <w:rsid w:val="1B2A5EA4"/>
    <w:rsid w:val="1CC97251"/>
    <w:rsid w:val="1CEB0A1C"/>
    <w:rsid w:val="1D0F12B6"/>
    <w:rsid w:val="1E8167C1"/>
    <w:rsid w:val="1EAA0AE1"/>
    <w:rsid w:val="1FDE5432"/>
    <w:rsid w:val="21AA2D40"/>
    <w:rsid w:val="21B66276"/>
    <w:rsid w:val="228819EE"/>
    <w:rsid w:val="2716314B"/>
    <w:rsid w:val="288A4B30"/>
    <w:rsid w:val="28E516DB"/>
    <w:rsid w:val="299267B6"/>
    <w:rsid w:val="2AD57C75"/>
    <w:rsid w:val="2BAA47A7"/>
    <w:rsid w:val="2CC1056F"/>
    <w:rsid w:val="2DCE40BA"/>
    <w:rsid w:val="2E066AE5"/>
    <w:rsid w:val="2E2777CE"/>
    <w:rsid w:val="2EE04A84"/>
    <w:rsid w:val="2F887EEE"/>
    <w:rsid w:val="308B29F0"/>
    <w:rsid w:val="31D059F4"/>
    <w:rsid w:val="332A0BBD"/>
    <w:rsid w:val="3387759D"/>
    <w:rsid w:val="351C5D1D"/>
    <w:rsid w:val="36DF5EE5"/>
    <w:rsid w:val="38963AA1"/>
    <w:rsid w:val="39461E7C"/>
    <w:rsid w:val="39A75722"/>
    <w:rsid w:val="3B6E7B6E"/>
    <w:rsid w:val="3C712CD5"/>
    <w:rsid w:val="3CEC5D53"/>
    <w:rsid w:val="3F0567FC"/>
    <w:rsid w:val="3F2305E6"/>
    <w:rsid w:val="3F331926"/>
    <w:rsid w:val="441C57E9"/>
    <w:rsid w:val="44240E6E"/>
    <w:rsid w:val="44986D47"/>
    <w:rsid w:val="456A5D0D"/>
    <w:rsid w:val="457C0C14"/>
    <w:rsid w:val="45AF507C"/>
    <w:rsid w:val="45B90BF3"/>
    <w:rsid w:val="460143F1"/>
    <w:rsid w:val="475B18CD"/>
    <w:rsid w:val="49994B41"/>
    <w:rsid w:val="4A4F1F05"/>
    <w:rsid w:val="4B7040C7"/>
    <w:rsid w:val="4CA957E7"/>
    <w:rsid w:val="4D9730D4"/>
    <w:rsid w:val="4E4335D2"/>
    <w:rsid w:val="4F4F374A"/>
    <w:rsid w:val="536767C9"/>
    <w:rsid w:val="56783930"/>
    <w:rsid w:val="59AF56D7"/>
    <w:rsid w:val="5AA21FFC"/>
    <w:rsid w:val="5B2B3FCD"/>
    <w:rsid w:val="5BAE356C"/>
    <w:rsid w:val="5CB07A05"/>
    <w:rsid w:val="5ED17601"/>
    <w:rsid w:val="5F525C02"/>
    <w:rsid w:val="612F2391"/>
    <w:rsid w:val="61897173"/>
    <w:rsid w:val="63F21B1B"/>
    <w:rsid w:val="65493192"/>
    <w:rsid w:val="665451BF"/>
    <w:rsid w:val="666C26EF"/>
    <w:rsid w:val="6917280A"/>
    <w:rsid w:val="69C753B6"/>
    <w:rsid w:val="69DA4533"/>
    <w:rsid w:val="6A804B8A"/>
    <w:rsid w:val="6B073A34"/>
    <w:rsid w:val="6B1A4039"/>
    <w:rsid w:val="6B511389"/>
    <w:rsid w:val="6D036829"/>
    <w:rsid w:val="6D5763C1"/>
    <w:rsid w:val="6D81148F"/>
    <w:rsid w:val="6E8006EE"/>
    <w:rsid w:val="6ECC4D84"/>
    <w:rsid w:val="70BA2DA1"/>
    <w:rsid w:val="71B87B2B"/>
    <w:rsid w:val="729B4F6A"/>
    <w:rsid w:val="733E01F4"/>
    <w:rsid w:val="7424079F"/>
    <w:rsid w:val="742F6BA4"/>
    <w:rsid w:val="74C9628B"/>
    <w:rsid w:val="74D4598A"/>
    <w:rsid w:val="763743A2"/>
    <w:rsid w:val="76FD3FC3"/>
    <w:rsid w:val="7AA5545A"/>
    <w:rsid w:val="7BAA5900"/>
    <w:rsid w:val="7D9A3104"/>
    <w:rsid w:val="7DB94919"/>
    <w:rsid w:val="7E215BF5"/>
    <w:rsid w:val="7EC03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18E83-551C-4CF5-8687-9409F029C43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2710</Words>
  <Characters>2884</Characters>
  <Lines>22</Lines>
  <Paragraphs>6</Paragraphs>
  <TotalTime>3</TotalTime>
  <ScaleCrop>false</ScaleCrop>
  <LinksUpToDate>false</LinksUpToDate>
  <CharactersWithSpaces>2896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Administrator</cp:lastModifiedBy>
  <cp:lastPrinted>2016-04-01T02:44:00Z</cp:lastPrinted>
  <dcterms:modified xsi:type="dcterms:W3CDTF">2022-09-16T02:00:42Z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42F59A309CF54D44921F6316BA306F9F</vt:lpwstr>
  </property>
</Properties>
</file>