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_4_4_0000000019"/>
      <w:r>
        <w:rPr>
          <w:rFonts w:ascii="方正小标宋_GBK" w:hAnsi="方正小标宋_GBK" w:eastAsia="方正小标宋_GBK" w:cs="方正小标宋_GBK"/>
          <w:color w:val="000000"/>
          <w:sz w:val="44"/>
        </w:rPr>
        <w:t>一、成安县辛义乡政府机关本级收支预算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877.11</w:t>
            </w:r>
          </w:p>
        </w:tc>
        <w:tc>
          <w:tcPr>
            <w:tcW w:w="4535" w:type="dxa"/>
            <w:vAlign w:val="center"/>
          </w:tcPr>
          <w:p>
            <w:pPr>
              <w:pStyle w:val="16"/>
            </w:pPr>
            <w:r>
              <w:t>一、一般公共服务支出</w:t>
            </w:r>
          </w:p>
        </w:tc>
        <w:tc>
          <w:tcPr>
            <w:tcW w:w="2126" w:type="dxa"/>
            <w:vAlign w:val="center"/>
          </w:tcPr>
          <w:p>
            <w:pPr>
              <w:pStyle w:val="15"/>
            </w:pPr>
            <w:r>
              <w:t>747.28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49.40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877.11</w:t>
            </w:r>
          </w:p>
        </w:tc>
        <w:tc>
          <w:tcPr>
            <w:tcW w:w="4535" w:type="dxa"/>
            <w:vAlign w:val="center"/>
          </w:tcPr>
          <w:p>
            <w:pPr>
              <w:pStyle w:val="18"/>
            </w:pPr>
            <w:r>
              <w:t>本年支出合计</w:t>
            </w:r>
          </w:p>
        </w:tc>
        <w:tc>
          <w:tcPr>
            <w:tcW w:w="2126" w:type="dxa"/>
            <w:vAlign w:val="center"/>
          </w:tcPr>
          <w:p>
            <w:pPr>
              <w:pStyle w:val="19"/>
            </w:pPr>
            <w:r>
              <w:t>877.11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877.11</w:t>
            </w:r>
          </w:p>
        </w:tc>
        <w:tc>
          <w:tcPr>
            <w:tcW w:w="4535" w:type="dxa"/>
            <w:vAlign w:val="center"/>
          </w:tcPr>
          <w:p>
            <w:pPr>
              <w:pStyle w:val="18"/>
            </w:pPr>
            <w:r>
              <w:t>支出总计</w:t>
            </w:r>
          </w:p>
        </w:tc>
        <w:tc>
          <w:tcPr>
            <w:tcW w:w="2126" w:type="dxa"/>
            <w:vAlign w:val="center"/>
          </w:tcPr>
          <w:p>
            <w:pPr>
              <w:pStyle w:val="19"/>
            </w:pPr>
            <w:r>
              <w:t>877.11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877.11</w:t>
            </w:r>
          </w:p>
        </w:tc>
        <w:tc>
          <w:tcPr>
            <w:tcW w:w="1134" w:type="dxa"/>
            <w:vAlign w:val="center"/>
          </w:tcPr>
          <w:p>
            <w:pPr>
              <w:pStyle w:val="19"/>
            </w:pPr>
            <w:r>
              <w:t>877.11</w:t>
            </w:r>
          </w:p>
        </w:tc>
        <w:tc>
          <w:tcPr>
            <w:tcW w:w="1134" w:type="dxa"/>
            <w:vAlign w:val="center"/>
          </w:tcPr>
          <w:p>
            <w:pPr>
              <w:pStyle w:val="19"/>
            </w:pPr>
            <w:r>
              <w:t>877.11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747.28</w:t>
            </w:r>
          </w:p>
        </w:tc>
        <w:tc>
          <w:tcPr>
            <w:tcW w:w="1134" w:type="dxa"/>
            <w:vAlign w:val="center"/>
          </w:tcPr>
          <w:p>
            <w:pPr>
              <w:pStyle w:val="15"/>
            </w:pPr>
            <w:r>
              <w:t>747.28</w:t>
            </w:r>
          </w:p>
        </w:tc>
        <w:tc>
          <w:tcPr>
            <w:tcW w:w="1134" w:type="dxa"/>
            <w:vAlign w:val="center"/>
          </w:tcPr>
          <w:p>
            <w:pPr>
              <w:pStyle w:val="15"/>
            </w:pPr>
            <w:r>
              <w:t>747.28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747.28</w:t>
            </w:r>
          </w:p>
        </w:tc>
        <w:tc>
          <w:tcPr>
            <w:tcW w:w="1134" w:type="dxa"/>
            <w:vAlign w:val="center"/>
          </w:tcPr>
          <w:p>
            <w:pPr>
              <w:pStyle w:val="15"/>
            </w:pPr>
            <w:r>
              <w:t>747.28</w:t>
            </w:r>
          </w:p>
        </w:tc>
        <w:tc>
          <w:tcPr>
            <w:tcW w:w="1134" w:type="dxa"/>
            <w:vAlign w:val="center"/>
          </w:tcPr>
          <w:p>
            <w:pPr>
              <w:pStyle w:val="15"/>
            </w:pPr>
            <w:r>
              <w:t>747.28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602.11</w:t>
            </w:r>
          </w:p>
        </w:tc>
        <w:tc>
          <w:tcPr>
            <w:tcW w:w="1134" w:type="dxa"/>
            <w:vAlign w:val="center"/>
          </w:tcPr>
          <w:p>
            <w:pPr>
              <w:pStyle w:val="15"/>
            </w:pPr>
            <w:r>
              <w:t>602.11</w:t>
            </w:r>
          </w:p>
        </w:tc>
        <w:tc>
          <w:tcPr>
            <w:tcW w:w="1134" w:type="dxa"/>
            <w:vAlign w:val="center"/>
          </w:tcPr>
          <w:p>
            <w:pPr>
              <w:pStyle w:val="15"/>
            </w:pPr>
            <w:r>
              <w:t>602.11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2010305</w:t>
            </w:r>
          </w:p>
        </w:tc>
        <w:tc>
          <w:tcPr>
            <w:tcW w:w="1559" w:type="dxa"/>
            <w:vAlign w:val="center"/>
          </w:tcPr>
          <w:p>
            <w:pPr>
              <w:pStyle w:val="16"/>
            </w:pPr>
            <w:r>
              <w:t>专项业务活动</w:t>
            </w:r>
          </w:p>
        </w:tc>
        <w:tc>
          <w:tcPr>
            <w:tcW w:w="1134" w:type="dxa"/>
            <w:vAlign w:val="center"/>
          </w:tcPr>
          <w:p>
            <w:pPr>
              <w:pStyle w:val="15"/>
            </w:pPr>
            <w:r>
              <w:t>12.87</w:t>
            </w:r>
          </w:p>
        </w:tc>
        <w:tc>
          <w:tcPr>
            <w:tcW w:w="1134" w:type="dxa"/>
            <w:vAlign w:val="center"/>
          </w:tcPr>
          <w:p>
            <w:pPr>
              <w:pStyle w:val="15"/>
            </w:pPr>
            <w:r>
              <w:t>12.87</w:t>
            </w:r>
          </w:p>
        </w:tc>
        <w:tc>
          <w:tcPr>
            <w:tcW w:w="1134" w:type="dxa"/>
            <w:vAlign w:val="center"/>
          </w:tcPr>
          <w:p>
            <w:pPr>
              <w:pStyle w:val="15"/>
            </w:pPr>
            <w:r>
              <w:t>12.87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2010308</w:t>
            </w:r>
          </w:p>
        </w:tc>
        <w:tc>
          <w:tcPr>
            <w:tcW w:w="1559" w:type="dxa"/>
            <w:vAlign w:val="center"/>
          </w:tcPr>
          <w:p>
            <w:pPr>
              <w:pStyle w:val="16"/>
            </w:pPr>
            <w:r>
              <w:t>信访事务</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117.30</w:t>
            </w:r>
          </w:p>
        </w:tc>
        <w:tc>
          <w:tcPr>
            <w:tcW w:w="1134" w:type="dxa"/>
            <w:vAlign w:val="center"/>
          </w:tcPr>
          <w:p>
            <w:pPr>
              <w:pStyle w:val="15"/>
            </w:pPr>
            <w:r>
              <w:t>117.30</w:t>
            </w:r>
          </w:p>
        </w:tc>
        <w:tc>
          <w:tcPr>
            <w:tcW w:w="1134" w:type="dxa"/>
            <w:vAlign w:val="center"/>
          </w:tcPr>
          <w:p>
            <w:pPr>
              <w:pStyle w:val="15"/>
            </w:pPr>
            <w:r>
              <w:t>117.30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46.98</w:t>
            </w:r>
          </w:p>
        </w:tc>
        <w:tc>
          <w:tcPr>
            <w:tcW w:w="1134" w:type="dxa"/>
            <w:vAlign w:val="center"/>
          </w:tcPr>
          <w:p>
            <w:pPr>
              <w:pStyle w:val="15"/>
            </w:pPr>
            <w:r>
              <w:t>46.98</w:t>
            </w:r>
          </w:p>
        </w:tc>
        <w:tc>
          <w:tcPr>
            <w:tcW w:w="1134" w:type="dxa"/>
            <w:vAlign w:val="center"/>
          </w:tcPr>
          <w:p>
            <w:pPr>
              <w:pStyle w:val="15"/>
            </w:pPr>
            <w:r>
              <w:t>46.98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41.94</w:t>
            </w:r>
          </w:p>
        </w:tc>
        <w:tc>
          <w:tcPr>
            <w:tcW w:w="1134" w:type="dxa"/>
            <w:vAlign w:val="center"/>
          </w:tcPr>
          <w:p>
            <w:pPr>
              <w:pStyle w:val="15"/>
            </w:pPr>
            <w:r>
              <w:t>41.94</w:t>
            </w:r>
          </w:p>
        </w:tc>
        <w:tc>
          <w:tcPr>
            <w:tcW w:w="1134" w:type="dxa"/>
            <w:vAlign w:val="center"/>
          </w:tcPr>
          <w:p>
            <w:pPr>
              <w:pStyle w:val="15"/>
            </w:pPr>
            <w:r>
              <w:t>41.94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27.96</w:t>
            </w:r>
          </w:p>
        </w:tc>
        <w:tc>
          <w:tcPr>
            <w:tcW w:w="1134" w:type="dxa"/>
            <w:vAlign w:val="center"/>
          </w:tcPr>
          <w:p>
            <w:pPr>
              <w:pStyle w:val="15"/>
            </w:pPr>
            <w:r>
              <w:t>27.96</w:t>
            </w:r>
          </w:p>
        </w:tc>
        <w:tc>
          <w:tcPr>
            <w:tcW w:w="1134" w:type="dxa"/>
            <w:vAlign w:val="center"/>
          </w:tcPr>
          <w:p>
            <w:pPr>
              <w:pStyle w:val="15"/>
            </w:pPr>
            <w:r>
              <w:t>27.96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13.98</w:t>
            </w:r>
          </w:p>
        </w:tc>
        <w:tc>
          <w:tcPr>
            <w:tcW w:w="1134" w:type="dxa"/>
            <w:vAlign w:val="center"/>
          </w:tcPr>
          <w:p>
            <w:pPr>
              <w:pStyle w:val="15"/>
            </w:pPr>
            <w:r>
              <w:t>13.98</w:t>
            </w:r>
          </w:p>
        </w:tc>
        <w:tc>
          <w:tcPr>
            <w:tcW w:w="1134" w:type="dxa"/>
            <w:vAlign w:val="center"/>
          </w:tcPr>
          <w:p>
            <w:pPr>
              <w:pStyle w:val="15"/>
            </w:pPr>
            <w:r>
              <w:t>13.98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5.04</w:t>
            </w:r>
          </w:p>
        </w:tc>
        <w:tc>
          <w:tcPr>
            <w:tcW w:w="1134" w:type="dxa"/>
            <w:vAlign w:val="center"/>
          </w:tcPr>
          <w:p>
            <w:pPr>
              <w:pStyle w:val="15"/>
            </w:pPr>
            <w:r>
              <w:t>5.04</w:t>
            </w:r>
          </w:p>
        </w:tc>
        <w:tc>
          <w:tcPr>
            <w:tcW w:w="1134" w:type="dxa"/>
            <w:vAlign w:val="center"/>
          </w:tcPr>
          <w:p>
            <w:pPr>
              <w:pStyle w:val="15"/>
            </w:pPr>
            <w:r>
              <w:t>5.04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5.04</w:t>
            </w:r>
          </w:p>
        </w:tc>
        <w:tc>
          <w:tcPr>
            <w:tcW w:w="1134" w:type="dxa"/>
            <w:vAlign w:val="center"/>
          </w:tcPr>
          <w:p>
            <w:pPr>
              <w:pStyle w:val="15"/>
            </w:pPr>
            <w:r>
              <w:t>5.04</w:t>
            </w:r>
          </w:p>
        </w:tc>
        <w:tc>
          <w:tcPr>
            <w:tcW w:w="1134" w:type="dxa"/>
            <w:vAlign w:val="center"/>
          </w:tcPr>
          <w:p>
            <w:pPr>
              <w:pStyle w:val="15"/>
            </w:pPr>
            <w:r>
              <w:t>5.04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13.77</w:t>
            </w:r>
          </w:p>
        </w:tc>
        <w:tc>
          <w:tcPr>
            <w:tcW w:w="1134" w:type="dxa"/>
            <w:vAlign w:val="center"/>
          </w:tcPr>
          <w:p>
            <w:pPr>
              <w:pStyle w:val="15"/>
            </w:pPr>
            <w:r>
              <w:t>13.77</w:t>
            </w:r>
          </w:p>
        </w:tc>
        <w:tc>
          <w:tcPr>
            <w:tcW w:w="1134" w:type="dxa"/>
            <w:vAlign w:val="center"/>
          </w:tcPr>
          <w:p>
            <w:pPr>
              <w:pStyle w:val="15"/>
            </w:pPr>
            <w:r>
              <w:t>13.77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13.77</w:t>
            </w:r>
          </w:p>
        </w:tc>
        <w:tc>
          <w:tcPr>
            <w:tcW w:w="1134" w:type="dxa"/>
            <w:vAlign w:val="center"/>
          </w:tcPr>
          <w:p>
            <w:pPr>
              <w:pStyle w:val="15"/>
            </w:pPr>
            <w:r>
              <w:t>13.77</w:t>
            </w:r>
          </w:p>
        </w:tc>
        <w:tc>
          <w:tcPr>
            <w:tcW w:w="1134" w:type="dxa"/>
            <w:vAlign w:val="center"/>
          </w:tcPr>
          <w:p>
            <w:pPr>
              <w:pStyle w:val="15"/>
            </w:pPr>
            <w:r>
              <w:t>13.77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13.77</w:t>
            </w:r>
          </w:p>
        </w:tc>
        <w:tc>
          <w:tcPr>
            <w:tcW w:w="1134" w:type="dxa"/>
            <w:vAlign w:val="center"/>
          </w:tcPr>
          <w:p>
            <w:pPr>
              <w:pStyle w:val="15"/>
            </w:pPr>
            <w:r>
              <w:t>13.77</w:t>
            </w:r>
          </w:p>
        </w:tc>
        <w:tc>
          <w:tcPr>
            <w:tcW w:w="1134" w:type="dxa"/>
            <w:vAlign w:val="center"/>
          </w:tcPr>
          <w:p>
            <w:pPr>
              <w:pStyle w:val="15"/>
            </w:pPr>
            <w:r>
              <w:t>13.77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49.40</w:t>
            </w:r>
          </w:p>
        </w:tc>
        <w:tc>
          <w:tcPr>
            <w:tcW w:w="1134" w:type="dxa"/>
            <w:vAlign w:val="center"/>
          </w:tcPr>
          <w:p>
            <w:pPr>
              <w:pStyle w:val="15"/>
            </w:pPr>
            <w:r>
              <w:t>49.40</w:t>
            </w:r>
          </w:p>
        </w:tc>
        <w:tc>
          <w:tcPr>
            <w:tcW w:w="1134" w:type="dxa"/>
            <w:vAlign w:val="center"/>
          </w:tcPr>
          <w:p>
            <w:pPr>
              <w:pStyle w:val="15"/>
            </w:pPr>
            <w:r>
              <w:t>49.40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r>
              <w:t>4.40</w:t>
            </w:r>
          </w:p>
        </w:tc>
        <w:tc>
          <w:tcPr>
            <w:tcW w:w="1134" w:type="dxa"/>
            <w:vAlign w:val="center"/>
          </w:tcPr>
          <w:p>
            <w:pPr>
              <w:pStyle w:val="15"/>
            </w:pPr>
            <w:r>
              <w:t>4.40</w:t>
            </w:r>
          </w:p>
        </w:tc>
        <w:tc>
          <w:tcPr>
            <w:tcW w:w="1134" w:type="dxa"/>
            <w:vAlign w:val="center"/>
          </w:tcPr>
          <w:p>
            <w:pPr>
              <w:pStyle w:val="15"/>
            </w:pPr>
            <w:r>
              <w:t>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2130142</w:t>
            </w:r>
          </w:p>
        </w:tc>
        <w:tc>
          <w:tcPr>
            <w:tcW w:w="1559" w:type="dxa"/>
            <w:vAlign w:val="center"/>
          </w:tcPr>
          <w:p>
            <w:pPr>
              <w:pStyle w:val="16"/>
            </w:pPr>
            <w:r>
              <w:t>农村道路建设</w:t>
            </w:r>
          </w:p>
        </w:tc>
        <w:tc>
          <w:tcPr>
            <w:tcW w:w="1134" w:type="dxa"/>
            <w:vAlign w:val="center"/>
          </w:tcPr>
          <w:p>
            <w:pPr>
              <w:pStyle w:val="15"/>
            </w:pPr>
            <w:r>
              <w:t>4.40</w:t>
            </w:r>
          </w:p>
        </w:tc>
        <w:tc>
          <w:tcPr>
            <w:tcW w:w="1134" w:type="dxa"/>
            <w:vAlign w:val="center"/>
          </w:tcPr>
          <w:p>
            <w:pPr>
              <w:pStyle w:val="15"/>
            </w:pPr>
            <w:r>
              <w:t>4.40</w:t>
            </w:r>
          </w:p>
        </w:tc>
        <w:tc>
          <w:tcPr>
            <w:tcW w:w="1134" w:type="dxa"/>
            <w:vAlign w:val="center"/>
          </w:tcPr>
          <w:p>
            <w:pPr>
              <w:pStyle w:val="15"/>
            </w:pPr>
            <w:r>
              <w:t>4.40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19.68</w:t>
            </w:r>
          </w:p>
        </w:tc>
        <w:tc>
          <w:tcPr>
            <w:tcW w:w="1134" w:type="dxa"/>
            <w:vAlign w:val="center"/>
          </w:tcPr>
          <w:p>
            <w:pPr>
              <w:pStyle w:val="15"/>
            </w:pPr>
            <w:r>
              <w:t>19.68</w:t>
            </w:r>
          </w:p>
        </w:tc>
        <w:tc>
          <w:tcPr>
            <w:tcW w:w="1134" w:type="dxa"/>
            <w:vAlign w:val="center"/>
          </w:tcPr>
          <w:p>
            <w:pPr>
              <w:pStyle w:val="15"/>
            </w:pPr>
            <w:r>
              <w:t>19.68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19.68</w:t>
            </w:r>
          </w:p>
        </w:tc>
        <w:tc>
          <w:tcPr>
            <w:tcW w:w="1134" w:type="dxa"/>
            <w:vAlign w:val="center"/>
          </w:tcPr>
          <w:p>
            <w:pPr>
              <w:pStyle w:val="15"/>
            </w:pPr>
            <w:r>
              <w:t>19.68</w:t>
            </w:r>
          </w:p>
        </w:tc>
        <w:tc>
          <w:tcPr>
            <w:tcW w:w="1134" w:type="dxa"/>
            <w:vAlign w:val="center"/>
          </w:tcPr>
          <w:p>
            <w:pPr>
              <w:pStyle w:val="15"/>
            </w:pPr>
            <w:r>
              <w:t>19.68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19.68</w:t>
            </w:r>
          </w:p>
        </w:tc>
        <w:tc>
          <w:tcPr>
            <w:tcW w:w="1134" w:type="dxa"/>
            <w:vAlign w:val="center"/>
          </w:tcPr>
          <w:p>
            <w:pPr>
              <w:pStyle w:val="15"/>
            </w:pPr>
            <w:r>
              <w:t>19.68</w:t>
            </w:r>
          </w:p>
        </w:tc>
        <w:tc>
          <w:tcPr>
            <w:tcW w:w="1134" w:type="dxa"/>
            <w:vAlign w:val="center"/>
          </w:tcPr>
          <w:p>
            <w:pPr>
              <w:pStyle w:val="15"/>
            </w:pPr>
            <w:r>
              <w:t>19.68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877.11</w:t>
            </w:r>
          </w:p>
        </w:tc>
        <w:tc>
          <w:tcPr>
            <w:tcW w:w="1361" w:type="dxa"/>
            <w:vAlign w:val="center"/>
          </w:tcPr>
          <w:p>
            <w:pPr>
              <w:pStyle w:val="19"/>
            </w:pPr>
            <w:r>
              <w:t>332.46</w:t>
            </w:r>
          </w:p>
        </w:tc>
        <w:tc>
          <w:tcPr>
            <w:tcW w:w="1361" w:type="dxa"/>
            <w:vAlign w:val="center"/>
          </w:tcPr>
          <w:p>
            <w:pPr>
              <w:pStyle w:val="19"/>
            </w:pPr>
            <w:r>
              <w:t>544.65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747.28</w:t>
            </w:r>
          </w:p>
        </w:tc>
        <w:tc>
          <w:tcPr>
            <w:tcW w:w="1361" w:type="dxa"/>
            <w:vAlign w:val="center"/>
          </w:tcPr>
          <w:p>
            <w:pPr>
              <w:pStyle w:val="15"/>
            </w:pPr>
            <w:r>
              <w:t>252.03</w:t>
            </w:r>
          </w:p>
        </w:tc>
        <w:tc>
          <w:tcPr>
            <w:tcW w:w="1361" w:type="dxa"/>
            <w:vAlign w:val="center"/>
          </w:tcPr>
          <w:p>
            <w:pPr>
              <w:pStyle w:val="15"/>
            </w:pPr>
            <w:r>
              <w:t>495.25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747.28</w:t>
            </w:r>
          </w:p>
        </w:tc>
        <w:tc>
          <w:tcPr>
            <w:tcW w:w="1361" w:type="dxa"/>
            <w:vAlign w:val="center"/>
          </w:tcPr>
          <w:p>
            <w:pPr>
              <w:pStyle w:val="15"/>
            </w:pPr>
            <w:r>
              <w:t>252.03</w:t>
            </w:r>
          </w:p>
        </w:tc>
        <w:tc>
          <w:tcPr>
            <w:tcW w:w="1361" w:type="dxa"/>
            <w:vAlign w:val="center"/>
          </w:tcPr>
          <w:p>
            <w:pPr>
              <w:pStyle w:val="15"/>
            </w:pPr>
            <w:r>
              <w:t>495.25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602.11</w:t>
            </w:r>
          </w:p>
        </w:tc>
        <w:tc>
          <w:tcPr>
            <w:tcW w:w="1361" w:type="dxa"/>
            <w:vAlign w:val="center"/>
          </w:tcPr>
          <w:p>
            <w:pPr>
              <w:pStyle w:val="15"/>
            </w:pPr>
            <w:r>
              <w:t>252.03</w:t>
            </w:r>
          </w:p>
        </w:tc>
        <w:tc>
          <w:tcPr>
            <w:tcW w:w="1361" w:type="dxa"/>
            <w:vAlign w:val="center"/>
          </w:tcPr>
          <w:p>
            <w:pPr>
              <w:pStyle w:val="15"/>
            </w:pPr>
            <w:r>
              <w:t>350.08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2010305</w:t>
            </w:r>
          </w:p>
        </w:tc>
        <w:tc>
          <w:tcPr>
            <w:tcW w:w="4535" w:type="dxa"/>
            <w:vAlign w:val="center"/>
          </w:tcPr>
          <w:p>
            <w:pPr>
              <w:pStyle w:val="16"/>
            </w:pPr>
            <w:r>
              <w:t>专项业务活动</w:t>
            </w:r>
          </w:p>
        </w:tc>
        <w:tc>
          <w:tcPr>
            <w:tcW w:w="1361" w:type="dxa"/>
            <w:vAlign w:val="center"/>
          </w:tcPr>
          <w:p>
            <w:pPr>
              <w:pStyle w:val="15"/>
            </w:pPr>
            <w:r>
              <w:t>12.87</w:t>
            </w:r>
          </w:p>
        </w:tc>
        <w:tc>
          <w:tcPr>
            <w:tcW w:w="1361" w:type="dxa"/>
            <w:vAlign w:val="center"/>
          </w:tcPr>
          <w:p>
            <w:pPr>
              <w:pStyle w:val="15"/>
            </w:pPr>
          </w:p>
        </w:tc>
        <w:tc>
          <w:tcPr>
            <w:tcW w:w="1361" w:type="dxa"/>
            <w:vAlign w:val="center"/>
          </w:tcPr>
          <w:p>
            <w:pPr>
              <w:pStyle w:val="15"/>
            </w:pPr>
            <w:r>
              <w:t>12.87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2010308</w:t>
            </w:r>
          </w:p>
        </w:tc>
        <w:tc>
          <w:tcPr>
            <w:tcW w:w="4535" w:type="dxa"/>
            <w:vAlign w:val="center"/>
          </w:tcPr>
          <w:p>
            <w:pPr>
              <w:pStyle w:val="16"/>
            </w:pPr>
            <w:r>
              <w:t>信访事务</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117.30</w:t>
            </w:r>
          </w:p>
        </w:tc>
        <w:tc>
          <w:tcPr>
            <w:tcW w:w="1361" w:type="dxa"/>
            <w:vAlign w:val="center"/>
          </w:tcPr>
          <w:p>
            <w:pPr>
              <w:pStyle w:val="15"/>
            </w:pPr>
          </w:p>
        </w:tc>
        <w:tc>
          <w:tcPr>
            <w:tcW w:w="1361" w:type="dxa"/>
            <w:vAlign w:val="center"/>
          </w:tcPr>
          <w:p>
            <w:pPr>
              <w:pStyle w:val="15"/>
            </w:pPr>
            <w:r>
              <w:t>117.30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46.98</w:t>
            </w:r>
          </w:p>
        </w:tc>
        <w:tc>
          <w:tcPr>
            <w:tcW w:w="1361" w:type="dxa"/>
            <w:vAlign w:val="center"/>
          </w:tcPr>
          <w:p>
            <w:pPr>
              <w:pStyle w:val="15"/>
            </w:pPr>
            <w:r>
              <w:t>46.98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41.94</w:t>
            </w:r>
          </w:p>
        </w:tc>
        <w:tc>
          <w:tcPr>
            <w:tcW w:w="1361" w:type="dxa"/>
            <w:vAlign w:val="center"/>
          </w:tcPr>
          <w:p>
            <w:pPr>
              <w:pStyle w:val="15"/>
            </w:pPr>
            <w:r>
              <w:t>41.94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27.96</w:t>
            </w:r>
          </w:p>
        </w:tc>
        <w:tc>
          <w:tcPr>
            <w:tcW w:w="1361" w:type="dxa"/>
            <w:vAlign w:val="center"/>
          </w:tcPr>
          <w:p>
            <w:pPr>
              <w:pStyle w:val="15"/>
            </w:pPr>
            <w:r>
              <w:t>27.96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13.98</w:t>
            </w:r>
          </w:p>
        </w:tc>
        <w:tc>
          <w:tcPr>
            <w:tcW w:w="1361" w:type="dxa"/>
            <w:vAlign w:val="center"/>
          </w:tcPr>
          <w:p>
            <w:pPr>
              <w:pStyle w:val="15"/>
            </w:pPr>
            <w:r>
              <w:t>13.98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5.04</w:t>
            </w:r>
          </w:p>
        </w:tc>
        <w:tc>
          <w:tcPr>
            <w:tcW w:w="1361" w:type="dxa"/>
            <w:vAlign w:val="center"/>
          </w:tcPr>
          <w:p>
            <w:pPr>
              <w:pStyle w:val="15"/>
            </w:pPr>
            <w:r>
              <w:t>5.04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5.04</w:t>
            </w:r>
          </w:p>
        </w:tc>
        <w:tc>
          <w:tcPr>
            <w:tcW w:w="1361" w:type="dxa"/>
            <w:vAlign w:val="center"/>
          </w:tcPr>
          <w:p>
            <w:pPr>
              <w:pStyle w:val="15"/>
            </w:pPr>
            <w:r>
              <w:t>5.04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13.77</w:t>
            </w:r>
          </w:p>
        </w:tc>
        <w:tc>
          <w:tcPr>
            <w:tcW w:w="1361" w:type="dxa"/>
            <w:vAlign w:val="center"/>
          </w:tcPr>
          <w:p>
            <w:pPr>
              <w:pStyle w:val="15"/>
            </w:pPr>
            <w:r>
              <w:t>13.77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13.77</w:t>
            </w:r>
          </w:p>
        </w:tc>
        <w:tc>
          <w:tcPr>
            <w:tcW w:w="1361" w:type="dxa"/>
            <w:vAlign w:val="center"/>
          </w:tcPr>
          <w:p>
            <w:pPr>
              <w:pStyle w:val="15"/>
            </w:pPr>
            <w:r>
              <w:t>13.77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13.77</w:t>
            </w:r>
          </w:p>
        </w:tc>
        <w:tc>
          <w:tcPr>
            <w:tcW w:w="1361" w:type="dxa"/>
            <w:vAlign w:val="center"/>
          </w:tcPr>
          <w:p>
            <w:pPr>
              <w:pStyle w:val="15"/>
            </w:pPr>
            <w:r>
              <w:t>13.77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49.40</w:t>
            </w:r>
          </w:p>
        </w:tc>
        <w:tc>
          <w:tcPr>
            <w:tcW w:w="1361" w:type="dxa"/>
            <w:vAlign w:val="center"/>
          </w:tcPr>
          <w:p>
            <w:pPr>
              <w:pStyle w:val="15"/>
            </w:pPr>
          </w:p>
        </w:tc>
        <w:tc>
          <w:tcPr>
            <w:tcW w:w="1361" w:type="dxa"/>
            <w:vAlign w:val="center"/>
          </w:tcPr>
          <w:p>
            <w:pPr>
              <w:pStyle w:val="15"/>
            </w:pPr>
            <w:r>
              <w:t>49.40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r>
              <w:t>4.40</w:t>
            </w:r>
          </w:p>
        </w:tc>
        <w:tc>
          <w:tcPr>
            <w:tcW w:w="1361" w:type="dxa"/>
            <w:vAlign w:val="center"/>
          </w:tcPr>
          <w:p>
            <w:pPr>
              <w:pStyle w:val="15"/>
            </w:pPr>
          </w:p>
        </w:tc>
        <w:tc>
          <w:tcPr>
            <w:tcW w:w="1361" w:type="dxa"/>
            <w:vAlign w:val="center"/>
          </w:tcPr>
          <w:p>
            <w:pPr>
              <w:pStyle w:val="15"/>
            </w:pPr>
            <w:r>
              <w:t>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2130142</w:t>
            </w:r>
          </w:p>
        </w:tc>
        <w:tc>
          <w:tcPr>
            <w:tcW w:w="4535" w:type="dxa"/>
            <w:vAlign w:val="center"/>
          </w:tcPr>
          <w:p>
            <w:pPr>
              <w:pStyle w:val="16"/>
            </w:pPr>
            <w:r>
              <w:t>农村道路建设</w:t>
            </w:r>
          </w:p>
        </w:tc>
        <w:tc>
          <w:tcPr>
            <w:tcW w:w="1361" w:type="dxa"/>
            <w:vAlign w:val="center"/>
          </w:tcPr>
          <w:p>
            <w:pPr>
              <w:pStyle w:val="15"/>
            </w:pPr>
            <w:r>
              <w:t>4.40</w:t>
            </w:r>
          </w:p>
        </w:tc>
        <w:tc>
          <w:tcPr>
            <w:tcW w:w="1361" w:type="dxa"/>
            <w:vAlign w:val="center"/>
          </w:tcPr>
          <w:p>
            <w:pPr>
              <w:pStyle w:val="15"/>
            </w:pPr>
          </w:p>
        </w:tc>
        <w:tc>
          <w:tcPr>
            <w:tcW w:w="1361" w:type="dxa"/>
            <w:vAlign w:val="center"/>
          </w:tcPr>
          <w:p>
            <w:pPr>
              <w:pStyle w:val="15"/>
            </w:pPr>
            <w:r>
              <w:t>4.40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19.68</w:t>
            </w:r>
          </w:p>
        </w:tc>
        <w:tc>
          <w:tcPr>
            <w:tcW w:w="1361" w:type="dxa"/>
            <w:vAlign w:val="center"/>
          </w:tcPr>
          <w:p>
            <w:pPr>
              <w:pStyle w:val="15"/>
            </w:pPr>
            <w:r>
              <w:t>19.68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19.68</w:t>
            </w:r>
          </w:p>
        </w:tc>
        <w:tc>
          <w:tcPr>
            <w:tcW w:w="1361" w:type="dxa"/>
            <w:vAlign w:val="center"/>
          </w:tcPr>
          <w:p>
            <w:pPr>
              <w:pStyle w:val="15"/>
            </w:pPr>
            <w:r>
              <w:t>19.68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19.68</w:t>
            </w:r>
          </w:p>
        </w:tc>
        <w:tc>
          <w:tcPr>
            <w:tcW w:w="1361" w:type="dxa"/>
            <w:vAlign w:val="center"/>
          </w:tcPr>
          <w:p>
            <w:pPr>
              <w:pStyle w:val="15"/>
            </w:pPr>
            <w:r>
              <w:t>19.68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877.11</w:t>
            </w:r>
          </w:p>
        </w:tc>
        <w:tc>
          <w:tcPr>
            <w:tcW w:w="3402" w:type="dxa"/>
            <w:vAlign w:val="center"/>
          </w:tcPr>
          <w:p>
            <w:pPr>
              <w:pStyle w:val="16"/>
            </w:pPr>
            <w:r>
              <w:t>一、一般公共服务支出</w:t>
            </w:r>
          </w:p>
        </w:tc>
        <w:tc>
          <w:tcPr>
            <w:tcW w:w="1474" w:type="dxa"/>
            <w:vAlign w:val="center"/>
          </w:tcPr>
          <w:p>
            <w:pPr>
              <w:pStyle w:val="15"/>
            </w:pPr>
            <w:r>
              <w:t>747.28</w:t>
            </w:r>
          </w:p>
        </w:tc>
        <w:tc>
          <w:tcPr>
            <w:tcW w:w="1474" w:type="dxa"/>
            <w:vAlign w:val="center"/>
          </w:tcPr>
          <w:p>
            <w:pPr>
              <w:pStyle w:val="15"/>
            </w:pPr>
            <w:r>
              <w:t>747.28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46.98</w:t>
            </w:r>
          </w:p>
        </w:tc>
        <w:tc>
          <w:tcPr>
            <w:tcW w:w="1474" w:type="dxa"/>
            <w:vAlign w:val="center"/>
          </w:tcPr>
          <w:p>
            <w:pPr>
              <w:pStyle w:val="15"/>
            </w:pPr>
            <w:r>
              <w:t>46.98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13.77</w:t>
            </w:r>
          </w:p>
        </w:tc>
        <w:tc>
          <w:tcPr>
            <w:tcW w:w="1474" w:type="dxa"/>
            <w:vAlign w:val="center"/>
          </w:tcPr>
          <w:p>
            <w:pPr>
              <w:pStyle w:val="15"/>
            </w:pPr>
            <w:r>
              <w:t>13.77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49.40</w:t>
            </w:r>
          </w:p>
        </w:tc>
        <w:tc>
          <w:tcPr>
            <w:tcW w:w="1474" w:type="dxa"/>
            <w:vAlign w:val="center"/>
          </w:tcPr>
          <w:p>
            <w:pPr>
              <w:pStyle w:val="15"/>
            </w:pPr>
            <w:r>
              <w:t>49.40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19.68</w:t>
            </w:r>
          </w:p>
        </w:tc>
        <w:tc>
          <w:tcPr>
            <w:tcW w:w="1474" w:type="dxa"/>
            <w:vAlign w:val="center"/>
          </w:tcPr>
          <w:p>
            <w:pPr>
              <w:pStyle w:val="15"/>
            </w:pPr>
            <w:r>
              <w:t>19.68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877.11</w:t>
            </w:r>
          </w:p>
        </w:tc>
        <w:tc>
          <w:tcPr>
            <w:tcW w:w="3402" w:type="dxa"/>
            <w:vAlign w:val="center"/>
          </w:tcPr>
          <w:p>
            <w:pPr>
              <w:pStyle w:val="18"/>
            </w:pPr>
            <w:r>
              <w:t>本年支出合计</w:t>
            </w:r>
          </w:p>
        </w:tc>
        <w:tc>
          <w:tcPr>
            <w:tcW w:w="1474" w:type="dxa"/>
            <w:vAlign w:val="center"/>
          </w:tcPr>
          <w:p>
            <w:pPr>
              <w:pStyle w:val="19"/>
            </w:pPr>
            <w:r>
              <w:t>877.11</w:t>
            </w:r>
          </w:p>
        </w:tc>
        <w:tc>
          <w:tcPr>
            <w:tcW w:w="1474" w:type="dxa"/>
            <w:vAlign w:val="center"/>
          </w:tcPr>
          <w:p>
            <w:pPr>
              <w:pStyle w:val="19"/>
            </w:pPr>
            <w:r>
              <w:t>877.11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877.11</w:t>
            </w:r>
          </w:p>
        </w:tc>
        <w:tc>
          <w:tcPr>
            <w:tcW w:w="3402" w:type="dxa"/>
            <w:vAlign w:val="center"/>
          </w:tcPr>
          <w:p>
            <w:pPr>
              <w:pStyle w:val="18"/>
            </w:pPr>
            <w:r>
              <w:t>支出总计</w:t>
            </w:r>
          </w:p>
        </w:tc>
        <w:tc>
          <w:tcPr>
            <w:tcW w:w="1474" w:type="dxa"/>
            <w:vAlign w:val="center"/>
          </w:tcPr>
          <w:p>
            <w:pPr>
              <w:pStyle w:val="19"/>
            </w:pPr>
            <w:r>
              <w:t>877.11</w:t>
            </w:r>
          </w:p>
        </w:tc>
        <w:tc>
          <w:tcPr>
            <w:tcW w:w="1474" w:type="dxa"/>
            <w:vAlign w:val="center"/>
          </w:tcPr>
          <w:p>
            <w:pPr>
              <w:pStyle w:val="19"/>
            </w:pPr>
            <w:r>
              <w:t>877.11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877.11</w:t>
            </w:r>
          </w:p>
        </w:tc>
        <w:tc>
          <w:tcPr>
            <w:tcW w:w="2551" w:type="dxa"/>
            <w:vAlign w:val="center"/>
          </w:tcPr>
          <w:p>
            <w:pPr>
              <w:pStyle w:val="19"/>
            </w:pPr>
            <w:r>
              <w:t>332.46</w:t>
            </w:r>
          </w:p>
        </w:tc>
        <w:tc>
          <w:tcPr>
            <w:tcW w:w="2551" w:type="dxa"/>
            <w:vAlign w:val="center"/>
          </w:tcPr>
          <w:p>
            <w:pPr>
              <w:pStyle w:val="19"/>
            </w:pPr>
            <w:r>
              <w:t>544.65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747.28</w:t>
            </w:r>
          </w:p>
        </w:tc>
        <w:tc>
          <w:tcPr>
            <w:tcW w:w="2551" w:type="dxa"/>
            <w:vAlign w:val="center"/>
          </w:tcPr>
          <w:p>
            <w:pPr>
              <w:pStyle w:val="15"/>
            </w:pPr>
            <w:r>
              <w:t>252.03</w:t>
            </w:r>
          </w:p>
        </w:tc>
        <w:tc>
          <w:tcPr>
            <w:tcW w:w="2551" w:type="dxa"/>
            <w:vAlign w:val="center"/>
          </w:tcPr>
          <w:p>
            <w:pPr>
              <w:pStyle w:val="15"/>
            </w:pPr>
            <w:r>
              <w:t>495.25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747.28</w:t>
            </w:r>
          </w:p>
        </w:tc>
        <w:tc>
          <w:tcPr>
            <w:tcW w:w="2551" w:type="dxa"/>
            <w:vAlign w:val="center"/>
          </w:tcPr>
          <w:p>
            <w:pPr>
              <w:pStyle w:val="15"/>
            </w:pPr>
            <w:r>
              <w:t>252.03</w:t>
            </w:r>
          </w:p>
        </w:tc>
        <w:tc>
          <w:tcPr>
            <w:tcW w:w="2551" w:type="dxa"/>
            <w:vAlign w:val="center"/>
          </w:tcPr>
          <w:p>
            <w:pPr>
              <w:pStyle w:val="15"/>
            </w:pPr>
            <w:r>
              <w:t>495.25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602.11</w:t>
            </w:r>
          </w:p>
        </w:tc>
        <w:tc>
          <w:tcPr>
            <w:tcW w:w="2551" w:type="dxa"/>
            <w:vAlign w:val="center"/>
          </w:tcPr>
          <w:p>
            <w:pPr>
              <w:pStyle w:val="15"/>
            </w:pPr>
            <w:r>
              <w:t>252.03</w:t>
            </w:r>
          </w:p>
        </w:tc>
        <w:tc>
          <w:tcPr>
            <w:tcW w:w="2551" w:type="dxa"/>
            <w:vAlign w:val="center"/>
          </w:tcPr>
          <w:p>
            <w:pPr>
              <w:pStyle w:val="15"/>
            </w:pPr>
            <w:r>
              <w:t>350.08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2010305</w:t>
            </w:r>
          </w:p>
        </w:tc>
        <w:tc>
          <w:tcPr>
            <w:tcW w:w="4535" w:type="dxa"/>
            <w:vAlign w:val="center"/>
          </w:tcPr>
          <w:p>
            <w:pPr>
              <w:pStyle w:val="16"/>
            </w:pPr>
            <w:r>
              <w:t>专项业务活动</w:t>
            </w:r>
          </w:p>
        </w:tc>
        <w:tc>
          <w:tcPr>
            <w:tcW w:w="2551" w:type="dxa"/>
            <w:vAlign w:val="center"/>
          </w:tcPr>
          <w:p>
            <w:pPr>
              <w:pStyle w:val="15"/>
            </w:pPr>
            <w:r>
              <w:t>12.87</w:t>
            </w:r>
          </w:p>
        </w:tc>
        <w:tc>
          <w:tcPr>
            <w:tcW w:w="2551" w:type="dxa"/>
            <w:vAlign w:val="center"/>
          </w:tcPr>
          <w:p>
            <w:pPr>
              <w:pStyle w:val="15"/>
            </w:pPr>
          </w:p>
        </w:tc>
        <w:tc>
          <w:tcPr>
            <w:tcW w:w="2551" w:type="dxa"/>
            <w:vAlign w:val="center"/>
          </w:tcPr>
          <w:p>
            <w:pPr>
              <w:pStyle w:val="15"/>
            </w:pPr>
            <w:r>
              <w:t>12.87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2010308</w:t>
            </w:r>
          </w:p>
        </w:tc>
        <w:tc>
          <w:tcPr>
            <w:tcW w:w="4535" w:type="dxa"/>
            <w:vAlign w:val="center"/>
          </w:tcPr>
          <w:p>
            <w:pPr>
              <w:pStyle w:val="16"/>
            </w:pPr>
            <w:r>
              <w:t>信访事务</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117.30</w:t>
            </w:r>
          </w:p>
        </w:tc>
        <w:tc>
          <w:tcPr>
            <w:tcW w:w="2551" w:type="dxa"/>
            <w:vAlign w:val="center"/>
          </w:tcPr>
          <w:p>
            <w:pPr>
              <w:pStyle w:val="15"/>
            </w:pPr>
          </w:p>
        </w:tc>
        <w:tc>
          <w:tcPr>
            <w:tcW w:w="2551" w:type="dxa"/>
            <w:vAlign w:val="center"/>
          </w:tcPr>
          <w:p>
            <w:pPr>
              <w:pStyle w:val="15"/>
            </w:pPr>
            <w:r>
              <w:t>117.30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46.98</w:t>
            </w:r>
          </w:p>
        </w:tc>
        <w:tc>
          <w:tcPr>
            <w:tcW w:w="2551" w:type="dxa"/>
            <w:vAlign w:val="center"/>
          </w:tcPr>
          <w:p>
            <w:pPr>
              <w:pStyle w:val="15"/>
            </w:pPr>
            <w:r>
              <w:t>46.98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41.94</w:t>
            </w:r>
          </w:p>
        </w:tc>
        <w:tc>
          <w:tcPr>
            <w:tcW w:w="2551" w:type="dxa"/>
            <w:vAlign w:val="center"/>
          </w:tcPr>
          <w:p>
            <w:pPr>
              <w:pStyle w:val="15"/>
            </w:pPr>
            <w:r>
              <w:t>41.94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27.96</w:t>
            </w:r>
          </w:p>
        </w:tc>
        <w:tc>
          <w:tcPr>
            <w:tcW w:w="2551" w:type="dxa"/>
            <w:vAlign w:val="center"/>
          </w:tcPr>
          <w:p>
            <w:pPr>
              <w:pStyle w:val="15"/>
            </w:pPr>
            <w:r>
              <w:t>27.96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13.98</w:t>
            </w:r>
          </w:p>
        </w:tc>
        <w:tc>
          <w:tcPr>
            <w:tcW w:w="2551" w:type="dxa"/>
            <w:vAlign w:val="center"/>
          </w:tcPr>
          <w:p>
            <w:pPr>
              <w:pStyle w:val="15"/>
            </w:pPr>
            <w:r>
              <w:t>13.98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5.04</w:t>
            </w:r>
          </w:p>
        </w:tc>
        <w:tc>
          <w:tcPr>
            <w:tcW w:w="2551" w:type="dxa"/>
            <w:vAlign w:val="center"/>
          </w:tcPr>
          <w:p>
            <w:pPr>
              <w:pStyle w:val="15"/>
            </w:pPr>
            <w:r>
              <w:t>5.04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5.04</w:t>
            </w:r>
          </w:p>
        </w:tc>
        <w:tc>
          <w:tcPr>
            <w:tcW w:w="2551" w:type="dxa"/>
            <w:vAlign w:val="center"/>
          </w:tcPr>
          <w:p>
            <w:pPr>
              <w:pStyle w:val="15"/>
            </w:pPr>
            <w:r>
              <w:t>5.04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13.77</w:t>
            </w:r>
          </w:p>
        </w:tc>
        <w:tc>
          <w:tcPr>
            <w:tcW w:w="2551" w:type="dxa"/>
            <w:vAlign w:val="center"/>
          </w:tcPr>
          <w:p>
            <w:pPr>
              <w:pStyle w:val="15"/>
            </w:pPr>
            <w:r>
              <w:t>13.77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13.77</w:t>
            </w:r>
          </w:p>
        </w:tc>
        <w:tc>
          <w:tcPr>
            <w:tcW w:w="2551" w:type="dxa"/>
            <w:vAlign w:val="center"/>
          </w:tcPr>
          <w:p>
            <w:pPr>
              <w:pStyle w:val="15"/>
            </w:pPr>
            <w:r>
              <w:t>13.77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13.77</w:t>
            </w:r>
          </w:p>
        </w:tc>
        <w:tc>
          <w:tcPr>
            <w:tcW w:w="2551" w:type="dxa"/>
            <w:vAlign w:val="center"/>
          </w:tcPr>
          <w:p>
            <w:pPr>
              <w:pStyle w:val="15"/>
            </w:pPr>
            <w:r>
              <w:t>13.77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49.40</w:t>
            </w:r>
          </w:p>
        </w:tc>
        <w:tc>
          <w:tcPr>
            <w:tcW w:w="2551" w:type="dxa"/>
            <w:vAlign w:val="center"/>
          </w:tcPr>
          <w:p>
            <w:pPr>
              <w:pStyle w:val="15"/>
            </w:pPr>
          </w:p>
        </w:tc>
        <w:tc>
          <w:tcPr>
            <w:tcW w:w="2551" w:type="dxa"/>
            <w:vAlign w:val="center"/>
          </w:tcPr>
          <w:p>
            <w:pPr>
              <w:pStyle w:val="15"/>
            </w:pPr>
            <w:r>
              <w:t>49.40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r>
              <w:t>4.40</w:t>
            </w:r>
          </w:p>
        </w:tc>
        <w:tc>
          <w:tcPr>
            <w:tcW w:w="2551" w:type="dxa"/>
            <w:vAlign w:val="center"/>
          </w:tcPr>
          <w:p>
            <w:pPr>
              <w:pStyle w:val="15"/>
            </w:pPr>
          </w:p>
        </w:tc>
        <w:tc>
          <w:tcPr>
            <w:tcW w:w="2551" w:type="dxa"/>
            <w:vAlign w:val="center"/>
          </w:tcPr>
          <w:p>
            <w:pPr>
              <w:pStyle w:val="15"/>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2130142</w:t>
            </w:r>
          </w:p>
        </w:tc>
        <w:tc>
          <w:tcPr>
            <w:tcW w:w="4535" w:type="dxa"/>
            <w:vAlign w:val="center"/>
          </w:tcPr>
          <w:p>
            <w:pPr>
              <w:pStyle w:val="16"/>
            </w:pPr>
            <w:r>
              <w:t>农村道路建设</w:t>
            </w:r>
          </w:p>
        </w:tc>
        <w:tc>
          <w:tcPr>
            <w:tcW w:w="2551" w:type="dxa"/>
            <w:vAlign w:val="center"/>
          </w:tcPr>
          <w:p>
            <w:pPr>
              <w:pStyle w:val="15"/>
            </w:pPr>
            <w:r>
              <w:t>4.40</w:t>
            </w:r>
          </w:p>
        </w:tc>
        <w:tc>
          <w:tcPr>
            <w:tcW w:w="2551" w:type="dxa"/>
            <w:vAlign w:val="center"/>
          </w:tcPr>
          <w:p>
            <w:pPr>
              <w:pStyle w:val="15"/>
            </w:pPr>
          </w:p>
        </w:tc>
        <w:tc>
          <w:tcPr>
            <w:tcW w:w="2551" w:type="dxa"/>
            <w:vAlign w:val="center"/>
          </w:tcPr>
          <w:p>
            <w:pPr>
              <w:pStyle w:val="15"/>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45.00</w:t>
            </w:r>
          </w:p>
        </w:tc>
        <w:tc>
          <w:tcPr>
            <w:tcW w:w="2551" w:type="dxa"/>
            <w:vAlign w:val="center"/>
          </w:tcPr>
          <w:p>
            <w:pPr>
              <w:pStyle w:val="15"/>
            </w:pP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19.68</w:t>
            </w:r>
          </w:p>
        </w:tc>
        <w:tc>
          <w:tcPr>
            <w:tcW w:w="2551" w:type="dxa"/>
            <w:vAlign w:val="center"/>
          </w:tcPr>
          <w:p>
            <w:pPr>
              <w:pStyle w:val="15"/>
            </w:pPr>
            <w:r>
              <w:t>19.68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19.68</w:t>
            </w:r>
          </w:p>
        </w:tc>
        <w:tc>
          <w:tcPr>
            <w:tcW w:w="2551" w:type="dxa"/>
            <w:vAlign w:val="center"/>
          </w:tcPr>
          <w:p>
            <w:pPr>
              <w:pStyle w:val="15"/>
            </w:pPr>
            <w:r>
              <w:t>19.68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19.68</w:t>
            </w:r>
          </w:p>
        </w:tc>
        <w:tc>
          <w:tcPr>
            <w:tcW w:w="2551" w:type="dxa"/>
            <w:vAlign w:val="center"/>
          </w:tcPr>
          <w:p>
            <w:pPr>
              <w:pStyle w:val="15"/>
            </w:pPr>
            <w:r>
              <w:t>19.68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支出单位经济分类科目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332.46</w:t>
            </w:r>
          </w:p>
        </w:tc>
        <w:tc>
          <w:tcPr>
            <w:tcW w:w="2551" w:type="dxa"/>
            <w:vAlign w:val="center"/>
          </w:tcPr>
          <w:p>
            <w:pPr>
              <w:pStyle w:val="19"/>
            </w:pPr>
            <w:r>
              <w:t>299.79</w:t>
            </w:r>
          </w:p>
        </w:tc>
        <w:tc>
          <w:tcPr>
            <w:tcW w:w="2551" w:type="dxa"/>
            <w:vAlign w:val="center"/>
          </w:tcPr>
          <w:p>
            <w:pPr>
              <w:pStyle w:val="19"/>
            </w:pPr>
            <w:r>
              <w:t>32.67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294.75</w:t>
            </w:r>
          </w:p>
        </w:tc>
        <w:tc>
          <w:tcPr>
            <w:tcW w:w="2551" w:type="dxa"/>
            <w:vAlign w:val="center"/>
          </w:tcPr>
          <w:p>
            <w:pPr>
              <w:pStyle w:val="15"/>
            </w:pPr>
            <w:r>
              <w:t>294.75</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156.24</w:t>
            </w:r>
          </w:p>
        </w:tc>
        <w:tc>
          <w:tcPr>
            <w:tcW w:w="2551" w:type="dxa"/>
            <w:vAlign w:val="center"/>
          </w:tcPr>
          <w:p>
            <w:pPr>
              <w:pStyle w:val="15"/>
            </w:pPr>
            <w:r>
              <w:t>156.24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47.24</w:t>
            </w:r>
          </w:p>
        </w:tc>
        <w:tc>
          <w:tcPr>
            <w:tcW w:w="2551" w:type="dxa"/>
            <w:vAlign w:val="center"/>
          </w:tcPr>
          <w:p>
            <w:pPr>
              <w:pStyle w:val="15"/>
            </w:pPr>
            <w:r>
              <w:t>47.24</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12.53</w:t>
            </w:r>
          </w:p>
        </w:tc>
        <w:tc>
          <w:tcPr>
            <w:tcW w:w="2551" w:type="dxa"/>
            <w:vAlign w:val="center"/>
          </w:tcPr>
          <w:p>
            <w:pPr>
              <w:pStyle w:val="15"/>
            </w:pPr>
            <w:r>
              <w:t>12.53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2.08</w:t>
            </w:r>
          </w:p>
        </w:tc>
        <w:tc>
          <w:tcPr>
            <w:tcW w:w="2551" w:type="dxa"/>
            <w:vAlign w:val="center"/>
          </w:tcPr>
          <w:p>
            <w:pPr>
              <w:pStyle w:val="15"/>
            </w:pPr>
            <w:r>
              <w:t>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27.96</w:t>
            </w:r>
          </w:p>
        </w:tc>
        <w:tc>
          <w:tcPr>
            <w:tcW w:w="2551" w:type="dxa"/>
            <w:vAlign w:val="center"/>
          </w:tcPr>
          <w:p>
            <w:pPr>
              <w:pStyle w:val="15"/>
            </w:pPr>
            <w:r>
              <w:t>27.96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13.98</w:t>
            </w:r>
          </w:p>
        </w:tc>
        <w:tc>
          <w:tcPr>
            <w:tcW w:w="2551" w:type="dxa"/>
            <w:vAlign w:val="center"/>
          </w:tcPr>
          <w:p>
            <w:pPr>
              <w:pStyle w:val="15"/>
            </w:pPr>
            <w:r>
              <w:t>13.98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13.77</w:t>
            </w:r>
          </w:p>
        </w:tc>
        <w:tc>
          <w:tcPr>
            <w:tcW w:w="2551" w:type="dxa"/>
            <w:vAlign w:val="center"/>
          </w:tcPr>
          <w:p>
            <w:pPr>
              <w:pStyle w:val="15"/>
            </w:pPr>
            <w:r>
              <w:t>13.77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1.27</w:t>
            </w:r>
          </w:p>
        </w:tc>
        <w:tc>
          <w:tcPr>
            <w:tcW w:w="2551" w:type="dxa"/>
            <w:vAlign w:val="center"/>
          </w:tcPr>
          <w:p>
            <w:pPr>
              <w:pStyle w:val="15"/>
            </w:pPr>
            <w:r>
              <w:t>1.27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19.68</w:t>
            </w:r>
          </w:p>
        </w:tc>
        <w:tc>
          <w:tcPr>
            <w:tcW w:w="2551" w:type="dxa"/>
            <w:vAlign w:val="center"/>
          </w:tcPr>
          <w:p>
            <w:pPr>
              <w:pStyle w:val="15"/>
            </w:pPr>
            <w:r>
              <w:t>19.68</w:t>
            </w:r>
          </w:p>
        </w:tc>
        <w:tc>
          <w:tcPr>
            <w:tcW w:w="255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32.67</w:t>
            </w:r>
          </w:p>
        </w:tc>
        <w:tc>
          <w:tcPr>
            <w:tcW w:w="2551" w:type="dxa"/>
            <w:vAlign w:val="center"/>
          </w:tcPr>
          <w:p>
            <w:pPr>
              <w:pStyle w:val="15"/>
            </w:pPr>
          </w:p>
        </w:tc>
        <w:tc>
          <w:tcPr>
            <w:tcW w:w="2551" w:type="dxa"/>
            <w:vAlign w:val="center"/>
          </w:tcPr>
          <w:p>
            <w:pPr>
              <w:pStyle w:val="15"/>
            </w:pPr>
            <w:r>
              <w:t>32.67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17.67</w:t>
            </w:r>
          </w:p>
        </w:tc>
        <w:tc>
          <w:tcPr>
            <w:tcW w:w="2551" w:type="dxa"/>
            <w:vAlign w:val="center"/>
          </w:tcPr>
          <w:p>
            <w:pPr>
              <w:pStyle w:val="15"/>
            </w:pPr>
          </w:p>
        </w:tc>
        <w:tc>
          <w:tcPr>
            <w:tcW w:w="2551" w:type="dxa"/>
            <w:vAlign w:val="center"/>
          </w:tcPr>
          <w:p>
            <w:pPr>
              <w:pStyle w:val="15"/>
            </w:pPr>
            <w:r>
              <w:t>17.67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5.04</w:t>
            </w:r>
          </w:p>
        </w:tc>
        <w:tc>
          <w:tcPr>
            <w:tcW w:w="2551" w:type="dxa"/>
            <w:vAlign w:val="center"/>
          </w:tcPr>
          <w:p>
            <w:pPr>
              <w:pStyle w:val="15"/>
            </w:pPr>
            <w:r>
              <w:t>5.04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5.04</w:t>
            </w:r>
          </w:p>
        </w:tc>
        <w:tc>
          <w:tcPr>
            <w:tcW w:w="2551" w:type="dxa"/>
            <w:vAlign w:val="center"/>
          </w:tcPr>
          <w:p>
            <w:pPr>
              <w:pStyle w:val="15"/>
            </w:pPr>
            <w:r>
              <w:t>5.04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成安县辛义乡政府机关本级2022年单位预算信息公开情况说明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bookmarkStart w:id="1" w:name="_GoBack"/>
      <w:bookmarkEnd w:id="1"/>
      <w:r>
        <w:rPr>
          <w:rFonts w:eastAsia="方正仿宋_GBK" w:cs="Times New Roman"/>
          <w:color w:val="000000"/>
          <w:sz w:val="28"/>
        </w:rPr>
        <w:t>、《地方预决算公开操作规程》和《关于进一步推进预算公开工作的实施意见》规定，现将成安县辛义乡政府机关本级2022年单位预算公开如下：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1"/>
      </w:pPr>
      <w:r>
        <w:rPr>
          <w:rFonts w:hint="eastAsia"/>
        </w:rPr>
        <w:t>1、宣传、贯彻党的路线、方针、政策和上级党组织的决议，执行乡党员代表大会(党员大会)决议，讨论决定本乡的重大问题。</w:t>
      </w:r>
    </w:p>
    <w:p>
      <w:pPr>
        <w:pStyle w:val="21"/>
      </w:pPr>
      <w:r>
        <w:rPr>
          <w:rFonts w:hint="eastAsia"/>
        </w:rPr>
        <w:t>2、抓好自身和所属党组织以及非公企业和社会组织的党组织建设。</w:t>
      </w:r>
    </w:p>
    <w:p>
      <w:pPr>
        <w:pStyle w:val="21"/>
      </w:pPr>
      <w:r>
        <w:rPr>
          <w:rFonts w:hint="eastAsia"/>
        </w:rPr>
        <w:t>3、领导乡经济建设，制定本乡经济和社会发展规划并组织实施。</w:t>
      </w:r>
    </w:p>
    <w:p>
      <w:pPr>
        <w:pStyle w:val="21"/>
      </w:pPr>
      <w:r>
        <w:rPr>
          <w:rFonts w:hint="eastAsia"/>
        </w:rPr>
        <w:t>4、领导乡社会主义精神文明和民主法制建设。加强农村社会治安综合治理，落实统一战线工作任务，做好民族事务工作。</w:t>
      </w:r>
    </w:p>
    <w:p>
      <w:pPr>
        <w:pStyle w:val="21"/>
      </w:pPr>
      <w:r>
        <w:rPr>
          <w:rFonts w:hint="eastAsia"/>
        </w:rPr>
        <w:t>5、领导并支持乡政府依法行使各项行政管理职权。</w:t>
      </w:r>
    </w:p>
    <w:p>
      <w:pPr>
        <w:pStyle w:val="21"/>
      </w:pPr>
      <w:r>
        <w:rPr>
          <w:rFonts w:hint="eastAsia"/>
        </w:rPr>
        <w:t>6、领导人大主席团及经济组织、人民武装和共青团、妇</w:t>
      </w:r>
    </w:p>
    <w:p>
      <w:pPr>
        <w:pStyle w:val="21"/>
      </w:pPr>
      <w:r>
        <w:rPr>
          <w:rFonts w:hint="eastAsia"/>
        </w:rPr>
        <w:t>联等人民团体的工作。</w:t>
      </w:r>
    </w:p>
    <w:p>
      <w:pPr>
        <w:pStyle w:val="21"/>
      </w:pPr>
      <w:r>
        <w:rPr>
          <w:rFonts w:hint="eastAsia"/>
        </w:rPr>
        <w:t>7、统一指挥协调上级有关单位派驻乡单位的工作。</w:t>
      </w:r>
    </w:p>
    <w:p>
      <w:pPr>
        <w:pStyle w:val="21"/>
      </w:pPr>
      <w:r>
        <w:rPr>
          <w:rFonts w:hint="eastAsia"/>
        </w:rPr>
        <w:t>8、完成上级党组织交办的其他任务。</w:t>
      </w:r>
    </w:p>
    <w:p>
      <w:pPr>
        <w:pStyle w:val="21"/>
      </w:pPr>
      <w:r>
        <w:rPr>
          <w:rFonts w:hint="eastAsia"/>
        </w:rPr>
        <w:t>9、促进经济发展、增加农民收入</w:t>
      </w:r>
    </w:p>
    <w:p>
      <w:pPr>
        <w:pStyle w:val="21"/>
      </w:pPr>
      <w:r>
        <w:rPr>
          <w:rFonts w:hint="eastAsia"/>
        </w:rPr>
        <w:t>10、优化公共服务、着力改善民生</w:t>
      </w:r>
    </w:p>
    <w:p>
      <w:pPr>
        <w:pStyle w:val="21"/>
      </w:pPr>
      <w:r>
        <w:rPr>
          <w:rFonts w:hint="eastAsia"/>
        </w:rPr>
        <w:t>11、强化社会管理、维护农村稳定</w:t>
      </w:r>
    </w:p>
    <w:p>
      <w:pPr>
        <w:pStyle w:val="21"/>
      </w:pPr>
      <w:r>
        <w:rPr>
          <w:rFonts w:hint="eastAsia"/>
        </w:rPr>
        <w:t>12、推进基层民主、促进农村和谐</w:t>
      </w:r>
    </w:p>
    <w:p>
      <w:pPr>
        <w:pStyle w:val="21"/>
      </w:pPr>
      <w:r>
        <w:rPr>
          <w:rFonts w:hint="eastAsia"/>
        </w:rPr>
        <w:t>13、改善生态环境、提升乡风文明</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成安县辛义乡政府机关本级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2"/>
      </w:pPr>
      <w:r>
        <w:rPr>
          <w:rFonts w:hint="eastAsia"/>
        </w:rPr>
        <w:t>1、收入说明</w:t>
      </w:r>
    </w:p>
    <w:p>
      <w:pPr>
        <w:pStyle w:val="22"/>
      </w:pPr>
      <w:r>
        <w:rPr>
          <w:rFonts w:hint="eastAsia"/>
        </w:rPr>
        <w:t>2022年预算收入877.11万元，其中：一般公共预算收入877.11万元，政府性基金收入0万元，国有资本经营收入0万元，事业收入0万元，其他收入0万元。</w:t>
      </w:r>
    </w:p>
    <w:p>
      <w:pPr>
        <w:pStyle w:val="22"/>
      </w:pPr>
      <w:r>
        <w:rPr>
          <w:rFonts w:hint="eastAsia"/>
        </w:rPr>
        <w:t>2、支出说明</w:t>
      </w:r>
    </w:p>
    <w:p>
      <w:pPr>
        <w:pStyle w:val="22"/>
      </w:pPr>
      <w:r>
        <w:rPr>
          <w:rFonts w:hint="eastAsia"/>
        </w:rPr>
        <w:t>2022年支出预算877.11万元，其中基本支出332.46万元，包括人员经费和日常公用经费；项目支出544.65万元。</w:t>
      </w:r>
    </w:p>
    <w:p>
      <w:pPr>
        <w:pStyle w:val="22"/>
      </w:pPr>
      <w:r>
        <w:rPr>
          <w:rFonts w:hint="eastAsia"/>
        </w:rPr>
        <w:t>3、比上年增减变化情况</w:t>
      </w:r>
    </w:p>
    <w:p>
      <w:pPr>
        <w:pStyle w:val="22"/>
      </w:pPr>
      <w:r>
        <w:rPr>
          <w:rFonts w:hint="eastAsia"/>
        </w:rPr>
        <w:t>2022年预算收支安排574.44万元，较2021年预算增加302.67万元，其中：基本支出减少3.98万元，主要是财政供养人员调整；项目支出增加306.65万元，主要是</w:t>
      </w:r>
      <w:r>
        <w:rPr>
          <w:rFonts w:hint="eastAsia"/>
          <w:lang w:eastAsia="zh-CN"/>
        </w:rPr>
        <w:t>职工养老保险和职业年金、</w:t>
      </w:r>
      <w:r>
        <w:rPr>
          <w:rFonts w:hint="eastAsia"/>
        </w:rPr>
        <w:t>禁燃禁烧、信访</w:t>
      </w:r>
      <w:r>
        <w:rPr>
          <w:rFonts w:hint="eastAsia"/>
          <w:lang w:eastAsia="zh-CN"/>
        </w:rPr>
        <w:t>维稳</w:t>
      </w:r>
      <w:r>
        <w:rPr>
          <w:rFonts w:hint="eastAsia"/>
        </w:rPr>
        <w:t>等年初预算项目增多。</w:t>
      </w:r>
    </w:p>
    <w:p>
      <w:pPr>
        <w:spacing w:before="10" w:after="10"/>
        <w:ind w:firstLine="640"/>
        <w:outlineLvl w:val="5"/>
      </w:pPr>
      <w:r>
        <w:rPr>
          <w:rFonts w:ascii="黑体" w:hAnsi="黑体" w:eastAsia="黑体" w:cs="黑体"/>
          <w:color w:val="000000"/>
          <w:sz w:val="32"/>
        </w:rPr>
        <w:t>三、机关运行经费安排情况</w:t>
      </w:r>
    </w:p>
    <w:p>
      <w:pPr>
        <w:pStyle w:val="23"/>
      </w:pPr>
      <w:r>
        <w:rPr>
          <w:rFonts w:hint="eastAsia"/>
        </w:rPr>
        <w:t>机关运行经费共计安排32.67万元，主要用于办公费、电费、差旅费、公务用车运行维护费和其他交通费用等日常运行支出。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4"/>
      </w:pPr>
      <w:r>
        <w:rPr>
          <w:rFonts w:hint="eastAsia"/>
        </w:rPr>
        <w:t>2022年，我单位“三公”经费预算安排1万元，其中因公出国（境）费0万元,较上年数持平；公务用车购置及运维费1万元（其中：公务用车购置费为0万元，公务用车运行费1万元) ，较上年持平；公务接待费0万元，较上年持平。“三公”经费与上年持平。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1、2022年自收自支人员乡镇工作补贴绩效目标表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1.提高职工收入水平</w:t>
            </w:r>
          </w:p>
          <w:p>
            <w:pPr>
              <w:pStyle w:val="16"/>
            </w:pPr>
            <w:r>
              <w:t>2.提升公共服务水平</w:t>
            </w:r>
          </w:p>
          <w:p>
            <w:pPr>
              <w:pStyle w:val="16"/>
            </w:pPr>
            <w:r>
              <w:t>3.提高职工的幸福生活指数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享有补贴的自筹人员数量</w:t>
            </w:r>
          </w:p>
        </w:tc>
        <w:tc>
          <w:tcPr>
            <w:tcW w:w="2835" w:type="dxa"/>
            <w:vAlign w:val="center"/>
          </w:tcPr>
          <w:p>
            <w:pPr>
              <w:pStyle w:val="16"/>
            </w:pPr>
            <w:r>
              <w:t>享有补贴的自筹人员数量</w:t>
            </w:r>
          </w:p>
        </w:tc>
        <w:tc>
          <w:tcPr>
            <w:tcW w:w="2551" w:type="dxa"/>
            <w:vAlign w:val="center"/>
          </w:tcPr>
          <w:p>
            <w:pPr>
              <w:pStyle w:val="16"/>
            </w:pPr>
            <w:r>
              <w:t>38人</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乡镇补贴发放率</w:t>
            </w:r>
          </w:p>
        </w:tc>
        <w:tc>
          <w:tcPr>
            <w:tcW w:w="2835" w:type="dxa"/>
            <w:vAlign w:val="center"/>
          </w:tcPr>
          <w:p>
            <w:pPr>
              <w:pStyle w:val="16"/>
            </w:pPr>
            <w:r>
              <w:t>乡镇补贴发放率</w:t>
            </w:r>
          </w:p>
        </w:tc>
        <w:tc>
          <w:tcPr>
            <w:tcW w:w="2551" w:type="dxa"/>
            <w:vAlign w:val="center"/>
          </w:tcPr>
          <w:p>
            <w:pPr>
              <w:pStyle w:val="16"/>
            </w:pPr>
            <w:r>
              <w:t>100百分比</w:t>
            </w:r>
          </w:p>
        </w:tc>
        <w:tc>
          <w:tcPr>
            <w:tcW w:w="2268" w:type="dxa"/>
            <w:vAlign w:val="center"/>
          </w:tcPr>
          <w:p>
            <w:pPr>
              <w:pStyle w:val="16"/>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乡镇补贴发放时限</w:t>
            </w:r>
          </w:p>
        </w:tc>
        <w:tc>
          <w:tcPr>
            <w:tcW w:w="2835" w:type="dxa"/>
            <w:vAlign w:val="center"/>
          </w:tcPr>
          <w:p>
            <w:pPr>
              <w:pStyle w:val="16"/>
            </w:pPr>
            <w:r>
              <w:t>乡镇补贴发放时限</w:t>
            </w:r>
          </w:p>
        </w:tc>
        <w:tc>
          <w:tcPr>
            <w:tcW w:w="2551" w:type="dxa"/>
            <w:vAlign w:val="center"/>
          </w:tcPr>
          <w:p>
            <w:pPr>
              <w:pStyle w:val="16"/>
            </w:pPr>
            <w:r>
              <w:t>2022.1-2022.12</w:t>
            </w:r>
          </w:p>
        </w:tc>
        <w:tc>
          <w:tcPr>
            <w:tcW w:w="2268" w:type="dxa"/>
            <w:vAlign w:val="center"/>
          </w:tcPr>
          <w:p>
            <w:pPr>
              <w:pStyle w:val="16"/>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乡镇补贴发放标准</w:t>
            </w:r>
          </w:p>
        </w:tc>
        <w:tc>
          <w:tcPr>
            <w:tcW w:w="2835" w:type="dxa"/>
            <w:vAlign w:val="center"/>
          </w:tcPr>
          <w:p>
            <w:pPr>
              <w:pStyle w:val="16"/>
            </w:pPr>
            <w:r>
              <w:t>乡镇补贴发放标准</w:t>
            </w:r>
          </w:p>
        </w:tc>
        <w:tc>
          <w:tcPr>
            <w:tcW w:w="2551" w:type="dxa"/>
            <w:vAlign w:val="center"/>
          </w:tcPr>
          <w:p>
            <w:pPr>
              <w:pStyle w:val="16"/>
            </w:pPr>
            <w:r>
              <w:t>按照调资方案表执行</w:t>
            </w:r>
          </w:p>
        </w:tc>
        <w:tc>
          <w:tcPr>
            <w:tcW w:w="2268" w:type="dxa"/>
            <w:vAlign w:val="center"/>
          </w:tcPr>
          <w:p>
            <w:pPr>
              <w:pStyle w:val="16"/>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提高职工收入水平</w:t>
            </w:r>
          </w:p>
        </w:tc>
        <w:tc>
          <w:tcPr>
            <w:tcW w:w="2835" w:type="dxa"/>
            <w:vAlign w:val="center"/>
          </w:tcPr>
          <w:p>
            <w:pPr>
              <w:pStyle w:val="16"/>
            </w:pPr>
            <w:r>
              <w:t>提高职工收入水平</w:t>
            </w:r>
          </w:p>
        </w:tc>
        <w:tc>
          <w:tcPr>
            <w:tcW w:w="2551" w:type="dxa"/>
            <w:vAlign w:val="center"/>
          </w:tcPr>
          <w:p>
            <w:pPr>
              <w:pStyle w:val="16"/>
            </w:pPr>
            <w:r>
              <w:t>是/否</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提升公共服务水平</w:t>
            </w:r>
          </w:p>
        </w:tc>
        <w:tc>
          <w:tcPr>
            <w:tcW w:w="2835" w:type="dxa"/>
            <w:vAlign w:val="center"/>
          </w:tcPr>
          <w:p>
            <w:pPr>
              <w:pStyle w:val="16"/>
            </w:pPr>
            <w:r>
              <w:t>提升公共服务水平</w:t>
            </w:r>
          </w:p>
        </w:tc>
        <w:tc>
          <w:tcPr>
            <w:tcW w:w="2551" w:type="dxa"/>
            <w:vAlign w:val="center"/>
          </w:tcPr>
          <w:p>
            <w:pPr>
              <w:pStyle w:val="16"/>
            </w:pPr>
            <w:r>
              <w:t>是/否</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提高职工的幸福生活指数</w:t>
            </w:r>
          </w:p>
        </w:tc>
        <w:tc>
          <w:tcPr>
            <w:tcW w:w="2835" w:type="dxa"/>
            <w:vAlign w:val="center"/>
          </w:tcPr>
          <w:p>
            <w:pPr>
              <w:pStyle w:val="16"/>
            </w:pPr>
            <w:r>
              <w:t>提高职工的幸福生活指数</w:t>
            </w:r>
          </w:p>
        </w:tc>
        <w:tc>
          <w:tcPr>
            <w:tcW w:w="2551" w:type="dxa"/>
            <w:vAlign w:val="center"/>
          </w:tcPr>
          <w:p>
            <w:pPr>
              <w:pStyle w:val="16"/>
            </w:pPr>
            <w:r>
              <w:t>是/否</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职工的满意度</w:t>
            </w:r>
          </w:p>
        </w:tc>
        <w:tc>
          <w:tcPr>
            <w:tcW w:w="2835" w:type="dxa"/>
            <w:vAlign w:val="center"/>
          </w:tcPr>
          <w:p>
            <w:pPr>
              <w:pStyle w:val="16"/>
            </w:pPr>
            <w:r>
              <w:t>职工的满意度</w:t>
            </w:r>
          </w:p>
        </w:tc>
        <w:tc>
          <w:tcPr>
            <w:tcW w:w="2551" w:type="dxa"/>
            <w:vAlign w:val="center"/>
          </w:tcPr>
          <w:p>
            <w:pPr>
              <w:pStyle w:val="16"/>
            </w:pPr>
            <w:r>
              <w:t>≥99百分比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2、党群服务中心配套办公用品、绿化经费绩效目标表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1.改善机关办公条件和环境</w:t>
            </w:r>
          </w:p>
          <w:p>
            <w:pPr>
              <w:pStyle w:val="16"/>
            </w:pPr>
            <w:r>
              <w:t>2.提升公共服务水平和质量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新建加高围墙数量</w:t>
            </w:r>
          </w:p>
        </w:tc>
        <w:tc>
          <w:tcPr>
            <w:tcW w:w="2835" w:type="dxa"/>
            <w:vAlign w:val="center"/>
          </w:tcPr>
          <w:p>
            <w:pPr>
              <w:pStyle w:val="16"/>
            </w:pPr>
            <w:r>
              <w:t>新建加高围墙数量</w:t>
            </w:r>
          </w:p>
        </w:tc>
        <w:tc>
          <w:tcPr>
            <w:tcW w:w="2551" w:type="dxa"/>
            <w:vAlign w:val="center"/>
          </w:tcPr>
          <w:p>
            <w:pPr>
              <w:pStyle w:val="16"/>
            </w:pPr>
            <w:r>
              <w:t>≥192米</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新铺设便道砖面积</w:t>
            </w:r>
          </w:p>
        </w:tc>
        <w:tc>
          <w:tcPr>
            <w:tcW w:w="2835" w:type="dxa"/>
            <w:vAlign w:val="center"/>
          </w:tcPr>
          <w:p>
            <w:pPr>
              <w:pStyle w:val="16"/>
            </w:pPr>
            <w:r>
              <w:t>新铺设便道砖面积</w:t>
            </w:r>
          </w:p>
        </w:tc>
        <w:tc>
          <w:tcPr>
            <w:tcW w:w="2551" w:type="dxa"/>
            <w:vAlign w:val="center"/>
          </w:tcPr>
          <w:p>
            <w:pPr>
              <w:pStyle w:val="16"/>
            </w:pPr>
            <w:r>
              <w:t>≥626平方米</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新增绿化面积</w:t>
            </w:r>
          </w:p>
        </w:tc>
        <w:tc>
          <w:tcPr>
            <w:tcW w:w="2835" w:type="dxa"/>
            <w:vAlign w:val="center"/>
          </w:tcPr>
          <w:p>
            <w:pPr>
              <w:pStyle w:val="16"/>
            </w:pPr>
            <w:r>
              <w:t>新增绿化面积</w:t>
            </w:r>
          </w:p>
        </w:tc>
        <w:tc>
          <w:tcPr>
            <w:tcW w:w="2551" w:type="dxa"/>
            <w:vAlign w:val="center"/>
          </w:tcPr>
          <w:p>
            <w:pPr>
              <w:pStyle w:val="16"/>
            </w:pPr>
            <w:r>
              <w:t>≥660平方米</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2835" w:type="dxa"/>
            <w:vAlign w:val="center"/>
          </w:tcPr>
          <w:p>
            <w:pPr>
              <w:pStyle w:val="16"/>
            </w:pPr>
            <w:r>
              <w:t>项目验收合格率</w:t>
            </w:r>
          </w:p>
        </w:tc>
        <w:tc>
          <w:tcPr>
            <w:tcW w:w="2551" w:type="dxa"/>
            <w:vAlign w:val="center"/>
          </w:tcPr>
          <w:p>
            <w:pPr>
              <w:pStyle w:val="16"/>
            </w:pPr>
            <w:r>
              <w:t>≥98百分比</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项目完工时间</w:t>
            </w:r>
          </w:p>
        </w:tc>
        <w:tc>
          <w:tcPr>
            <w:tcW w:w="2835" w:type="dxa"/>
            <w:vAlign w:val="center"/>
          </w:tcPr>
          <w:p>
            <w:pPr>
              <w:pStyle w:val="16"/>
            </w:pPr>
            <w:r>
              <w:t>项目完工时间</w:t>
            </w:r>
          </w:p>
        </w:tc>
        <w:tc>
          <w:tcPr>
            <w:tcW w:w="2551" w:type="dxa"/>
            <w:vAlign w:val="center"/>
          </w:tcPr>
          <w:p>
            <w:pPr>
              <w:pStyle w:val="16"/>
            </w:pPr>
            <w:r>
              <w:t>≤20天</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每米加高围墙成本</w:t>
            </w:r>
          </w:p>
        </w:tc>
        <w:tc>
          <w:tcPr>
            <w:tcW w:w="2835" w:type="dxa"/>
            <w:vAlign w:val="center"/>
          </w:tcPr>
          <w:p>
            <w:pPr>
              <w:pStyle w:val="16"/>
            </w:pPr>
            <w:r>
              <w:t>每米加高围墙成本</w:t>
            </w:r>
          </w:p>
        </w:tc>
        <w:tc>
          <w:tcPr>
            <w:tcW w:w="2551" w:type="dxa"/>
            <w:vAlign w:val="center"/>
          </w:tcPr>
          <w:p>
            <w:pPr>
              <w:pStyle w:val="16"/>
            </w:pPr>
            <w:r>
              <w:t>≤130元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每平方米便道砖成本</w:t>
            </w:r>
          </w:p>
        </w:tc>
        <w:tc>
          <w:tcPr>
            <w:tcW w:w="2835" w:type="dxa"/>
            <w:vAlign w:val="center"/>
          </w:tcPr>
          <w:p>
            <w:pPr>
              <w:pStyle w:val="16"/>
            </w:pPr>
            <w:r>
              <w:t>每平方米便道砖成本</w:t>
            </w:r>
          </w:p>
        </w:tc>
        <w:tc>
          <w:tcPr>
            <w:tcW w:w="2551" w:type="dxa"/>
            <w:vAlign w:val="center"/>
          </w:tcPr>
          <w:p>
            <w:pPr>
              <w:pStyle w:val="16"/>
            </w:pPr>
            <w:r>
              <w:t>≤50元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每平方米绿化成本</w:t>
            </w:r>
          </w:p>
        </w:tc>
        <w:tc>
          <w:tcPr>
            <w:tcW w:w="2835" w:type="dxa"/>
            <w:vAlign w:val="center"/>
          </w:tcPr>
          <w:p>
            <w:pPr>
              <w:pStyle w:val="16"/>
            </w:pPr>
            <w:r>
              <w:t>每平方米绿化成本</w:t>
            </w:r>
          </w:p>
        </w:tc>
        <w:tc>
          <w:tcPr>
            <w:tcW w:w="2551" w:type="dxa"/>
            <w:vAlign w:val="center"/>
          </w:tcPr>
          <w:p>
            <w:pPr>
              <w:pStyle w:val="16"/>
            </w:pPr>
            <w:r>
              <w:t>≤40元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改善机关办公条件</w:t>
            </w:r>
          </w:p>
        </w:tc>
        <w:tc>
          <w:tcPr>
            <w:tcW w:w="2835" w:type="dxa"/>
            <w:vAlign w:val="center"/>
          </w:tcPr>
          <w:p>
            <w:pPr>
              <w:pStyle w:val="16"/>
            </w:pPr>
            <w:r>
              <w:t>改善机关办公条件</w:t>
            </w:r>
          </w:p>
        </w:tc>
        <w:tc>
          <w:tcPr>
            <w:tcW w:w="2551" w:type="dxa"/>
            <w:vAlign w:val="center"/>
          </w:tcPr>
          <w:p>
            <w:pPr>
              <w:pStyle w:val="16"/>
            </w:pPr>
            <w:r>
              <w:t>有效改善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改善机关大院绿化环境</w:t>
            </w:r>
          </w:p>
        </w:tc>
        <w:tc>
          <w:tcPr>
            <w:tcW w:w="2835" w:type="dxa"/>
            <w:vAlign w:val="center"/>
          </w:tcPr>
          <w:p>
            <w:pPr>
              <w:pStyle w:val="16"/>
            </w:pPr>
            <w:r>
              <w:t>改善机关大院绿化环境</w:t>
            </w:r>
          </w:p>
        </w:tc>
        <w:tc>
          <w:tcPr>
            <w:tcW w:w="2551" w:type="dxa"/>
            <w:vAlign w:val="center"/>
          </w:tcPr>
          <w:p>
            <w:pPr>
              <w:pStyle w:val="16"/>
            </w:pPr>
            <w:r>
              <w:t>有效改善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提升公共服务水平和质量</w:t>
            </w:r>
          </w:p>
        </w:tc>
        <w:tc>
          <w:tcPr>
            <w:tcW w:w="2835" w:type="dxa"/>
            <w:vAlign w:val="center"/>
          </w:tcPr>
          <w:p>
            <w:pPr>
              <w:pStyle w:val="16"/>
            </w:pPr>
            <w:r>
              <w:t>提升公共服务水平和质量</w:t>
            </w:r>
          </w:p>
        </w:tc>
        <w:tc>
          <w:tcPr>
            <w:tcW w:w="2551" w:type="dxa"/>
            <w:vAlign w:val="center"/>
          </w:tcPr>
          <w:p>
            <w:pPr>
              <w:pStyle w:val="16"/>
            </w:pPr>
            <w:r>
              <w:t>得到提升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≥97百分比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3、机关事业单位养老保险及职业年金单位部分(2022年)绩效目标表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1.养老保险制度得到完善</w:t>
            </w:r>
          </w:p>
          <w:p>
            <w:pPr>
              <w:pStyle w:val="16"/>
            </w:pPr>
            <w:r>
              <w:t>2.自收自支人员的退休养老得到保障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补缴人数</w:t>
            </w:r>
          </w:p>
        </w:tc>
        <w:tc>
          <w:tcPr>
            <w:tcW w:w="2835" w:type="dxa"/>
            <w:vAlign w:val="center"/>
          </w:tcPr>
          <w:p>
            <w:pPr>
              <w:pStyle w:val="16"/>
            </w:pPr>
            <w:r>
              <w:t>补缴人数</w:t>
            </w:r>
          </w:p>
        </w:tc>
        <w:tc>
          <w:tcPr>
            <w:tcW w:w="2551" w:type="dxa"/>
            <w:vAlign w:val="center"/>
          </w:tcPr>
          <w:p>
            <w:pPr>
              <w:pStyle w:val="16"/>
            </w:pPr>
            <w:r>
              <w:t>36人</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入库金额完成率</w:t>
            </w:r>
          </w:p>
        </w:tc>
        <w:tc>
          <w:tcPr>
            <w:tcW w:w="2835" w:type="dxa"/>
            <w:vAlign w:val="center"/>
          </w:tcPr>
          <w:p>
            <w:pPr>
              <w:pStyle w:val="16"/>
            </w:pPr>
            <w:r>
              <w:t>入库金额完成率</w:t>
            </w:r>
          </w:p>
        </w:tc>
        <w:tc>
          <w:tcPr>
            <w:tcW w:w="2551" w:type="dxa"/>
            <w:vAlign w:val="center"/>
          </w:tcPr>
          <w:p>
            <w:pPr>
              <w:pStyle w:val="16"/>
            </w:pPr>
            <w:r>
              <w:t>100百分比</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补缴期限</w:t>
            </w:r>
          </w:p>
        </w:tc>
        <w:tc>
          <w:tcPr>
            <w:tcW w:w="2835" w:type="dxa"/>
            <w:vAlign w:val="center"/>
          </w:tcPr>
          <w:p>
            <w:pPr>
              <w:pStyle w:val="16"/>
            </w:pPr>
            <w:r>
              <w:t>当月养老保险和职业年金补缴期限</w:t>
            </w:r>
          </w:p>
        </w:tc>
        <w:tc>
          <w:tcPr>
            <w:tcW w:w="2551" w:type="dxa"/>
            <w:vAlign w:val="center"/>
          </w:tcPr>
          <w:p>
            <w:pPr>
              <w:pStyle w:val="16"/>
            </w:pPr>
            <w:r>
              <w:t>当月月底前完成补缴</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按社保计算比率缴纳</w:t>
            </w:r>
          </w:p>
        </w:tc>
        <w:tc>
          <w:tcPr>
            <w:tcW w:w="2835" w:type="dxa"/>
            <w:vAlign w:val="center"/>
          </w:tcPr>
          <w:p>
            <w:pPr>
              <w:pStyle w:val="16"/>
            </w:pPr>
            <w:r>
              <w:t>按社保计算比率缴纳</w:t>
            </w:r>
          </w:p>
        </w:tc>
        <w:tc>
          <w:tcPr>
            <w:tcW w:w="2551" w:type="dxa"/>
            <w:vAlign w:val="center"/>
          </w:tcPr>
          <w:p>
            <w:pPr>
              <w:pStyle w:val="16"/>
            </w:pPr>
            <w:r>
              <w:t>按社保比率缴纳比率计算</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养老保险制度得到完善</w:t>
            </w:r>
          </w:p>
        </w:tc>
        <w:tc>
          <w:tcPr>
            <w:tcW w:w="2835" w:type="dxa"/>
            <w:vAlign w:val="center"/>
          </w:tcPr>
          <w:p>
            <w:pPr>
              <w:pStyle w:val="16"/>
            </w:pPr>
            <w:r>
              <w:t>养老保险制度得到完善</w:t>
            </w:r>
          </w:p>
        </w:tc>
        <w:tc>
          <w:tcPr>
            <w:tcW w:w="2551" w:type="dxa"/>
            <w:vAlign w:val="center"/>
          </w:tcPr>
          <w:p>
            <w:pPr>
              <w:pStyle w:val="16"/>
            </w:pPr>
            <w:r>
              <w:t>所有在岗职工都能正常缴纳养老保险及职业年金</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自收自支人员的退休养老得到保障</w:t>
            </w:r>
          </w:p>
        </w:tc>
        <w:tc>
          <w:tcPr>
            <w:tcW w:w="2835" w:type="dxa"/>
            <w:vAlign w:val="center"/>
          </w:tcPr>
          <w:p>
            <w:pPr>
              <w:pStyle w:val="16"/>
            </w:pPr>
            <w:r>
              <w:t>自收自支人员的退休养老得到保障</w:t>
            </w:r>
          </w:p>
        </w:tc>
        <w:tc>
          <w:tcPr>
            <w:tcW w:w="2551" w:type="dxa"/>
            <w:vAlign w:val="center"/>
          </w:tcPr>
          <w:p>
            <w:pPr>
              <w:pStyle w:val="16"/>
            </w:pPr>
            <w:r>
              <w:t>自收自支人员正常缴纳养老保险及职业年金</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缴纳人员满意度</w:t>
            </w:r>
          </w:p>
        </w:tc>
        <w:tc>
          <w:tcPr>
            <w:tcW w:w="2835" w:type="dxa"/>
            <w:vAlign w:val="center"/>
          </w:tcPr>
          <w:p>
            <w:pPr>
              <w:pStyle w:val="16"/>
            </w:pPr>
            <w:r>
              <w:t>缴纳人员满意度</w:t>
            </w:r>
          </w:p>
        </w:tc>
        <w:tc>
          <w:tcPr>
            <w:tcW w:w="2551" w:type="dxa"/>
            <w:vAlign w:val="center"/>
          </w:tcPr>
          <w:p>
            <w:pPr>
              <w:pStyle w:val="16"/>
            </w:pPr>
            <w:r>
              <w:t>≥99百分比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4、禁烧禁燃工作经费绩效目标表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1.有效遏制大气污染案件发生</w:t>
            </w:r>
          </w:p>
          <w:p>
            <w:pPr>
              <w:pStyle w:val="16"/>
            </w:pPr>
            <w:r>
              <w:t>2.有效提升空气环境质量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大气污染案件和隐患处置数量</w:t>
            </w:r>
          </w:p>
        </w:tc>
        <w:tc>
          <w:tcPr>
            <w:tcW w:w="2835" w:type="dxa"/>
            <w:vAlign w:val="center"/>
          </w:tcPr>
          <w:p>
            <w:pPr>
              <w:pStyle w:val="16"/>
            </w:pPr>
            <w:r>
              <w:t>大气污染案件和隐患处置数量</w:t>
            </w:r>
          </w:p>
        </w:tc>
        <w:tc>
          <w:tcPr>
            <w:tcW w:w="2551" w:type="dxa"/>
            <w:vAlign w:val="center"/>
          </w:tcPr>
          <w:p>
            <w:pPr>
              <w:pStyle w:val="16"/>
            </w:pPr>
            <w:r>
              <w:t>≥5件</w:t>
            </w:r>
          </w:p>
        </w:tc>
        <w:tc>
          <w:tcPr>
            <w:tcW w:w="2268" w:type="dxa"/>
            <w:vAlign w:val="center"/>
          </w:tcPr>
          <w:p>
            <w:pPr>
              <w:pStyle w:val="16"/>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大气污染案件发现处置率</w:t>
            </w:r>
          </w:p>
        </w:tc>
        <w:tc>
          <w:tcPr>
            <w:tcW w:w="2835" w:type="dxa"/>
            <w:vAlign w:val="center"/>
          </w:tcPr>
          <w:p>
            <w:pPr>
              <w:pStyle w:val="16"/>
            </w:pPr>
            <w:r>
              <w:t>及时发现处置重大污染事件数占重大污染事件总数的比率</w:t>
            </w:r>
          </w:p>
        </w:tc>
        <w:tc>
          <w:tcPr>
            <w:tcW w:w="2551" w:type="dxa"/>
            <w:vAlign w:val="center"/>
          </w:tcPr>
          <w:p>
            <w:pPr>
              <w:pStyle w:val="16"/>
            </w:pPr>
            <w:r>
              <w:t>≥95百分比</w:t>
            </w:r>
          </w:p>
        </w:tc>
        <w:tc>
          <w:tcPr>
            <w:tcW w:w="2268" w:type="dxa"/>
            <w:vAlign w:val="center"/>
          </w:tcPr>
          <w:p>
            <w:pPr>
              <w:pStyle w:val="16"/>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突发大气污染事件处置时限</w:t>
            </w:r>
          </w:p>
        </w:tc>
        <w:tc>
          <w:tcPr>
            <w:tcW w:w="2835" w:type="dxa"/>
            <w:vAlign w:val="center"/>
          </w:tcPr>
          <w:p>
            <w:pPr>
              <w:pStyle w:val="16"/>
            </w:pPr>
            <w:r>
              <w:t>突发大气污染事件处置时限</w:t>
            </w:r>
          </w:p>
        </w:tc>
        <w:tc>
          <w:tcPr>
            <w:tcW w:w="2551" w:type="dxa"/>
            <w:vAlign w:val="center"/>
          </w:tcPr>
          <w:p>
            <w:pPr>
              <w:pStyle w:val="16"/>
            </w:pPr>
            <w:r>
              <w:t>≤2小时</w:t>
            </w:r>
          </w:p>
        </w:tc>
        <w:tc>
          <w:tcPr>
            <w:tcW w:w="2268" w:type="dxa"/>
            <w:vAlign w:val="center"/>
          </w:tcPr>
          <w:p>
            <w:pPr>
              <w:pStyle w:val="16"/>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租用运输车辆成本</w:t>
            </w:r>
          </w:p>
        </w:tc>
        <w:tc>
          <w:tcPr>
            <w:tcW w:w="2835" w:type="dxa"/>
            <w:vAlign w:val="center"/>
          </w:tcPr>
          <w:p>
            <w:pPr>
              <w:pStyle w:val="16"/>
            </w:pPr>
            <w:r>
              <w:t>租用隐患清运车辆每辆每天成本</w:t>
            </w:r>
          </w:p>
        </w:tc>
        <w:tc>
          <w:tcPr>
            <w:tcW w:w="2551" w:type="dxa"/>
            <w:vAlign w:val="center"/>
          </w:tcPr>
          <w:p>
            <w:pPr>
              <w:pStyle w:val="16"/>
            </w:pPr>
            <w:r>
              <w:t>≤300元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有效遏制大气污染事件发生</w:t>
            </w:r>
          </w:p>
        </w:tc>
        <w:tc>
          <w:tcPr>
            <w:tcW w:w="2835" w:type="dxa"/>
            <w:vAlign w:val="center"/>
          </w:tcPr>
          <w:p>
            <w:pPr>
              <w:pStyle w:val="16"/>
            </w:pPr>
            <w:r>
              <w:t>有效遏制大气污染事件发生</w:t>
            </w:r>
          </w:p>
        </w:tc>
        <w:tc>
          <w:tcPr>
            <w:tcW w:w="2551" w:type="dxa"/>
            <w:vAlign w:val="center"/>
          </w:tcPr>
          <w:p>
            <w:pPr>
              <w:pStyle w:val="16"/>
            </w:pPr>
            <w:r>
              <w:t>有效遏制</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保障持续改善空气环境质量</w:t>
            </w:r>
          </w:p>
        </w:tc>
        <w:tc>
          <w:tcPr>
            <w:tcW w:w="2835" w:type="dxa"/>
            <w:vAlign w:val="center"/>
          </w:tcPr>
          <w:p>
            <w:pPr>
              <w:pStyle w:val="16"/>
            </w:pPr>
            <w:r>
              <w:t>保障持续改善空气环境质量</w:t>
            </w:r>
          </w:p>
        </w:tc>
        <w:tc>
          <w:tcPr>
            <w:tcW w:w="2551" w:type="dxa"/>
            <w:vAlign w:val="center"/>
          </w:tcPr>
          <w:p>
            <w:pPr>
              <w:pStyle w:val="16"/>
            </w:pPr>
            <w:r>
              <w:t>得到保障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调查中满意和较满意的群众人数占全部调查人数的比率</w:t>
            </w:r>
          </w:p>
        </w:tc>
        <w:tc>
          <w:tcPr>
            <w:tcW w:w="2551" w:type="dxa"/>
            <w:vAlign w:val="center"/>
          </w:tcPr>
          <w:p>
            <w:pPr>
              <w:pStyle w:val="16"/>
            </w:pPr>
            <w:r>
              <w:t>≥96百分比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5、苗木移栽费用绩效目标表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1.改善村容村貌</w:t>
            </w:r>
          </w:p>
          <w:p>
            <w:pPr>
              <w:pStyle w:val="16"/>
            </w:pPr>
            <w:r>
              <w:t>2.改善农村生态环境</w:t>
            </w:r>
          </w:p>
          <w:p>
            <w:pPr>
              <w:pStyle w:val="16"/>
            </w:pPr>
            <w:r>
              <w:t>3.提升农村人居环境水平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移栽苗木数量</w:t>
            </w:r>
          </w:p>
        </w:tc>
        <w:tc>
          <w:tcPr>
            <w:tcW w:w="2835" w:type="dxa"/>
            <w:vAlign w:val="center"/>
          </w:tcPr>
          <w:p>
            <w:pPr>
              <w:pStyle w:val="16"/>
            </w:pPr>
            <w:r>
              <w:t>移栽苗木数量</w:t>
            </w:r>
          </w:p>
        </w:tc>
        <w:tc>
          <w:tcPr>
            <w:tcW w:w="2551" w:type="dxa"/>
            <w:vAlign w:val="center"/>
          </w:tcPr>
          <w:p>
            <w:pPr>
              <w:pStyle w:val="16"/>
            </w:pPr>
            <w:r>
              <w:t>≥6433棵</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移栽苗木成活率</w:t>
            </w:r>
          </w:p>
        </w:tc>
        <w:tc>
          <w:tcPr>
            <w:tcW w:w="2835" w:type="dxa"/>
            <w:vAlign w:val="center"/>
          </w:tcPr>
          <w:p>
            <w:pPr>
              <w:pStyle w:val="16"/>
            </w:pPr>
            <w:r>
              <w:t>移栽苗木成活率</w:t>
            </w:r>
          </w:p>
        </w:tc>
        <w:tc>
          <w:tcPr>
            <w:tcW w:w="2551" w:type="dxa"/>
            <w:vAlign w:val="center"/>
          </w:tcPr>
          <w:p>
            <w:pPr>
              <w:pStyle w:val="16"/>
            </w:pPr>
            <w:r>
              <w:t>≥95百分比</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移栽苗木完成时间</w:t>
            </w:r>
          </w:p>
        </w:tc>
        <w:tc>
          <w:tcPr>
            <w:tcW w:w="2835" w:type="dxa"/>
            <w:vAlign w:val="center"/>
          </w:tcPr>
          <w:p>
            <w:pPr>
              <w:pStyle w:val="16"/>
            </w:pPr>
            <w:r>
              <w:t>移栽苗木完成时间</w:t>
            </w:r>
          </w:p>
        </w:tc>
        <w:tc>
          <w:tcPr>
            <w:tcW w:w="2551" w:type="dxa"/>
            <w:vAlign w:val="center"/>
          </w:tcPr>
          <w:p>
            <w:pPr>
              <w:pStyle w:val="16"/>
            </w:pPr>
            <w:r>
              <w:t>≤30天</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每棵苗木移栽成本</w:t>
            </w:r>
          </w:p>
        </w:tc>
        <w:tc>
          <w:tcPr>
            <w:tcW w:w="2835" w:type="dxa"/>
            <w:vAlign w:val="center"/>
          </w:tcPr>
          <w:p>
            <w:pPr>
              <w:pStyle w:val="16"/>
            </w:pPr>
            <w:r>
              <w:t>每棵苗木移栽成本</w:t>
            </w:r>
          </w:p>
        </w:tc>
        <w:tc>
          <w:tcPr>
            <w:tcW w:w="2551" w:type="dxa"/>
            <w:vAlign w:val="center"/>
          </w:tcPr>
          <w:p>
            <w:pPr>
              <w:pStyle w:val="16"/>
            </w:pPr>
            <w:r>
              <w:t>≤20元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改善村容村貌</w:t>
            </w:r>
          </w:p>
        </w:tc>
        <w:tc>
          <w:tcPr>
            <w:tcW w:w="2835" w:type="dxa"/>
            <w:vAlign w:val="center"/>
          </w:tcPr>
          <w:p>
            <w:pPr>
              <w:pStyle w:val="16"/>
            </w:pPr>
            <w:r>
              <w:t>改善村容村貌</w:t>
            </w:r>
          </w:p>
        </w:tc>
        <w:tc>
          <w:tcPr>
            <w:tcW w:w="2551" w:type="dxa"/>
            <w:vAlign w:val="center"/>
          </w:tcPr>
          <w:p>
            <w:pPr>
              <w:pStyle w:val="16"/>
            </w:pPr>
            <w:r>
              <w:t>得到改善</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改善农村生态环境</w:t>
            </w:r>
          </w:p>
        </w:tc>
        <w:tc>
          <w:tcPr>
            <w:tcW w:w="2835" w:type="dxa"/>
            <w:vAlign w:val="center"/>
          </w:tcPr>
          <w:p>
            <w:pPr>
              <w:pStyle w:val="16"/>
            </w:pPr>
            <w:r>
              <w:t>改善农村生态环境</w:t>
            </w:r>
          </w:p>
        </w:tc>
        <w:tc>
          <w:tcPr>
            <w:tcW w:w="2551" w:type="dxa"/>
            <w:vAlign w:val="center"/>
          </w:tcPr>
          <w:p>
            <w:pPr>
              <w:pStyle w:val="16"/>
            </w:pPr>
            <w:r>
              <w:t>得到改善</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提升农村人居环境水平</w:t>
            </w:r>
          </w:p>
        </w:tc>
        <w:tc>
          <w:tcPr>
            <w:tcW w:w="2835" w:type="dxa"/>
            <w:vAlign w:val="center"/>
          </w:tcPr>
          <w:p>
            <w:pPr>
              <w:pStyle w:val="16"/>
            </w:pPr>
            <w:r>
              <w:t>提升农村人居环境水平</w:t>
            </w:r>
          </w:p>
        </w:tc>
        <w:tc>
          <w:tcPr>
            <w:tcW w:w="2551" w:type="dxa"/>
            <w:vAlign w:val="center"/>
          </w:tcPr>
          <w:p>
            <w:pPr>
              <w:pStyle w:val="16"/>
            </w:pPr>
            <w:r>
              <w:t>得到提升</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6、人居环境整治工作经费绩效目标表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1.提高群众生活质量</w:t>
            </w:r>
          </w:p>
          <w:p>
            <w:pPr>
              <w:pStyle w:val="16"/>
            </w:pPr>
            <w:r>
              <w:t>2.减少秸秆燃烧对环境污染</w:t>
            </w:r>
          </w:p>
          <w:p>
            <w:pPr>
              <w:pStyle w:val="16"/>
            </w:pPr>
            <w:r>
              <w:t>3.提升农村人居环境水平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清理秸秆杂草面积</w:t>
            </w:r>
          </w:p>
        </w:tc>
        <w:tc>
          <w:tcPr>
            <w:tcW w:w="2835" w:type="dxa"/>
            <w:vAlign w:val="center"/>
          </w:tcPr>
          <w:p>
            <w:pPr>
              <w:pStyle w:val="16"/>
            </w:pPr>
            <w:r>
              <w:t>清理秸秆杂草面积</w:t>
            </w:r>
          </w:p>
        </w:tc>
        <w:tc>
          <w:tcPr>
            <w:tcW w:w="2551" w:type="dxa"/>
            <w:vAlign w:val="center"/>
          </w:tcPr>
          <w:p>
            <w:pPr>
              <w:pStyle w:val="16"/>
            </w:pPr>
            <w:r>
              <w:t>≥3800亩</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清理整治村庄数量</w:t>
            </w:r>
          </w:p>
        </w:tc>
        <w:tc>
          <w:tcPr>
            <w:tcW w:w="2835" w:type="dxa"/>
            <w:vAlign w:val="center"/>
          </w:tcPr>
          <w:p>
            <w:pPr>
              <w:pStyle w:val="16"/>
            </w:pPr>
            <w:r>
              <w:t>清理整治村庄数量</w:t>
            </w:r>
          </w:p>
        </w:tc>
        <w:tc>
          <w:tcPr>
            <w:tcW w:w="2551" w:type="dxa"/>
            <w:vAlign w:val="center"/>
          </w:tcPr>
          <w:p>
            <w:pPr>
              <w:pStyle w:val="16"/>
            </w:pPr>
            <w:r>
              <w:t>25个</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清理交通沿线数量</w:t>
            </w:r>
          </w:p>
        </w:tc>
        <w:tc>
          <w:tcPr>
            <w:tcW w:w="2835" w:type="dxa"/>
            <w:vAlign w:val="center"/>
          </w:tcPr>
          <w:p>
            <w:pPr>
              <w:pStyle w:val="16"/>
            </w:pPr>
            <w:r>
              <w:t>清理交通沿线数量</w:t>
            </w:r>
          </w:p>
        </w:tc>
        <w:tc>
          <w:tcPr>
            <w:tcW w:w="2551" w:type="dxa"/>
            <w:vAlign w:val="center"/>
          </w:tcPr>
          <w:p>
            <w:pPr>
              <w:pStyle w:val="16"/>
            </w:pPr>
            <w:r>
              <w:t>≥3条</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项目验收通过率</w:t>
            </w:r>
          </w:p>
        </w:tc>
        <w:tc>
          <w:tcPr>
            <w:tcW w:w="2835" w:type="dxa"/>
            <w:vAlign w:val="center"/>
          </w:tcPr>
          <w:p>
            <w:pPr>
              <w:pStyle w:val="16"/>
            </w:pPr>
            <w:r>
              <w:t>项目验收通过率</w:t>
            </w:r>
          </w:p>
        </w:tc>
        <w:tc>
          <w:tcPr>
            <w:tcW w:w="2551" w:type="dxa"/>
            <w:vAlign w:val="center"/>
          </w:tcPr>
          <w:p>
            <w:pPr>
              <w:pStyle w:val="16"/>
            </w:pPr>
            <w:r>
              <w:t>≥98百分比</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项目施工完成时间</w:t>
            </w:r>
          </w:p>
        </w:tc>
        <w:tc>
          <w:tcPr>
            <w:tcW w:w="2835" w:type="dxa"/>
            <w:vAlign w:val="center"/>
          </w:tcPr>
          <w:p>
            <w:pPr>
              <w:pStyle w:val="16"/>
            </w:pPr>
            <w:r>
              <w:t>项目施工完成时间</w:t>
            </w:r>
          </w:p>
        </w:tc>
        <w:tc>
          <w:tcPr>
            <w:tcW w:w="2551" w:type="dxa"/>
            <w:vAlign w:val="center"/>
          </w:tcPr>
          <w:p>
            <w:pPr>
              <w:pStyle w:val="16"/>
            </w:pPr>
            <w:r>
              <w:t>≤40天</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每天每辆清运车使用成本</w:t>
            </w:r>
          </w:p>
        </w:tc>
        <w:tc>
          <w:tcPr>
            <w:tcW w:w="2835" w:type="dxa"/>
            <w:vAlign w:val="center"/>
          </w:tcPr>
          <w:p>
            <w:pPr>
              <w:pStyle w:val="16"/>
            </w:pPr>
            <w:r>
              <w:t>每天每辆清运车使用成本</w:t>
            </w:r>
          </w:p>
        </w:tc>
        <w:tc>
          <w:tcPr>
            <w:tcW w:w="2551" w:type="dxa"/>
            <w:vAlign w:val="center"/>
          </w:tcPr>
          <w:p>
            <w:pPr>
              <w:pStyle w:val="16"/>
            </w:pPr>
            <w:r>
              <w:t>≤300元</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每亩土地旋耕秸秆杂草成本</w:t>
            </w:r>
          </w:p>
        </w:tc>
        <w:tc>
          <w:tcPr>
            <w:tcW w:w="2835" w:type="dxa"/>
            <w:vAlign w:val="center"/>
          </w:tcPr>
          <w:p>
            <w:pPr>
              <w:pStyle w:val="16"/>
            </w:pPr>
            <w:r>
              <w:t>每亩土地旋耕秸秆杂草成本</w:t>
            </w:r>
          </w:p>
        </w:tc>
        <w:tc>
          <w:tcPr>
            <w:tcW w:w="2551" w:type="dxa"/>
            <w:vAlign w:val="center"/>
          </w:tcPr>
          <w:p>
            <w:pPr>
              <w:pStyle w:val="16"/>
            </w:pPr>
            <w:r>
              <w:t>≤38元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提高群众生活质量</w:t>
            </w:r>
          </w:p>
        </w:tc>
        <w:tc>
          <w:tcPr>
            <w:tcW w:w="2835" w:type="dxa"/>
            <w:vAlign w:val="center"/>
          </w:tcPr>
          <w:p>
            <w:pPr>
              <w:pStyle w:val="16"/>
            </w:pPr>
            <w:r>
              <w:t>提高群众生活质量</w:t>
            </w:r>
          </w:p>
        </w:tc>
        <w:tc>
          <w:tcPr>
            <w:tcW w:w="2551" w:type="dxa"/>
            <w:vAlign w:val="center"/>
          </w:tcPr>
          <w:p>
            <w:pPr>
              <w:pStyle w:val="16"/>
            </w:pPr>
            <w:r>
              <w:t>得到提高</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减少秸秆燃烧对环境污染</w:t>
            </w:r>
          </w:p>
        </w:tc>
        <w:tc>
          <w:tcPr>
            <w:tcW w:w="2835" w:type="dxa"/>
            <w:vAlign w:val="center"/>
          </w:tcPr>
          <w:p>
            <w:pPr>
              <w:pStyle w:val="16"/>
            </w:pPr>
            <w:r>
              <w:t>减少秸秆燃烧对环境污染</w:t>
            </w:r>
          </w:p>
        </w:tc>
        <w:tc>
          <w:tcPr>
            <w:tcW w:w="2551" w:type="dxa"/>
            <w:vAlign w:val="center"/>
          </w:tcPr>
          <w:p>
            <w:pPr>
              <w:pStyle w:val="16"/>
            </w:pPr>
            <w:r>
              <w:t>有效减少</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提升农村人居环境水平</w:t>
            </w:r>
          </w:p>
        </w:tc>
        <w:tc>
          <w:tcPr>
            <w:tcW w:w="2835" w:type="dxa"/>
            <w:vAlign w:val="center"/>
          </w:tcPr>
          <w:p>
            <w:pPr>
              <w:pStyle w:val="16"/>
            </w:pPr>
            <w:r>
              <w:t>提升农村人居环境水平</w:t>
            </w:r>
          </w:p>
        </w:tc>
        <w:tc>
          <w:tcPr>
            <w:tcW w:w="2551" w:type="dxa"/>
            <w:vAlign w:val="center"/>
          </w:tcPr>
          <w:p>
            <w:pPr>
              <w:pStyle w:val="16"/>
            </w:pPr>
            <w:r>
              <w:t>得到提升</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7、人脸识别测温仪购置费绩效目标表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1.有效提升防疫值班人员检测能力</w:t>
            </w:r>
          </w:p>
          <w:p>
            <w:pPr>
              <w:pStyle w:val="16"/>
            </w:pPr>
            <w:r>
              <w:t>2.减少疫情传播，保证人民群众生命安全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红外线智能测温仪数量</w:t>
            </w:r>
          </w:p>
        </w:tc>
        <w:tc>
          <w:tcPr>
            <w:tcW w:w="2835" w:type="dxa"/>
            <w:vAlign w:val="center"/>
          </w:tcPr>
          <w:p>
            <w:pPr>
              <w:pStyle w:val="16"/>
            </w:pPr>
            <w:r>
              <w:t>红外线智能测温仪数量</w:t>
            </w:r>
          </w:p>
        </w:tc>
        <w:tc>
          <w:tcPr>
            <w:tcW w:w="2551" w:type="dxa"/>
            <w:vAlign w:val="center"/>
          </w:tcPr>
          <w:p>
            <w:pPr>
              <w:pStyle w:val="16"/>
            </w:pPr>
            <w:r>
              <w:t>26台</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专用网线条数</w:t>
            </w:r>
          </w:p>
        </w:tc>
        <w:tc>
          <w:tcPr>
            <w:tcW w:w="2835" w:type="dxa"/>
            <w:vAlign w:val="center"/>
          </w:tcPr>
          <w:p>
            <w:pPr>
              <w:pStyle w:val="16"/>
            </w:pPr>
            <w:r>
              <w:t>开通的专用网线条数</w:t>
            </w:r>
          </w:p>
        </w:tc>
        <w:tc>
          <w:tcPr>
            <w:tcW w:w="2551" w:type="dxa"/>
            <w:vAlign w:val="center"/>
          </w:tcPr>
          <w:p>
            <w:pPr>
              <w:pStyle w:val="16"/>
            </w:pPr>
            <w:r>
              <w:t>26条</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测温仪的成本</w:t>
            </w:r>
          </w:p>
        </w:tc>
        <w:tc>
          <w:tcPr>
            <w:tcW w:w="2835" w:type="dxa"/>
            <w:vAlign w:val="center"/>
          </w:tcPr>
          <w:p>
            <w:pPr>
              <w:pStyle w:val="16"/>
            </w:pPr>
            <w:r>
              <w:t>测温仪的成本</w:t>
            </w:r>
          </w:p>
        </w:tc>
        <w:tc>
          <w:tcPr>
            <w:tcW w:w="2551" w:type="dxa"/>
            <w:vAlign w:val="center"/>
          </w:tcPr>
          <w:p>
            <w:pPr>
              <w:pStyle w:val="16"/>
            </w:pPr>
            <w:r>
              <w:t>4100元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专用网线的成本</w:t>
            </w:r>
          </w:p>
        </w:tc>
        <w:tc>
          <w:tcPr>
            <w:tcW w:w="2835" w:type="dxa"/>
            <w:vAlign w:val="center"/>
          </w:tcPr>
          <w:p>
            <w:pPr>
              <w:pStyle w:val="16"/>
            </w:pPr>
            <w:r>
              <w:t>每一个专用网线的成本</w:t>
            </w:r>
          </w:p>
        </w:tc>
        <w:tc>
          <w:tcPr>
            <w:tcW w:w="2551" w:type="dxa"/>
            <w:vAlign w:val="center"/>
          </w:tcPr>
          <w:p>
            <w:pPr>
              <w:pStyle w:val="16"/>
            </w:pPr>
            <w:r>
              <w:t>400元/条/两年</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测温仪的质量</w:t>
            </w:r>
          </w:p>
        </w:tc>
        <w:tc>
          <w:tcPr>
            <w:tcW w:w="2835" w:type="dxa"/>
            <w:vAlign w:val="center"/>
          </w:tcPr>
          <w:p>
            <w:pPr>
              <w:pStyle w:val="16"/>
            </w:pPr>
            <w:r>
              <w:t>测温仪的合格率</w:t>
            </w:r>
          </w:p>
        </w:tc>
        <w:tc>
          <w:tcPr>
            <w:tcW w:w="2551" w:type="dxa"/>
            <w:vAlign w:val="center"/>
          </w:tcPr>
          <w:p>
            <w:pPr>
              <w:pStyle w:val="16"/>
            </w:pPr>
            <w:r>
              <w:t>≥98百分比</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测温安装时间</w:t>
            </w:r>
          </w:p>
        </w:tc>
        <w:tc>
          <w:tcPr>
            <w:tcW w:w="2835" w:type="dxa"/>
            <w:vAlign w:val="center"/>
          </w:tcPr>
          <w:p>
            <w:pPr>
              <w:pStyle w:val="16"/>
            </w:pPr>
            <w:r>
              <w:t>测温安装时间</w:t>
            </w:r>
          </w:p>
        </w:tc>
        <w:tc>
          <w:tcPr>
            <w:tcW w:w="2551" w:type="dxa"/>
            <w:vAlign w:val="center"/>
          </w:tcPr>
          <w:p>
            <w:pPr>
              <w:pStyle w:val="16"/>
            </w:pPr>
            <w:r>
              <w:t>≤3日</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有效提升值班卡口人员进出检测能力</w:t>
            </w:r>
          </w:p>
        </w:tc>
        <w:tc>
          <w:tcPr>
            <w:tcW w:w="2835" w:type="dxa"/>
            <w:vAlign w:val="center"/>
          </w:tcPr>
          <w:p>
            <w:pPr>
              <w:pStyle w:val="16"/>
            </w:pPr>
            <w:r>
              <w:t>有效提升值班卡口人员进出检测能力</w:t>
            </w:r>
          </w:p>
        </w:tc>
        <w:tc>
          <w:tcPr>
            <w:tcW w:w="2551" w:type="dxa"/>
            <w:vAlign w:val="center"/>
          </w:tcPr>
          <w:p>
            <w:pPr>
              <w:pStyle w:val="16"/>
            </w:pPr>
            <w:r>
              <w:t>有效提升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减少疫情感染率，保证人民群众生命安全</w:t>
            </w:r>
          </w:p>
        </w:tc>
        <w:tc>
          <w:tcPr>
            <w:tcW w:w="2835" w:type="dxa"/>
            <w:vAlign w:val="center"/>
          </w:tcPr>
          <w:p>
            <w:pPr>
              <w:pStyle w:val="16"/>
            </w:pPr>
            <w:r>
              <w:t>减少疫情传播，保证人民群众生命安全</w:t>
            </w:r>
          </w:p>
        </w:tc>
        <w:tc>
          <w:tcPr>
            <w:tcW w:w="2551" w:type="dxa"/>
            <w:vAlign w:val="center"/>
          </w:tcPr>
          <w:p>
            <w:pPr>
              <w:pStyle w:val="16"/>
            </w:pPr>
            <w:r>
              <w:t>减少传播</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≥98百分比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8、统战工作经费绩效目标表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1.维护社会安定稳定</w:t>
            </w:r>
          </w:p>
          <w:p>
            <w:pPr>
              <w:pStyle w:val="16"/>
            </w:pPr>
            <w:r>
              <w:t>2.有效遏制地下宗教非法活动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工作开展天数</w:t>
            </w:r>
          </w:p>
        </w:tc>
        <w:tc>
          <w:tcPr>
            <w:tcW w:w="2835" w:type="dxa"/>
            <w:vAlign w:val="center"/>
          </w:tcPr>
          <w:p>
            <w:pPr>
              <w:pStyle w:val="16"/>
            </w:pPr>
            <w:r>
              <w:t>工作开展天数</w:t>
            </w:r>
          </w:p>
        </w:tc>
        <w:tc>
          <w:tcPr>
            <w:tcW w:w="2551" w:type="dxa"/>
            <w:vAlign w:val="center"/>
          </w:tcPr>
          <w:p>
            <w:pPr>
              <w:pStyle w:val="16"/>
            </w:pPr>
            <w:r>
              <w:t>≤60天</w:t>
            </w:r>
          </w:p>
        </w:tc>
        <w:tc>
          <w:tcPr>
            <w:tcW w:w="2268" w:type="dxa"/>
            <w:vAlign w:val="center"/>
          </w:tcPr>
          <w:p>
            <w:pPr>
              <w:pStyle w:val="16"/>
            </w:pPr>
            <w:r>
              <w:t>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转化成功率</w:t>
            </w:r>
          </w:p>
        </w:tc>
        <w:tc>
          <w:tcPr>
            <w:tcW w:w="2835" w:type="dxa"/>
            <w:vAlign w:val="center"/>
          </w:tcPr>
          <w:p>
            <w:pPr>
              <w:pStyle w:val="16"/>
            </w:pPr>
            <w:r>
              <w:t>目标任务转化成功率</w:t>
            </w:r>
          </w:p>
        </w:tc>
        <w:tc>
          <w:tcPr>
            <w:tcW w:w="2551" w:type="dxa"/>
            <w:vAlign w:val="center"/>
          </w:tcPr>
          <w:p>
            <w:pPr>
              <w:pStyle w:val="16"/>
            </w:pPr>
            <w:r>
              <w:t>100百分比</w:t>
            </w:r>
          </w:p>
        </w:tc>
        <w:tc>
          <w:tcPr>
            <w:tcW w:w="2268" w:type="dxa"/>
            <w:vAlign w:val="center"/>
          </w:tcPr>
          <w:p>
            <w:pPr>
              <w:pStyle w:val="16"/>
            </w:pPr>
            <w:r>
              <w:t>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资金支付时限</w:t>
            </w:r>
          </w:p>
        </w:tc>
        <w:tc>
          <w:tcPr>
            <w:tcW w:w="2835" w:type="dxa"/>
            <w:vAlign w:val="center"/>
          </w:tcPr>
          <w:p>
            <w:pPr>
              <w:pStyle w:val="16"/>
            </w:pPr>
            <w:r>
              <w:t>资金支付时限</w:t>
            </w:r>
          </w:p>
        </w:tc>
        <w:tc>
          <w:tcPr>
            <w:tcW w:w="2551" w:type="dxa"/>
            <w:vAlign w:val="center"/>
          </w:tcPr>
          <w:p>
            <w:pPr>
              <w:pStyle w:val="16"/>
            </w:pPr>
            <w:r>
              <w:t>≤10天</w:t>
            </w:r>
          </w:p>
        </w:tc>
        <w:tc>
          <w:tcPr>
            <w:tcW w:w="2268" w:type="dxa"/>
            <w:vAlign w:val="center"/>
          </w:tcPr>
          <w:p>
            <w:pPr>
              <w:pStyle w:val="16"/>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住宿费标准</w:t>
            </w:r>
          </w:p>
        </w:tc>
        <w:tc>
          <w:tcPr>
            <w:tcW w:w="2835" w:type="dxa"/>
            <w:vAlign w:val="center"/>
          </w:tcPr>
          <w:p>
            <w:pPr>
              <w:pStyle w:val="16"/>
            </w:pPr>
            <w:r>
              <w:t>住宿费标准</w:t>
            </w:r>
          </w:p>
        </w:tc>
        <w:tc>
          <w:tcPr>
            <w:tcW w:w="2551" w:type="dxa"/>
            <w:vAlign w:val="center"/>
          </w:tcPr>
          <w:p>
            <w:pPr>
              <w:pStyle w:val="16"/>
            </w:pPr>
            <w:r>
              <w:t>≤100元</w:t>
            </w:r>
          </w:p>
        </w:tc>
        <w:tc>
          <w:tcPr>
            <w:tcW w:w="2268" w:type="dxa"/>
            <w:vAlign w:val="center"/>
          </w:tcPr>
          <w:p>
            <w:pPr>
              <w:pStyle w:val="16"/>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有效遏制地下宗教非法活动</w:t>
            </w:r>
          </w:p>
        </w:tc>
        <w:tc>
          <w:tcPr>
            <w:tcW w:w="2835" w:type="dxa"/>
            <w:vAlign w:val="center"/>
          </w:tcPr>
          <w:p>
            <w:pPr>
              <w:pStyle w:val="16"/>
            </w:pPr>
            <w:r>
              <w:t>有效遏制地下宗教非法活动</w:t>
            </w:r>
          </w:p>
        </w:tc>
        <w:tc>
          <w:tcPr>
            <w:tcW w:w="2551" w:type="dxa"/>
            <w:vAlign w:val="center"/>
          </w:tcPr>
          <w:p>
            <w:pPr>
              <w:pStyle w:val="16"/>
            </w:pPr>
            <w:r>
              <w:t>有效遏制</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维护社会安定稳定</w:t>
            </w:r>
          </w:p>
        </w:tc>
        <w:tc>
          <w:tcPr>
            <w:tcW w:w="2835" w:type="dxa"/>
            <w:vAlign w:val="center"/>
          </w:tcPr>
          <w:p>
            <w:pPr>
              <w:pStyle w:val="16"/>
            </w:pPr>
            <w:r>
              <w:t>维护社会安定稳定</w:t>
            </w:r>
          </w:p>
        </w:tc>
        <w:tc>
          <w:tcPr>
            <w:tcW w:w="2551" w:type="dxa"/>
            <w:vAlign w:val="center"/>
          </w:tcPr>
          <w:p>
            <w:pPr>
              <w:pStyle w:val="16"/>
            </w:pPr>
            <w:r>
              <w:t>有效维护</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9、乡镇和村级转移支付绩效目标表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1.保障乡机关各项工作正常运转</w:t>
            </w:r>
          </w:p>
          <w:p>
            <w:pPr>
              <w:pStyle w:val="16"/>
            </w:pPr>
            <w:r>
              <w:t>2.保障村级各项工作正常运转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发放自筹人员工资的人数</w:t>
            </w:r>
          </w:p>
        </w:tc>
        <w:tc>
          <w:tcPr>
            <w:tcW w:w="2835" w:type="dxa"/>
            <w:vAlign w:val="center"/>
          </w:tcPr>
          <w:p>
            <w:pPr>
              <w:pStyle w:val="16"/>
            </w:pPr>
            <w:r>
              <w:t>发放自筹人员工资的人数</w:t>
            </w:r>
          </w:p>
        </w:tc>
        <w:tc>
          <w:tcPr>
            <w:tcW w:w="2551" w:type="dxa"/>
            <w:vAlign w:val="center"/>
          </w:tcPr>
          <w:p>
            <w:pPr>
              <w:pStyle w:val="16"/>
            </w:pPr>
            <w:r>
              <w:t>≥60人</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发放级转移支付的村数量</w:t>
            </w:r>
          </w:p>
        </w:tc>
        <w:tc>
          <w:tcPr>
            <w:tcW w:w="2835" w:type="dxa"/>
            <w:vAlign w:val="center"/>
          </w:tcPr>
          <w:p>
            <w:pPr>
              <w:pStyle w:val="16"/>
            </w:pPr>
            <w:r>
              <w:t>发放级转移支付的村数量</w:t>
            </w:r>
          </w:p>
        </w:tc>
        <w:tc>
          <w:tcPr>
            <w:tcW w:w="2551" w:type="dxa"/>
            <w:vAlign w:val="center"/>
          </w:tcPr>
          <w:p>
            <w:pPr>
              <w:pStyle w:val="16"/>
            </w:pPr>
            <w:r>
              <w:t>25个</w:t>
            </w:r>
          </w:p>
        </w:tc>
        <w:tc>
          <w:tcPr>
            <w:tcW w:w="2268" w:type="dxa"/>
            <w:vAlign w:val="center"/>
          </w:tcPr>
          <w:p>
            <w:pPr>
              <w:pStyle w:val="16"/>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自筹人员每人每月工资</w:t>
            </w:r>
          </w:p>
        </w:tc>
        <w:tc>
          <w:tcPr>
            <w:tcW w:w="2835" w:type="dxa"/>
            <w:vAlign w:val="center"/>
          </w:tcPr>
          <w:p>
            <w:pPr>
              <w:pStyle w:val="16"/>
            </w:pPr>
            <w:r>
              <w:t>自筹人员每人每月工资</w:t>
            </w:r>
          </w:p>
        </w:tc>
        <w:tc>
          <w:tcPr>
            <w:tcW w:w="2551" w:type="dxa"/>
            <w:vAlign w:val="center"/>
          </w:tcPr>
          <w:p>
            <w:pPr>
              <w:pStyle w:val="16"/>
            </w:pPr>
            <w:r>
              <w:t>≥1580元/人/月</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每村每年拨款标准</w:t>
            </w:r>
          </w:p>
        </w:tc>
        <w:tc>
          <w:tcPr>
            <w:tcW w:w="2835" w:type="dxa"/>
            <w:vAlign w:val="center"/>
          </w:tcPr>
          <w:p>
            <w:pPr>
              <w:pStyle w:val="16"/>
            </w:pPr>
            <w:r>
              <w:t>每村每年拨款标准</w:t>
            </w:r>
          </w:p>
        </w:tc>
        <w:tc>
          <w:tcPr>
            <w:tcW w:w="2551" w:type="dxa"/>
            <w:vAlign w:val="center"/>
          </w:tcPr>
          <w:p>
            <w:pPr>
              <w:pStyle w:val="16"/>
            </w:pPr>
            <w:r>
              <w:t>≥5000元/村/年</w:t>
            </w:r>
          </w:p>
        </w:tc>
        <w:tc>
          <w:tcPr>
            <w:tcW w:w="2268" w:type="dxa"/>
            <w:vAlign w:val="center"/>
          </w:tcPr>
          <w:p>
            <w:pPr>
              <w:pStyle w:val="16"/>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自筹人员工资的发放率</w:t>
            </w:r>
          </w:p>
        </w:tc>
        <w:tc>
          <w:tcPr>
            <w:tcW w:w="2835" w:type="dxa"/>
            <w:vAlign w:val="center"/>
          </w:tcPr>
          <w:p>
            <w:pPr>
              <w:pStyle w:val="16"/>
            </w:pPr>
            <w:r>
              <w:t>自筹人员工资的发放率</w:t>
            </w:r>
          </w:p>
        </w:tc>
        <w:tc>
          <w:tcPr>
            <w:tcW w:w="2551" w:type="dxa"/>
            <w:vAlign w:val="center"/>
          </w:tcPr>
          <w:p>
            <w:pPr>
              <w:pStyle w:val="16"/>
            </w:pPr>
            <w:r>
              <w:t>100百分比</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村级转移支付拨款率</w:t>
            </w:r>
          </w:p>
        </w:tc>
        <w:tc>
          <w:tcPr>
            <w:tcW w:w="2835" w:type="dxa"/>
            <w:vAlign w:val="center"/>
          </w:tcPr>
          <w:p>
            <w:pPr>
              <w:pStyle w:val="16"/>
            </w:pPr>
            <w:r>
              <w:t>村级转移支付对各村拨款率</w:t>
            </w:r>
          </w:p>
        </w:tc>
        <w:tc>
          <w:tcPr>
            <w:tcW w:w="2551" w:type="dxa"/>
            <w:vAlign w:val="center"/>
          </w:tcPr>
          <w:p>
            <w:pPr>
              <w:pStyle w:val="16"/>
            </w:pPr>
            <w:r>
              <w:t>100百分比</w:t>
            </w:r>
          </w:p>
        </w:tc>
        <w:tc>
          <w:tcPr>
            <w:tcW w:w="2268" w:type="dxa"/>
            <w:vAlign w:val="center"/>
          </w:tcPr>
          <w:p>
            <w:pPr>
              <w:pStyle w:val="16"/>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自筹人员工资发放时间</w:t>
            </w:r>
          </w:p>
        </w:tc>
        <w:tc>
          <w:tcPr>
            <w:tcW w:w="2835" w:type="dxa"/>
            <w:vAlign w:val="center"/>
          </w:tcPr>
          <w:p>
            <w:pPr>
              <w:pStyle w:val="16"/>
            </w:pPr>
            <w:r>
              <w:t>自筹人员工资发放时间</w:t>
            </w:r>
          </w:p>
        </w:tc>
        <w:tc>
          <w:tcPr>
            <w:tcW w:w="2551" w:type="dxa"/>
            <w:vAlign w:val="center"/>
          </w:tcPr>
          <w:p>
            <w:pPr>
              <w:pStyle w:val="16"/>
            </w:pPr>
            <w:r>
              <w:t>≤7天</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提高村级两个工作效率</w:t>
            </w:r>
          </w:p>
        </w:tc>
        <w:tc>
          <w:tcPr>
            <w:tcW w:w="2835" w:type="dxa"/>
            <w:vAlign w:val="center"/>
          </w:tcPr>
          <w:p>
            <w:pPr>
              <w:pStyle w:val="16"/>
            </w:pPr>
            <w:r>
              <w:t>提高村级两个工作效率</w:t>
            </w:r>
          </w:p>
        </w:tc>
        <w:tc>
          <w:tcPr>
            <w:tcW w:w="2551" w:type="dxa"/>
            <w:vAlign w:val="center"/>
          </w:tcPr>
          <w:p>
            <w:pPr>
              <w:pStyle w:val="16"/>
            </w:pPr>
            <w:r>
              <w:t>提高村级两个工作效率</w:t>
            </w:r>
          </w:p>
        </w:tc>
        <w:tc>
          <w:tcPr>
            <w:tcW w:w="2268" w:type="dxa"/>
            <w:vAlign w:val="center"/>
          </w:tcPr>
          <w:p>
            <w:pPr>
              <w:pStyle w:val="16"/>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保障日常办公</w:t>
            </w:r>
          </w:p>
        </w:tc>
        <w:tc>
          <w:tcPr>
            <w:tcW w:w="2835" w:type="dxa"/>
            <w:vAlign w:val="center"/>
          </w:tcPr>
          <w:p>
            <w:pPr>
              <w:pStyle w:val="16"/>
            </w:pPr>
            <w:r>
              <w:t>保障日常办公</w:t>
            </w:r>
          </w:p>
        </w:tc>
        <w:tc>
          <w:tcPr>
            <w:tcW w:w="2551" w:type="dxa"/>
            <w:vAlign w:val="center"/>
          </w:tcPr>
          <w:p>
            <w:pPr>
              <w:pStyle w:val="16"/>
            </w:pPr>
            <w:r>
              <w:t>保障日常办公</w:t>
            </w:r>
          </w:p>
        </w:tc>
        <w:tc>
          <w:tcPr>
            <w:tcW w:w="2268" w:type="dxa"/>
            <w:vAlign w:val="center"/>
          </w:tcPr>
          <w:p>
            <w:pPr>
              <w:pStyle w:val="16"/>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自筹人员及各村对工资及转移支付发放的满意度</w:t>
            </w:r>
          </w:p>
        </w:tc>
        <w:tc>
          <w:tcPr>
            <w:tcW w:w="2835" w:type="dxa"/>
            <w:vAlign w:val="center"/>
          </w:tcPr>
          <w:p>
            <w:pPr>
              <w:pStyle w:val="16"/>
            </w:pPr>
            <w:r>
              <w:t>自筹人员及各村对工资及转移支付发放的满意度</w:t>
            </w:r>
          </w:p>
        </w:tc>
        <w:tc>
          <w:tcPr>
            <w:tcW w:w="2551" w:type="dxa"/>
            <w:vAlign w:val="center"/>
          </w:tcPr>
          <w:p>
            <w:pPr>
              <w:pStyle w:val="16"/>
            </w:pPr>
            <w:r>
              <w:t>≥96百分比</w:t>
            </w:r>
          </w:p>
        </w:tc>
        <w:tc>
          <w:tcPr>
            <w:tcW w:w="2268" w:type="dxa"/>
            <w:vAlign w:val="center"/>
          </w:tcPr>
          <w:p>
            <w:pPr>
              <w:pStyle w:val="16"/>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10、辛义乡2020年革命老区道路硬化项目绩效目标表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1.满足群众日常出行</w:t>
            </w:r>
          </w:p>
          <w:p>
            <w:pPr>
              <w:pStyle w:val="16"/>
            </w:pPr>
            <w:r>
              <w:t>2.改善农村人居环境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实际硬化道路的面积</w:t>
            </w:r>
          </w:p>
        </w:tc>
        <w:tc>
          <w:tcPr>
            <w:tcW w:w="2835" w:type="dxa"/>
            <w:vAlign w:val="center"/>
          </w:tcPr>
          <w:p>
            <w:pPr>
              <w:pStyle w:val="16"/>
            </w:pPr>
            <w:r>
              <w:t>实际硬化道路的面积</w:t>
            </w:r>
          </w:p>
        </w:tc>
        <w:tc>
          <w:tcPr>
            <w:tcW w:w="2551" w:type="dxa"/>
            <w:vAlign w:val="center"/>
          </w:tcPr>
          <w:p>
            <w:pPr>
              <w:pStyle w:val="16"/>
            </w:pPr>
            <w:r>
              <w:t>≥8673.8平方米</w:t>
            </w:r>
          </w:p>
        </w:tc>
        <w:tc>
          <w:tcPr>
            <w:tcW w:w="2268" w:type="dxa"/>
            <w:vAlign w:val="center"/>
          </w:tcPr>
          <w:p>
            <w:pPr>
              <w:pStyle w:val="16"/>
            </w:pPr>
            <w:r>
              <w:t>结算竣工图纸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每平方米的价格</w:t>
            </w:r>
          </w:p>
        </w:tc>
        <w:tc>
          <w:tcPr>
            <w:tcW w:w="2835" w:type="dxa"/>
            <w:vAlign w:val="center"/>
          </w:tcPr>
          <w:p>
            <w:pPr>
              <w:pStyle w:val="16"/>
            </w:pPr>
            <w:r>
              <w:t>硬化道路每平方米的价格</w:t>
            </w:r>
          </w:p>
        </w:tc>
        <w:tc>
          <w:tcPr>
            <w:tcW w:w="2551" w:type="dxa"/>
            <w:vAlign w:val="center"/>
          </w:tcPr>
          <w:p>
            <w:pPr>
              <w:pStyle w:val="16"/>
            </w:pPr>
            <w:r>
              <w:t>≤170元</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硬化道路的合格率</w:t>
            </w:r>
          </w:p>
        </w:tc>
        <w:tc>
          <w:tcPr>
            <w:tcW w:w="2835" w:type="dxa"/>
            <w:vAlign w:val="center"/>
          </w:tcPr>
          <w:p>
            <w:pPr>
              <w:pStyle w:val="16"/>
            </w:pPr>
            <w:r>
              <w:t>通过工程验收的工程量占建设总量的比率</w:t>
            </w:r>
          </w:p>
        </w:tc>
        <w:tc>
          <w:tcPr>
            <w:tcW w:w="2551" w:type="dxa"/>
            <w:vAlign w:val="center"/>
          </w:tcPr>
          <w:p>
            <w:pPr>
              <w:pStyle w:val="16"/>
            </w:pPr>
            <w:r>
              <w:t>≥95百分比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工程施工天数</w:t>
            </w:r>
          </w:p>
        </w:tc>
        <w:tc>
          <w:tcPr>
            <w:tcW w:w="2835" w:type="dxa"/>
            <w:vAlign w:val="center"/>
          </w:tcPr>
          <w:p>
            <w:pPr>
              <w:pStyle w:val="16"/>
            </w:pPr>
            <w:r>
              <w:t>工程施工天数</w:t>
            </w:r>
          </w:p>
        </w:tc>
        <w:tc>
          <w:tcPr>
            <w:tcW w:w="2551" w:type="dxa"/>
            <w:vAlign w:val="center"/>
          </w:tcPr>
          <w:p>
            <w:pPr>
              <w:pStyle w:val="16"/>
            </w:pPr>
            <w:r>
              <w:t>≤60天</w:t>
            </w:r>
          </w:p>
        </w:tc>
        <w:tc>
          <w:tcPr>
            <w:tcW w:w="2268" w:type="dxa"/>
            <w:vAlign w:val="center"/>
          </w:tcPr>
          <w:p>
            <w:pPr>
              <w:pStyle w:val="16"/>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道路硬化完成后方便群众日常出行</w:t>
            </w:r>
          </w:p>
        </w:tc>
        <w:tc>
          <w:tcPr>
            <w:tcW w:w="2835" w:type="dxa"/>
            <w:vAlign w:val="center"/>
          </w:tcPr>
          <w:p>
            <w:pPr>
              <w:pStyle w:val="16"/>
            </w:pPr>
            <w:r>
              <w:t>道路硬化完成后方便群众出行</w:t>
            </w:r>
          </w:p>
        </w:tc>
        <w:tc>
          <w:tcPr>
            <w:tcW w:w="2551" w:type="dxa"/>
            <w:vAlign w:val="center"/>
          </w:tcPr>
          <w:p>
            <w:pPr>
              <w:pStyle w:val="16"/>
            </w:pPr>
            <w:r>
              <w:t>有所提高</w:t>
            </w:r>
          </w:p>
        </w:tc>
        <w:tc>
          <w:tcPr>
            <w:tcW w:w="2268" w:type="dxa"/>
            <w:vAlign w:val="center"/>
          </w:tcPr>
          <w:p>
            <w:pPr>
              <w:pStyle w:val="16"/>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长期满足人民群众对高生活质量的需求</w:t>
            </w:r>
          </w:p>
        </w:tc>
        <w:tc>
          <w:tcPr>
            <w:tcW w:w="2835" w:type="dxa"/>
            <w:vAlign w:val="center"/>
          </w:tcPr>
          <w:p>
            <w:pPr>
              <w:pStyle w:val="16"/>
            </w:pPr>
            <w:r>
              <w:t>长期满足人民群众对高生活质量的需求</w:t>
            </w:r>
          </w:p>
        </w:tc>
        <w:tc>
          <w:tcPr>
            <w:tcW w:w="2551" w:type="dxa"/>
            <w:vAlign w:val="center"/>
          </w:tcPr>
          <w:p>
            <w:pPr>
              <w:pStyle w:val="16"/>
            </w:pPr>
            <w:r>
              <w:t>生活质量提高</w:t>
            </w:r>
          </w:p>
        </w:tc>
        <w:tc>
          <w:tcPr>
            <w:tcW w:w="2268" w:type="dxa"/>
            <w:vAlign w:val="center"/>
          </w:tcPr>
          <w:p>
            <w:pPr>
              <w:pStyle w:val="16"/>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提高服务对象的满意度</w:t>
            </w:r>
          </w:p>
        </w:tc>
        <w:tc>
          <w:tcPr>
            <w:tcW w:w="2835" w:type="dxa"/>
            <w:vAlign w:val="center"/>
          </w:tcPr>
          <w:p>
            <w:pPr>
              <w:pStyle w:val="16"/>
            </w:pPr>
            <w:r>
              <w:t>满意人数占全部村民比率整体满意度</w:t>
            </w:r>
          </w:p>
        </w:tc>
        <w:tc>
          <w:tcPr>
            <w:tcW w:w="2551" w:type="dxa"/>
            <w:vAlign w:val="center"/>
          </w:tcPr>
          <w:p>
            <w:pPr>
              <w:pStyle w:val="16"/>
            </w:pPr>
            <w:r>
              <w:t>≥95百分比</w:t>
            </w:r>
          </w:p>
        </w:tc>
        <w:tc>
          <w:tcPr>
            <w:tcW w:w="2268" w:type="dxa"/>
            <w:vAlign w:val="center"/>
          </w:tcPr>
          <w:p>
            <w:pPr>
              <w:pStyle w:val="16"/>
            </w:pPr>
            <w:r>
              <w:t>入户调查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11、辛义乡党群服务中心及附属设施购置资金绩效目标表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1.提升公共服务水平和质量</w:t>
            </w:r>
          </w:p>
          <w:p>
            <w:pPr>
              <w:pStyle w:val="16"/>
            </w:pPr>
            <w:r>
              <w:t>2.改善办公场所条件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购置办公场所面积</w:t>
            </w:r>
          </w:p>
        </w:tc>
        <w:tc>
          <w:tcPr>
            <w:tcW w:w="2835" w:type="dxa"/>
            <w:vAlign w:val="center"/>
          </w:tcPr>
          <w:p>
            <w:pPr>
              <w:pStyle w:val="16"/>
            </w:pPr>
            <w:r>
              <w:t>购置办公场所面积</w:t>
            </w:r>
          </w:p>
        </w:tc>
        <w:tc>
          <w:tcPr>
            <w:tcW w:w="2551" w:type="dxa"/>
            <w:vAlign w:val="center"/>
          </w:tcPr>
          <w:p>
            <w:pPr>
              <w:pStyle w:val="16"/>
            </w:pPr>
            <w:r>
              <w:t>≥2000平方米</w:t>
            </w:r>
          </w:p>
        </w:tc>
        <w:tc>
          <w:tcPr>
            <w:tcW w:w="2268" w:type="dxa"/>
            <w:vAlign w:val="center"/>
          </w:tcPr>
          <w:p>
            <w:pPr>
              <w:pStyle w:val="16"/>
            </w:pPr>
            <w:r>
              <w:t>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购置房屋合格率</w:t>
            </w:r>
          </w:p>
        </w:tc>
        <w:tc>
          <w:tcPr>
            <w:tcW w:w="2835" w:type="dxa"/>
            <w:vAlign w:val="center"/>
          </w:tcPr>
          <w:p>
            <w:pPr>
              <w:pStyle w:val="16"/>
            </w:pPr>
            <w:r>
              <w:t>购置房屋合格率</w:t>
            </w:r>
          </w:p>
        </w:tc>
        <w:tc>
          <w:tcPr>
            <w:tcW w:w="2551" w:type="dxa"/>
            <w:vAlign w:val="center"/>
          </w:tcPr>
          <w:p>
            <w:pPr>
              <w:pStyle w:val="16"/>
            </w:pPr>
            <w:r>
              <w:t>100百分比</w:t>
            </w:r>
          </w:p>
        </w:tc>
        <w:tc>
          <w:tcPr>
            <w:tcW w:w="2268" w:type="dxa"/>
            <w:vAlign w:val="center"/>
          </w:tcPr>
          <w:p>
            <w:pPr>
              <w:pStyle w:val="16"/>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购置完成时间</w:t>
            </w:r>
          </w:p>
        </w:tc>
        <w:tc>
          <w:tcPr>
            <w:tcW w:w="2835" w:type="dxa"/>
            <w:vAlign w:val="center"/>
          </w:tcPr>
          <w:p>
            <w:pPr>
              <w:pStyle w:val="16"/>
            </w:pPr>
            <w:r>
              <w:t>购置完成时间</w:t>
            </w:r>
          </w:p>
        </w:tc>
        <w:tc>
          <w:tcPr>
            <w:tcW w:w="2551" w:type="dxa"/>
            <w:vAlign w:val="center"/>
          </w:tcPr>
          <w:p>
            <w:pPr>
              <w:pStyle w:val="16"/>
            </w:pPr>
            <w:r>
              <w:t>≤60天</w:t>
            </w:r>
          </w:p>
        </w:tc>
        <w:tc>
          <w:tcPr>
            <w:tcW w:w="2268" w:type="dxa"/>
            <w:vAlign w:val="center"/>
          </w:tcPr>
          <w:p>
            <w:pPr>
              <w:pStyle w:val="16"/>
            </w:pPr>
            <w:r>
              <w:t>购置资料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每平方米购置成本</w:t>
            </w:r>
          </w:p>
        </w:tc>
        <w:tc>
          <w:tcPr>
            <w:tcW w:w="2835" w:type="dxa"/>
            <w:vAlign w:val="center"/>
          </w:tcPr>
          <w:p>
            <w:pPr>
              <w:pStyle w:val="16"/>
            </w:pPr>
            <w:r>
              <w:t>每平方米购置成本</w:t>
            </w:r>
          </w:p>
        </w:tc>
        <w:tc>
          <w:tcPr>
            <w:tcW w:w="2551" w:type="dxa"/>
            <w:vAlign w:val="center"/>
          </w:tcPr>
          <w:p>
            <w:pPr>
              <w:pStyle w:val="16"/>
            </w:pPr>
            <w:r>
              <w:t>≤1750元</w:t>
            </w:r>
          </w:p>
        </w:tc>
        <w:tc>
          <w:tcPr>
            <w:tcW w:w="2268" w:type="dxa"/>
            <w:vAlign w:val="center"/>
          </w:tcPr>
          <w:p>
            <w:pPr>
              <w:pStyle w:val="16"/>
            </w:pPr>
            <w:r>
              <w:t>购置资料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提升公共服务水平和质量</w:t>
            </w:r>
          </w:p>
        </w:tc>
        <w:tc>
          <w:tcPr>
            <w:tcW w:w="2835" w:type="dxa"/>
            <w:vAlign w:val="center"/>
          </w:tcPr>
          <w:p>
            <w:pPr>
              <w:pStyle w:val="16"/>
            </w:pPr>
            <w:r>
              <w:t>提升公共服务水平和质量</w:t>
            </w:r>
          </w:p>
        </w:tc>
        <w:tc>
          <w:tcPr>
            <w:tcW w:w="2551" w:type="dxa"/>
            <w:vAlign w:val="center"/>
          </w:tcPr>
          <w:p>
            <w:pPr>
              <w:pStyle w:val="16"/>
            </w:pPr>
            <w:r>
              <w:t>显著提升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改善办公场所条件</w:t>
            </w:r>
          </w:p>
        </w:tc>
        <w:tc>
          <w:tcPr>
            <w:tcW w:w="2835" w:type="dxa"/>
            <w:vAlign w:val="center"/>
          </w:tcPr>
          <w:p>
            <w:pPr>
              <w:pStyle w:val="16"/>
            </w:pPr>
            <w:r>
              <w:t>改善办公场所条件</w:t>
            </w:r>
          </w:p>
        </w:tc>
        <w:tc>
          <w:tcPr>
            <w:tcW w:w="2551" w:type="dxa"/>
            <w:vAlign w:val="center"/>
          </w:tcPr>
          <w:p>
            <w:pPr>
              <w:pStyle w:val="16"/>
            </w:pPr>
            <w:r>
              <w:t>有效改善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12、信访维稳工作经费绩效目标表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1.有效解决来访群众反映问题</w:t>
            </w:r>
          </w:p>
          <w:p>
            <w:pPr>
              <w:pStyle w:val="16"/>
            </w:pPr>
            <w:r>
              <w:t>2.维护社会和谐稳定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化解信访案件数量</w:t>
            </w:r>
          </w:p>
        </w:tc>
        <w:tc>
          <w:tcPr>
            <w:tcW w:w="2835" w:type="dxa"/>
            <w:vAlign w:val="center"/>
          </w:tcPr>
          <w:p>
            <w:pPr>
              <w:pStyle w:val="16"/>
            </w:pPr>
            <w:r>
              <w:t>化解信访案件数量</w:t>
            </w:r>
          </w:p>
        </w:tc>
        <w:tc>
          <w:tcPr>
            <w:tcW w:w="2551" w:type="dxa"/>
            <w:vAlign w:val="center"/>
          </w:tcPr>
          <w:p>
            <w:pPr>
              <w:pStyle w:val="16"/>
            </w:pPr>
            <w:r>
              <w:t>≥5件</w:t>
            </w:r>
          </w:p>
        </w:tc>
        <w:tc>
          <w:tcPr>
            <w:tcW w:w="2268" w:type="dxa"/>
            <w:vAlign w:val="center"/>
          </w:tcPr>
          <w:p>
            <w:pPr>
              <w:pStyle w:val="16"/>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完成信访维稳出差次数</w:t>
            </w:r>
          </w:p>
        </w:tc>
        <w:tc>
          <w:tcPr>
            <w:tcW w:w="2835" w:type="dxa"/>
            <w:vAlign w:val="center"/>
          </w:tcPr>
          <w:p>
            <w:pPr>
              <w:pStyle w:val="16"/>
            </w:pPr>
            <w:r>
              <w:t>完成信访维稳出差次数</w:t>
            </w:r>
          </w:p>
        </w:tc>
        <w:tc>
          <w:tcPr>
            <w:tcW w:w="2551" w:type="dxa"/>
            <w:vAlign w:val="center"/>
          </w:tcPr>
          <w:p>
            <w:pPr>
              <w:pStyle w:val="16"/>
            </w:pPr>
            <w:r>
              <w:t>&gt;5次</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信访案件化解率</w:t>
            </w:r>
          </w:p>
        </w:tc>
        <w:tc>
          <w:tcPr>
            <w:tcW w:w="2835" w:type="dxa"/>
            <w:vAlign w:val="center"/>
          </w:tcPr>
          <w:p>
            <w:pPr>
              <w:pStyle w:val="16"/>
            </w:pPr>
            <w:r>
              <w:t>信访案件化解率</w:t>
            </w:r>
          </w:p>
        </w:tc>
        <w:tc>
          <w:tcPr>
            <w:tcW w:w="2551" w:type="dxa"/>
            <w:vAlign w:val="center"/>
          </w:tcPr>
          <w:p>
            <w:pPr>
              <w:pStyle w:val="16"/>
            </w:pPr>
            <w:r>
              <w:t>≥90百分比</w:t>
            </w:r>
          </w:p>
        </w:tc>
        <w:tc>
          <w:tcPr>
            <w:tcW w:w="2268" w:type="dxa"/>
            <w:vAlign w:val="center"/>
          </w:tcPr>
          <w:p>
            <w:pPr>
              <w:pStyle w:val="16"/>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差旅报销天数</w:t>
            </w:r>
          </w:p>
        </w:tc>
        <w:tc>
          <w:tcPr>
            <w:tcW w:w="2835" w:type="dxa"/>
            <w:vAlign w:val="center"/>
          </w:tcPr>
          <w:p>
            <w:pPr>
              <w:pStyle w:val="16"/>
            </w:pPr>
            <w:r>
              <w:t>差旅报销天数</w:t>
            </w:r>
          </w:p>
        </w:tc>
        <w:tc>
          <w:tcPr>
            <w:tcW w:w="2551" w:type="dxa"/>
            <w:vAlign w:val="center"/>
          </w:tcPr>
          <w:p>
            <w:pPr>
              <w:pStyle w:val="16"/>
            </w:pPr>
            <w:r>
              <w:t>≤10天</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差旅补助标准</w:t>
            </w:r>
          </w:p>
        </w:tc>
        <w:tc>
          <w:tcPr>
            <w:tcW w:w="2835" w:type="dxa"/>
            <w:vAlign w:val="center"/>
          </w:tcPr>
          <w:p>
            <w:pPr>
              <w:pStyle w:val="16"/>
            </w:pPr>
            <w:r>
              <w:t>按照市外交通补助80元/人/天，伙食补助100元/人/天，市内减半标准</w:t>
            </w:r>
          </w:p>
        </w:tc>
        <w:tc>
          <w:tcPr>
            <w:tcW w:w="2551" w:type="dxa"/>
            <w:vAlign w:val="center"/>
          </w:tcPr>
          <w:p>
            <w:pPr>
              <w:pStyle w:val="16"/>
            </w:pPr>
            <w:r>
              <w:t>按照差旅报销标准</w:t>
            </w:r>
          </w:p>
        </w:tc>
        <w:tc>
          <w:tcPr>
            <w:tcW w:w="2268" w:type="dxa"/>
            <w:vAlign w:val="center"/>
          </w:tcPr>
          <w:p>
            <w:pPr>
              <w:pStyle w:val="16"/>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有效解决来访群众反映问题</w:t>
            </w:r>
          </w:p>
        </w:tc>
        <w:tc>
          <w:tcPr>
            <w:tcW w:w="2835" w:type="dxa"/>
            <w:vAlign w:val="center"/>
          </w:tcPr>
          <w:p>
            <w:pPr>
              <w:pStyle w:val="16"/>
            </w:pPr>
            <w:r>
              <w:t>有效解决来访群众反映问题</w:t>
            </w:r>
          </w:p>
        </w:tc>
        <w:tc>
          <w:tcPr>
            <w:tcW w:w="2551" w:type="dxa"/>
            <w:vAlign w:val="center"/>
          </w:tcPr>
          <w:p>
            <w:pPr>
              <w:pStyle w:val="16"/>
            </w:pPr>
            <w:r>
              <w:t>有效解决</w:t>
            </w:r>
          </w:p>
        </w:tc>
        <w:tc>
          <w:tcPr>
            <w:tcW w:w="2268" w:type="dxa"/>
            <w:vAlign w:val="center"/>
          </w:tcPr>
          <w:p>
            <w:pPr>
              <w:pStyle w:val="16"/>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维护社会和谐稳定</w:t>
            </w:r>
          </w:p>
        </w:tc>
        <w:tc>
          <w:tcPr>
            <w:tcW w:w="2835" w:type="dxa"/>
            <w:vAlign w:val="center"/>
          </w:tcPr>
          <w:p>
            <w:pPr>
              <w:pStyle w:val="16"/>
            </w:pPr>
            <w:r>
              <w:t>维护社会和谐稳定</w:t>
            </w:r>
          </w:p>
        </w:tc>
        <w:tc>
          <w:tcPr>
            <w:tcW w:w="2551" w:type="dxa"/>
            <w:vAlign w:val="center"/>
          </w:tcPr>
          <w:p>
            <w:pPr>
              <w:pStyle w:val="16"/>
            </w:pPr>
            <w:r>
              <w:t>有效维护</w:t>
            </w:r>
          </w:p>
        </w:tc>
        <w:tc>
          <w:tcPr>
            <w:tcW w:w="2268" w:type="dxa"/>
            <w:vAlign w:val="center"/>
          </w:tcPr>
          <w:p>
            <w:pPr>
              <w:pStyle w:val="16"/>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13、中学占地款绩效目标表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1.及时拨付农户占地款</w:t>
            </w:r>
          </w:p>
          <w:p>
            <w:pPr>
              <w:pStyle w:val="16"/>
            </w:pPr>
            <w:r>
              <w:t>2.保障中学正常运转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拨付占地面积数量</w:t>
            </w:r>
          </w:p>
        </w:tc>
        <w:tc>
          <w:tcPr>
            <w:tcW w:w="2835" w:type="dxa"/>
            <w:vAlign w:val="center"/>
          </w:tcPr>
          <w:p>
            <w:pPr>
              <w:pStyle w:val="16"/>
            </w:pPr>
            <w:r>
              <w:t>拨付占地面积数量</w:t>
            </w:r>
          </w:p>
        </w:tc>
        <w:tc>
          <w:tcPr>
            <w:tcW w:w="2551" w:type="dxa"/>
            <w:vAlign w:val="center"/>
          </w:tcPr>
          <w:p>
            <w:pPr>
              <w:pStyle w:val="16"/>
            </w:pPr>
            <w:r>
              <w:t>7.5亩</w:t>
            </w:r>
          </w:p>
        </w:tc>
        <w:tc>
          <w:tcPr>
            <w:tcW w:w="2268" w:type="dxa"/>
            <w:vAlign w:val="center"/>
          </w:tcPr>
          <w:p>
            <w:pPr>
              <w:pStyle w:val="16"/>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拨付占地款占应付占地款的比例</w:t>
            </w:r>
          </w:p>
        </w:tc>
        <w:tc>
          <w:tcPr>
            <w:tcW w:w="2551" w:type="dxa"/>
            <w:vAlign w:val="center"/>
          </w:tcPr>
          <w:p>
            <w:pPr>
              <w:pStyle w:val="16"/>
            </w:pPr>
            <w:r>
              <w:t>100百分比</w:t>
            </w:r>
          </w:p>
        </w:tc>
        <w:tc>
          <w:tcPr>
            <w:tcW w:w="2268" w:type="dxa"/>
            <w:vAlign w:val="center"/>
          </w:tcPr>
          <w:p>
            <w:pPr>
              <w:pStyle w:val="16"/>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资金支付时间</w:t>
            </w:r>
          </w:p>
        </w:tc>
        <w:tc>
          <w:tcPr>
            <w:tcW w:w="2835" w:type="dxa"/>
            <w:vAlign w:val="center"/>
          </w:tcPr>
          <w:p>
            <w:pPr>
              <w:pStyle w:val="16"/>
            </w:pPr>
            <w:r>
              <w:t>资金支付时间</w:t>
            </w:r>
          </w:p>
        </w:tc>
        <w:tc>
          <w:tcPr>
            <w:tcW w:w="2551" w:type="dxa"/>
            <w:vAlign w:val="center"/>
          </w:tcPr>
          <w:p>
            <w:pPr>
              <w:pStyle w:val="16"/>
            </w:pPr>
            <w:r>
              <w:t>≤10天</w:t>
            </w:r>
          </w:p>
        </w:tc>
        <w:tc>
          <w:tcPr>
            <w:tcW w:w="2268" w:type="dxa"/>
            <w:vAlign w:val="center"/>
          </w:tcPr>
          <w:p>
            <w:pPr>
              <w:pStyle w:val="16"/>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每亩占地补偿成本</w:t>
            </w:r>
          </w:p>
        </w:tc>
        <w:tc>
          <w:tcPr>
            <w:tcW w:w="2835" w:type="dxa"/>
            <w:vAlign w:val="center"/>
          </w:tcPr>
          <w:p>
            <w:pPr>
              <w:pStyle w:val="16"/>
            </w:pPr>
            <w:r>
              <w:t>每亩占地补偿成本</w:t>
            </w:r>
          </w:p>
        </w:tc>
        <w:tc>
          <w:tcPr>
            <w:tcW w:w="2551" w:type="dxa"/>
            <w:vAlign w:val="center"/>
          </w:tcPr>
          <w:p>
            <w:pPr>
              <w:pStyle w:val="16"/>
            </w:pPr>
            <w:r>
              <w:t>800元</w:t>
            </w:r>
          </w:p>
        </w:tc>
        <w:tc>
          <w:tcPr>
            <w:tcW w:w="2268" w:type="dxa"/>
            <w:vAlign w:val="center"/>
          </w:tcPr>
          <w:p>
            <w:pPr>
              <w:pStyle w:val="16"/>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保障农户补偿款及时到位</w:t>
            </w:r>
          </w:p>
        </w:tc>
        <w:tc>
          <w:tcPr>
            <w:tcW w:w="2835" w:type="dxa"/>
            <w:vAlign w:val="center"/>
          </w:tcPr>
          <w:p>
            <w:pPr>
              <w:pStyle w:val="16"/>
            </w:pPr>
            <w:r>
              <w:t>保障农户补偿款及时到位</w:t>
            </w:r>
          </w:p>
        </w:tc>
        <w:tc>
          <w:tcPr>
            <w:tcW w:w="2551" w:type="dxa"/>
            <w:vAlign w:val="center"/>
          </w:tcPr>
          <w:p>
            <w:pPr>
              <w:pStyle w:val="16"/>
            </w:pPr>
            <w:r>
              <w:t>得到保障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保障学校正常运转</w:t>
            </w:r>
          </w:p>
        </w:tc>
        <w:tc>
          <w:tcPr>
            <w:tcW w:w="2835" w:type="dxa"/>
            <w:vAlign w:val="center"/>
          </w:tcPr>
          <w:p>
            <w:pPr>
              <w:pStyle w:val="16"/>
            </w:pPr>
            <w:r>
              <w:t>保障学校正常运转</w:t>
            </w:r>
          </w:p>
        </w:tc>
        <w:tc>
          <w:tcPr>
            <w:tcW w:w="2551" w:type="dxa"/>
            <w:vAlign w:val="center"/>
          </w:tcPr>
          <w:p>
            <w:pPr>
              <w:pStyle w:val="16"/>
            </w:pPr>
            <w:r>
              <w:t>得到保障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2022年，成安县辛义乡政府安排政府采购预算</w:t>
      </w:r>
      <w:r>
        <w:rPr>
          <w:rFonts w:hint="eastAsia" w:eastAsia="方正仿宋_GBK" w:cs="Times New Roman"/>
          <w:color w:val="000000"/>
          <w:sz w:val="28"/>
          <w:lang w:eastAsia="zh-CN"/>
        </w:rPr>
        <w:t>0.9</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808成安县辛义乡政府</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政府采购金额（当年单位预算安排资金）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jc w:val="center"/>
            </w:pPr>
            <w:r>
              <w:rPr>
                <w:rFonts w:hint="eastAsia" w:ascii="仿宋_GB2312" w:hAnsi="仿宋_GB2312" w:eastAsia="仿宋_GB2312" w:cs="仿宋_GB2312"/>
                <w:b/>
                <w:bCs/>
                <w:szCs w:val="21"/>
                <w:lang w:eastAsia="zh-CN"/>
              </w:rPr>
              <w:t>日常公用经费</w:t>
            </w:r>
          </w:p>
        </w:tc>
        <w:tc>
          <w:tcPr>
            <w:tcW w:w="964" w:type="dxa"/>
            <w:vAlign w:val="center"/>
          </w:tcPr>
          <w:p>
            <w:pPr>
              <w:spacing w:line="560" w:lineRule="exact"/>
              <w:jc w:val="center"/>
            </w:pPr>
            <w:r>
              <w:rPr>
                <w:rFonts w:hint="eastAsia" w:ascii="仿宋_GB2312" w:hAnsi="仿宋_GB2312" w:eastAsia="仿宋_GB2312" w:cs="仿宋_GB2312"/>
                <w:b/>
                <w:bCs/>
                <w:szCs w:val="21"/>
                <w:lang w:eastAsia="zh-CN"/>
              </w:rPr>
              <w:t>15</w:t>
            </w:r>
          </w:p>
        </w:tc>
        <w:tc>
          <w:tcPr>
            <w:tcW w:w="1134" w:type="dxa"/>
            <w:vAlign w:val="center"/>
          </w:tcPr>
          <w:p>
            <w:pPr>
              <w:spacing w:line="560" w:lineRule="exact"/>
              <w:jc w:val="center"/>
            </w:pPr>
            <w:r>
              <w:rPr>
                <w:rFonts w:hint="eastAsia" w:ascii="仿宋_GB2312" w:hAnsi="仿宋_GB2312" w:eastAsia="仿宋_GB2312" w:cs="仿宋_GB2312"/>
                <w:b/>
                <w:bCs/>
                <w:szCs w:val="21"/>
                <w:lang w:eastAsia="zh-CN"/>
              </w:rPr>
              <w:t>打印机</w:t>
            </w:r>
          </w:p>
        </w:tc>
        <w:tc>
          <w:tcPr>
            <w:tcW w:w="1134" w:type="dxa"/>
            <w:vAlign w:val="center"/>
          </w:tcPr>
          <w:p>
            <w:r>
              <w:rPr>
                <w:rFonts w:ascii="仿宋_GB2312" w:hAnsi="仿宋_GB2312" w:eastAsia="仿宋_GB2312" w:cs="仿宋_GB2312"/>
                <w:color w:val="000000"/>
                <w:sz w:val="18"/>
                <w:szCs w:val="18"/>
                <w:lang w:eastAsia="zh-CN"/>
              </w:rPr>
              <w:t>A0201060102</w:t>
            </w:r>
          </w:p>
        </w:tc>
        <w:tc>
          <w:tcPr>
            <w:tcW w:w="709" w:type="dxa"/>
            <w:vAlign w:val="center"/>
          </w:tcPr>
          <w:p>
            <w:pPr>
              <w:spacing w:line="560" w:lineRule="exact"/>
              <w:jc w:val="center"/>
            </w:pPr>
            <w:r>
              <w:rPr>
                <w:rFonts w:hint="eastAsia" w:ascii="仿宋_GB2312" w:hAnsi="仿宋_GB2312" w:eastAsia="仿宋_GB2312" w:cs="仿宋_GB2312"/>
                <w:b/>
                <w:bCs/>
                <w:szCs w:val="21"/>
                <w:lang w:eastAsia="zh-CN"/>
              </w:rPr>
              <w:t>台</w:t>
            </w:r>
          </w:p>
        </w:tc>
        <w:tc>
          <w:tcPr>
            <w:tcW w:w="850" w:type="dxa"/>
            <w:vAlign w:val="center"/>
          </w:tcPr>
          <w:p>
            <w:pPr>
              <w:spacing w:line="560" w:lineRule="exact"/>
              <w:jc w:val="center"/>
            </w:pPr>
            <w:r>
              <w:rPr>
                <w:rFonts w:hint="eastAsia" w:ascii="仿宋_GB2312" w:hAnsi="仿宋_GB2312" w:eastAsia="仿宋_GB2312" w:cs="仿宋_GB2312"/>
                <w:b/>
                <w:bCs/>
                <w:szCs w:val="21"/>
                <w:lang w:eastAsia="zh-CN"/>
              </w:rPr>
              <w:t>9</w:t>
            </w:r>
          </w:p>
        </w:tc>
        <w:tc>
          <w:tcPr>
            <w:tcW w:w="850" w:type="dxa"/>
            <w:vAlign w:val="center"/>
          </w:tcPr>
          <w:p>
            <w:pPr>
              <w:spacing w:line="560" w:lineRule="exact"/>
              <w:jc w:val="center"/>
            </w:pPr>
            <w:r>
              <w:rPr>
                <w:rFonts w:hint="eastAsia" w:ascii="仿宋_GB2312" w:hAnsi="仿宋_GB2312" w:eastAsia="仿宋_GB2312" w:cs="仿宋_GB2312"/>
                <w:b/>
                <w:bCs/>
                <w:szCs w:val="21"/>
                <w:lang w:eastAsia="zh-CN"/>
              </w:rPr>
              <w:t>1000</w:t>
            </w:r>
          </w:p>
        </w:tc>
        <w:tc>
          <w:tcPr>
            <w:tcW w:w="964" w:type="dxa"/>
            <w:vAlign w:val="center"/>
          </w:tcPr>
          <w:p>
            <w:pPr>
              <w:spacing w:line="560" w:lineRule="exact"/>
              <w:jc w:val="center"/>
            </w:pPr>
            <w:r>
              <w:rPr>
                <w:rFonts w:hint="eastAsia" w:ascii="仿宋_GB2312" w:hAnsi="仿宋_GB2312" w:eastAsia="仿宋_GB2312" w:cs="仿宋_GB2312"/>
                <w:b/>
                <w:bCs/>
                <w:szCs w:val="21"/>
                <w:lang w:eastAsia="zh-CN"/>
              </w:rPr>
              <w:t>0.9</w:t>
            </w:r>
          </w:p>
        </w:tc>
        <w:tc>
          <w:tcPr>
            <w:tcW w:w="964" w:type="dxa"/>
            <w:vAlign w:val="center"/>
          </w:tcPr>
          <w:p>
            <w:pPr>
              <w:spacing w:line="560" w:lineRule="exact"/>
              <w:jc w:val="center"/>
            </w:pPr>
            <w:r>
              <w:rPr>
                <w:rFonts w:hint="eastAsia" w:ascii="仿宋_GB2312" w:hAnsi="仿宋_GB2312" w:eastAsia="仿宋_GB2312" w:cs="仿宋_GB2312"/>
                <w:b/>
                <w:bCs/>
                <w:szCs w:val="21"/>
                <w:lang w:eastAsia="zh-CN"/>
              </w:rPr>
              <w:t>0.9</w:t>
            </w:r>
          </w:p>
        </w:tc>
        <w:tc>
          <w:tcPr>
            <w:tcW w:w="964" w:type="dxa"/>
            <w:vAlign w:val="center"/>
          </w:tcPr>
          <w:p>
            <w:pPr>
              <w:spacing w:line="560" w:lineRule="exact"/>
              <w:jc w:val="center"/>
            </w:pPr>
            <w:r>
              <w:rPr>
                <w:rFonts w:hint="eastAsia" w:ascii="仿宋_GB2312" w:hAnsi="仿宋_GB2312" w:eastAsia="仿宋_GB2312" w:cs="仿宋_GB2312"/>
                <w:b/>
                <w:bCs/>
                <w:szCs w:val="21"/>
                <w:lang w:eastAsia="zh-CN"/>
              </w:rPr>
              <w:t>0.9</w:t>
            </w:r>
          </w:p>
        </w:tc>
        <w:tc>
          <w:tcPr>
            <w:tcW w:w="964" w:type="dxa"/>
            <w:vAlign w:val="center"/>
          </w:tcPr>
          <w:p>
            <w:pPr>
              <w:spacing w:line="560" w:lineRule="exact"/>
              <w:jc w:val="center"/>
            </w:pPr>
          </w:p>
        </w:tc>
        <w:tc>
          <w:tcPr>
            <w:tcW w:w="964" w:type="dxa"/>
            <w:vAlign w:val="center"/>
          </w:tcPr>
          <w:p>
            <w:pPr>
              <w:spacing w:line="560" w:lineRule="exact"/>
              <w:jc w:val="center"/>
            </w:pPr>
          </w:p>
        </w:tc>
        <w:tc>
          <w:tcPr>
            <w:tcW w:w="964" w:type="dxa"/>
            <w:vAlign w:val="center"/>
          </w:tcPr>
          <w:p>
            <w:pPr>
              <w:spacing w:line="560" w:lineRule="exact"/>
              <w:jc w:val="center"/>
            </w:pPr>
          </w:p>
        </w:tc>
        <w:tc>
          <w:tcPr>
            <w:tcW w:w="964" w:type="dxa"/>
            <w:vAlign w:val="center"/>
          </w:tcPr>
          <w:p>
            <w:pPr>
              <w:spacing w:line="560" w:lineRule="exact"/>
              <w:jc w:val="center"/>
            </w:pPr>
          </w:p>
        </w:tc>
        <w:tc>
          <w:tcPr>
            <w:tcW w:w="964" w:type="dxa"/>
            <w:vAlign w:val="center"/>
          </w:tcPr>
          <w:p>
            <w:pPr>
              <w:spacing w:line="560" w:lineRule="exact"/>
              <w:jc w:val="center"/>
            </w:pPr>
          </w:p>
        </w:tc>
        <w:tc>
          <w:tcPr>
            <w:tcW w:w="964" w:type="dxa"/>
            <w:vAlign w:val="center"/>
          </w:tcPr>
          <w:p>
            <w:pPr>
              <w:spacing w:line="560" w:lineRule="exact"/>
              <w:jc w:val="cente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ascii="方正书宋_GBK" w:hAnsi="方正书宋_GBK" w:eastAsia="方正书宋_GBK" w:cs="方正书宋_GBK"/>
          <w:color w:val="000000"/>
          <w:sz w:val="21"/>
        </w:rPr>
      </w:pP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60" w:lineRule="exact"/>
        <w:ind w:firstLine="640"/>
        <w:rPr>
          <w:rFonts w:ascii="仿宋_GB2312" w:hAnsi="黑体" w:eastAsia="仿宋_GB2312"/>
          <w:sz w:val="32"/>
          <w:szCs w:val="32"/>
        </w:rPr>
      </w:pPr>
      <w:r>
        <w:rPr>
          <w:rFonts w:hint="eastAsia" w:ascii="仿宋_GB2312" w:hAnsi="黑体" w:eastAsia="仿宋_GB2312" w:cs="仿宋_GB2312"/>
          <w:sz w:val="32"/>
          <w:szCs w:val="32"/>
        </w:rPr>
        <w:t>辛义乡人民政府（含所属单位）上年末固定资产金额为</w:t>
      </w:r>
      <w:r>
        <w:rPr>
          <w:rFonts w:hint="eastAsia" w:ascii="仿宋_GB2312" w:hAnsi="黑体" w:eastAsia="仿宋_GB2312" w:cs="仿宋_GB2312"/>
          <w:sz w:val="32"/>
          <w:szCs w:val="32"/>
          <w:lang w:eastAsia="zh-CN"/>
        </w:rPr>
        <w:t>1512.29</w:t>
      </w:r>
      <w:r>
        <w:rPr>
          <w:rFonts w:hint="eastAsia" w:ascii="仿宋_GB2312" w:hAnsi="黑体" w:eastAsia="仿宋_GB2312" w:cs="仿宋_GB2312"/>
          <w:sz w:val="32"/>
          <w:szCs w:val="32"/>
        </w:rPr>
        <w:t>万元，本年度拟购置固定资产主要为打印机等，已列入政府采购预算。</w:t>
      </w:r>
      <w:r>
        <w:rPr>
          <w:rFonts w:hint="eastAsia" w:ascii="仿宋_GB2312" w:hAnsi="黑体" w:eastAsia="仿宋_GB2312" w:cs="仿宋_GB2312"/>
          <w:sz w:val="32"/>
          <w:szCs w:val="32"/>
          <w:lang w:eastAsia="zh-CN"/>
        </w:rPr>
        <w:t>2022年</w:t>
      </w:r>
      <w:r>
        <w:rPr>
          <w:rFonts w:hint="eastAsia" w:ascii="仿宋_GB2312" w:hAnsi="黑体" w:eastAsia="仿宋_GB2312" w:cs="仿宋_GB2312"/>
          <w:sz w:val="32"/>
          <w:szCs w:val="32"/>
        </w:rPr>
        <w:t>我单位拟购置固定资产</w:t>
      </w:r>
      <w:r>
        <w:rPr>
          <w:rFonts w:hint="eastAsia" w:ascii="仿宋_GB2312" w:hAnsi="黑体" w:eastAsia="仿宋_GB2312" w:cs="仿宋_GB2312"/>
          <w:sz w:val="32"/>
          <w:szCs w:val="32"/>
          <w:lang w:eastAsia="zh-CN"/>
        </w:rPr>
        <w:t>0.9</w:t>
      </w:r>
      <w:r>
        <w:rPr>
          <w:rFonts w:hint="eastAsia" w:ascii="仿宋_GB2312" w:hAnsi="黑体" w:eastAsia="仿宋_GB2312" w:cs="仿宋_GB2312"/>
          <w:sz w:val="32"/>
          <w:szCs w:val="32"/>
        </w:rPr>
        <w:t>万元。详见下表。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p>
      <w:pPr>
        <w:autoSpaceDE w:val="0"/>
        <w:autoSpaceDN w:val="0"/>
        <w:adjustRightInd w:val="0"/>
        <w:spacing w:line="60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编制单位：成安县辛义乡人民政府    </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 xml:space="preserve">         截止时间：</w:t>
      </w:r>
      <w:r>
        <w:rPr>
          <w:rFonts w:hint="eastAsia" w:ascii="仿宋_GB2312" w:hAnsi="仿宋_GB2312" w:eastAsia="仿宋_GB2312" w:cs="仿宋_GB2312"/>
          <w:sz w:val="28"/>
          <w:szCs w:val="28"/>
          <w:lang w:eastAsia="zh-CN"/>
        </w:rPr>
        <w:t>2021年</w:t>
      </w:r>
      <w:r>
        <w:rPr>
          <w:rFonts w:hint="eastAsia" w:ascii="仿宋_GB2312" w:hAnsi="仿宋_GB2312" w:eastAsia="仿宋_GB2312" w:cs="仿宋_GB2312"/>
          <w:sz w:val="28"/>
          <w:szCs w:val="28"/>
        </w:rPr>
        <w:t>12月31日</w:t>
      </w:r>
    </w:p>
    <w:tbl>
      <w:tblPr>
        <w:tblStyle w:val="8"/>
        <w:tblW w:w="10114" w:type="dxa"/>
        <w:jc w:val="center"/>
        <w:tblLayout w:type="fixed"/>
        <w:tblCellMar>
          <w:top w:w="0" w:type="dxa"/>
          <w:left w:w="108" w:type="dxa"/>
          <w:bottom w:w="0" w:type="dxa"/>
          <w:right w:w="108" w:type="dxa"/>
        </w:tblCellMar>
      </w:tblPr>
      <w:tblGrid>
        <w:gridCol w:w="4151"/>
        <w:gridCol w:w="1795"/>
        <w:gridCol w:w="4168"/>
      </w:tblGrid>
      <w:tr>
        <w:tblPrEx>
          <w:tblCellMar>
            <w:top w:w="0" w:type="dxa"/>
            <w:left w:w="108" w:type="dxa"/>
            <w:bottom w:w="0" w:type="dxa"/>
            <w:right w:w="108" w:type="dxa"/>
          </w:tblCellMar>
        </w:tblPrEx>
        <w:trPr>
          <w:trHeight w:val="645"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cs="宋体"/>
                <w:b/>
                <w:bCs/>
                <w:sz w:val="22"/>
                <w:szCs w:val="22"/>
              </w:rPr>
              <w:t>项目</w:t>
            </w:r>
          </w:p>
        </w:tc>
        <w:tc>
          <w:tcPr>
            <w:tcW w:w="1795" w:type="dxa"/>
            <w:tcBorders>
              <w:top w:val="single" w:color="auto" w:sz="4" w:space="0"/>
              <w:left w:val="nil"/>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cs="宋体"/>
                <w:b/>
                <w:bCs/>
                <w:sz w:val="22"/>
                <w:szCs w:val="22"/>
              </w:rPr>
              <w:t>数量</w:t>
            </w:r>
          </w:p>
        </w:tc>
        <w:tc>
          <w:tcPr>
            <w:tcW w:w="4168" w:type="dxa"/>
            <w:tcBorders>
              <w:top w:val="single" w:color="auto" w:sz="4" w:space="0"/>
              <w:left w:val="nil"/>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cs="宋体"/>
                <w:b/>
                <w:bCs/>
                <w:sz w:val="22"/>
                <w:szCs w:val="22"/>
              </w:rPr>
              <w:t>价值（金额单位：万元）</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cs="宋体"/>
                <w:sz w:val="22"/>
                <w:szCs w:val="22"/>
              </w:rPr>
              <w:t>资产总额</w:t>
            </w:r>
          </w:p>
        </w:tc>
        <w:tc>
          <w:tcPr>
            <w:tcW w:w="1795" w:type="dxa"/>
            <w:tcBorders>
              <w:top w:val="nil"/>
              <w:left w:val="nil"/>
              <w:bottom w:val="single" w:color="auto" w:sz="4" w:space="0"/>
              <w:right w:val="single" w:color="auto" w:sz="4" w:space="0"/>
            </w:tcBorders>
            <w:vAlign w:val="center"/>
          </w:tcPr>
          <w:p>
            <w:pPr>
              <w:jc w:val="center"/>
              <w:rPr>
                <w:rFonts w:ascii="宋体" w:hAnsi="宋体" w:cs="宋体"/>
                <w:sz w:val="22"/>
                <w:szCs w:val="22"/>
              </w:rPr>
            </w:pPr>
            <w:r>
              <w:rPr>
                <w:rFonts w:ascii="宋体" w:hAnsi="宋体" w:cs="宋体"/>
                <w:sz w:val="22"/>
                <w:szCs w:val="22"/>
              </w:rPr>
              <w:t>——</w:t>
            </w:r>
          </w:p>
        </w:tc>
        <w:tc>
          <w:tcPr>
            <w:tcW w:w="4168" w:type="dxa"/>
            <w:tcBorders>
              <w:top w:val="nil"/>
              <w:left w:val="nil"/>
              <w:bottom w:val="single" w:color="auto" w:sz="4" w:space="0"/>
              <w:right w:val="single" w:color="auto" w:sz="4" w:space="0"/>
            </w:tcBorders>
            <w:vAlign w:val="center"/>
          </w:tcPr>
          <w:p>
            <w:pPr>
              <w:jc w:val="center"/>
              <w:textAlignment w:val="center"/>
              <w:rPr>
                <w:rFonts w:ascii="宋体" w:hAnsi="宋体" w:cs="宋体"/>
                <w:sz w:val="22"/>
                <w:szCs w:val="22"/>
                <w:lang w:eastAsia="zh-CN"/>
              </w:rPr>
            </w:pPr>
            <w:r>
              <w:rPr>
                <w:rFonts w:hint="eastAsia" w:ascii="宋体" w:hAnsi="宋体" w:cs="宋体"/>
                <w:sz w:val="22"/>
                <w:szCs w:val="22"/>
                <w:lang w:eastAsia="zh-CN"/>
              </w:rPr>
              <w:t>1512.29</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1</w:t>
            </w:r>
            <w:r>
              <w:rPr>
                <w:rFonts w:hint="eastAsia" w:ascii="宋体" w:hAnsi="宋体" w:cs="宋体"/>
                <w:sz w:val="22"/>
                <w:szCs w:val="22"/>
              </w:rPr>
              <w:t>、房屋（平方米）</w:t>
            </w:r>
          </w:p>
        </w:tc>
        <w:tc>
          <w:tcPr>
            <w:tcW w:w="1795"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10873.74</w:t>
            </w:r>
          </w:p>
        </w:tc>
        <w:tc>
          <w:tcPr>
            <w:tcW w:w="4168" w:type="dxa"/>
            <w:tcBorders>
              <w:top w:val="nil"/>
              <w:left w:val="nil"/>
              <w:bottom w:val="single" w:color="auto" w:sz="4" w:space="0"/>
              <w:right w:val="single" w:color="auto" w:sz="4" w:space="0"/>
            </w:tcBorders>
            <w:vAlign w:val="center"/>
          </w:tcPr>
          <w:p>
            <w:pPr>
              <w:jc w:val="center"/>
              <w:textAlignment w:val="center"/>
              <w:rPr>
                <w:rFonts w:ascii="宋体" w:hAnsi="宋体" w:eastAsia="宋体"/>
                <w:sz w:val="22"/>
                <w:szCs w:val="22"/>
                <w:lang w:eastAsia="zh-CN"/>
              </w:rPr>
            </w:pPr>
            <w:r>
              <w:rPr>
                <w:rFonts w:hint="eastAsia" w:ascii="宋体" w:hAnsi="宋体" w:cs="宋体"/>
                <w:color w:val="000000"/>
                <w:sz w:val="22"/>
                <w:szCs w:val="22"/>
                <w:lang w:eastAsia="zh-CN"/>
              </w:rPr>
              <w:t>766.83</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cs="宋体"/>
                <w:sz w:val="22"/>
                <w:szCs w:val="22"/>
              </w:rPr>
              <w:t>其中：办公用房（平方米）</w:t>
            </w:r>
          </w:p>
        </w:tc>
        <w:tc>
          <w:tcPr>
            <w:tcW w:w="1795"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650</w:t>
            </w:r>
          </w:p>
        </w:tc>
        <w:tc>
          <w:tcPr>
            <w:tcW w:w="4168" w:type="dxa"/>
            <w:tcBorders>
              <w:top w:val="nil"/>
              <w:left w:val="nil"/>
              <w:bottom w:val="single" w:color="auto" w:sz="4" w:space="0"/>
              <w:right w:val="single" w:color="auto" w:sz="4" w:space="0"/>
            </w:tcBorders>
            <w:vAlign w:val="center"/>
          </w:tcPr>
          <w:p>
            <w:pPr>
              <w:jc w:val="center"/>
              <w:textAlignment w:val="center"/>
              <w:rPr>
                <w:rFonts w:ascii="宋体" w:hAnsi="宋体"/>
                <w:sz w:val="22"/>
                <w:szCs w:val="22"/>
              </w:rPr>
            </w:pPr>
            <w:r>
              <w:rPr>
                <w:rFonts w:hint="eastAsia" w:ascii="宋体" w:hAnsi="宋体" w:cs="宋体"/>
                <w:color w:val="000000"/>
                <w:sz w:val="22"/>
                <w:szCs w:val="22"/>
              </w:rPr>
              <w:t>10</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2</w:t>
            </w:r>
            <w:r>
              <w:rPr>
                <w:rFonts w:hint="eastAsia" w:ascii="宋体" w:hAnsi="宋体" w:cs="宋体"/>
                <w:sz w:val="22"/>
                <w:szCs w:val="22"/>
              </w:rPr>
              <w:t>、车辆（台、辆）</w:t>
            </w:r>
          </w:p>
        </w:tc>
        <w:tc>
          <w:tcPr>
            <w:tcW w:w="1795"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w:t>
            </w:r>
          </w:p>
        </w:tc>
        <w:tc>
          <w:tcPr>
            <w:tcW w:w="4168" w:type="dxa"/>
            <w:tcBorders>
              <w:top w:val="nil"/>
              <w:left w:val="nil"/>
              <w:bottom w:val="single" w:color="auto" w:sz="4" w:space="0"/>
              <w:right w:val="single" w:color="auto" w:sz="4" w:space="0"/>
            </w:tcBorders>
            <w:vAlign w:val="center"/>
          </w:tcPr>
          <w:p>
            <w:pPr>
              <w:jc w:val="center"/>
              <w:textAlignment w:val="center"/>
              <w:rPr>
                <w:rFonts w:ascii="宋体" w:hAnsi="宋体" w:eastAsia="宋体"/>
                <w:sz w:val="22"/>
                <w:szCs w:val="22"/>
                <w:lang w:eastAsia="zh-CN"/>
              </w:rPr>
            </w:pPr>
            <w:r>
              <w:rPr>
                <w:rFonts w:hint="eastAsia" w:ascii="宋体" w:hAnsi="宋体" w:cs="宋体"/>
                <w:color w:val="000000"/>
                <w:sz w:val="22"/>
                <w:szCs w:val="22"/>
                <w:lang w:eastAsia="zh-CN"/>
              </w:rPr>
              <w:t>17.76</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50</w:t>
            </w:r>
            <w:r>
              <w:rPr>
                <w:rFonts w:hint="eastAsia" w:ascii="宋体" w:hAnsi="宋体" w:cs="宋体"/>
                <w:sz w:val="22"/>
                <w:szCs w:val="22"/>
              </w:rPr>
              <w:t>万元以上的设备</w:t>
            </w:r>
          </w:p>
        </w:tc>
        <w:tc>
          <w:tcPr>
            <w:tcW w:w="1795"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8</w:t>
            </w:r>
          </w:p>
        </w:tc>
        <w:tc>
          <w:tcPr>
            <w:tcW w:w="4168" w:type="dxa"/>
            <w:tcBorders>
              <w:top w:val="nil"/>
              <w:left w:val="nil"/>
              <w:bottom w:val="single" w:color="auto" w:sz="4" w:space="0"/>
              <w:right w:val="single" w:color="auto" w:sz="4" w:space="0"/>
            </w:tcBorders>
            <w:vAlign w:val="center"/>
          </w:tcPr>
          <w:p>
            <w:pPr>
              <w:jc w:val="center"/>
              <w:textAlignment w:val="center"/>
              <w:rPr>
                <w:rFonts w:ascii="宋体" w:hAnsi="宋体" w:eastAsia="宋体"/>
                <w:sz w:val="22"/>
                <w:szCs w:val="22"/>
                <w:lang w:eastAsia="zh-CN"/>
              </w:rPr>
            </w:pPr>
            <w:r>
              <w:rPr>
                <w:rFonts w:hint="eastAsia" w:ascii="宋体" w:hAnsi="宋体" w:cs="宋体"/>
                <w:color w:val="000000"/>
                <w:sz w:val="22"/>
                <w:szCs w:val="22"/>
                <w:lang w:eastAsia="zh-CN"/>
              </w:rPr>
              <w:t>208.67</w:t>
            </w:r>
          </w:p>
        </w:tc>
      </w:tr>
      <w:tr>
        <w:tblPrEx>
          <w:tblCellMar>
            <w:top w:w="0" w:type="dxa"/>
            <w:left w:w="108" w:type="dxa"/>
            <w:bottom w:w="0" w:type="dxa"/>
            <w:right w:w="108" w:type="dxa"/>
          </w:tblCellMar>
        </w:tblPrEx>
        <w:trPr>
          <w:trHeight w:val="645" w:hRule="atLeast"/>
          <w:jc w:val="center"/>
        </w:trPr>
        <w:tc>
          <w:tcPr>
            <w:tcW w:w="4151"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4</w:t>
            </w:r>
            <w:r>
              <w:rPr>
                <w:rFonts w:hint="eastAsia" w:ascii="宋体" w:hAnsi="宋体" w:cs="宋体"/>
                <w:sz w:val="22"/>
                <w:szCs w:val="22"/>
              </w:rPr>
              <w:t>、其他固定资产</w:t>
            </w:r>
          </w:p>
        </w:tc>
        <w:tc>
          <w:tcPr>
            <w:tcW w:w="1795" w:type="dxa"/>
            <w:tcBorders>
              <w:top w:val="nil"/>
              <w:left w:val="nil"/>
              <w:bottom w:val="single" w:color="auto" w:sz="4" w:space="0"/>
              <w:right w:val="single" w:color="auto" w:sz="4" w:space="0"/>
            </w:tcBorders>
            <w:vAlign w:val="center"/>
          </w:tcPr>
          <w:p>
            <w:pPr>
              <w:jc w:val="center"/>
              <w:rPr>
                <w:rFonts w:ascii="宋体" w:hAnsi="宋体" w:eastAsia="宋体"/>
                <w:sz w:val="22"/>
                <w:szCs w:val="22"/>
                <w:lang w:eastAsia="zh-CN"/>
              </w:rPr>
            </w:pPr>
            <w:r>
              <w:rPr>
                <w:rFonts w:hint="eastAsia" w:ascii="宋体" w:hAnsi="宋体"/>
                <w:sz w:val="22"/>
                <w:szCs w:val="22"/>
                <w:lang w:eastAsia="zh-CN"/>
              </w:rPr>
              <w:t>519</w:t>
            </w:r>
          </w:p>
        </w:tc>
        <w:tc>
          <w:tcPr>
            <w:tcW w:w="4168" w:type="dxa"/>
            <w:tcBorders>
              <w:top w:val="nil"/>
              <w:left w:val="nil"/>
              <w:bottom w:val="single" w:color="auto" w:sz="4" w:space="0"/>
              <w:right w:val="single" w:color="auto" w:sz="4" w:space="0"/>
            </w:tcBorders>
            <w:vAlign w:val="center"/>
          </w:tcPr>
          <w:p>
            <w:pPr>
              <w:jc w:val="center"/>
              <w:textAlignment w:val="center"/>
              <w:rPr>
                <w:rFonts w:ascii="宋体" w:hAnsi="宋体" w:eastAsia="宋体" w:cs="宋体"/>
                <w:color w:val="000000"/>
                <w:sz w:val="22"/>
                <w:szCs w:val="22"/>
                <w:lang w:eastAsia="zh-CN"/>
              </w:rPr>
            </w:pPr>
            <w:r>
              <w:rPr>
                <w:rFonts w:hint="eastAsia" w:ascii="宋体" w:hAnsi="宋体" w:cs="宋体"/>
                <w:color w:val="000000"/>
                <w:sz w:val="22"/>
                <w:szCs w:val="22"/>
                <w:lang w:eastAsia="zh-CN"/>
              </w:rPr>
              <w:t>519.09</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00EA2238"/>
    <w:rsid w:val="006E6B9C"/>
    <w:rsid w:val="008367AE"/>
    <w:rsid w:val="00EA2238"/>
    <w:rsid w:val="355B2DCC"/>
    <w:rsid w:val="5E4570EF"/>
    <w:rsid w:val="63E809B8"/>
    <w:rsid w:val="6A7D7CD1"/>
    <w:rsid w:val="717453ED"/>
    <w:rsid w:val="7792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9" Type="http://schemas.openxmlformats.org/officeDocument/2006/relationships/fontTable" Target="fontTable.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2022-04-02T14:12:55Z</dcterms:created>
  <dcterms:modified xsi:type="dcterms:W3CDTF">2022-04-02T06:12:55Z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2022-04-02T14:12:53Z</dcterms:created>
  <dcterms:modified xsi:type="dcterms:W3CDTF">2022-04-02T06:12:53Z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2022-04-02T14:12:59Z</dcterms:created>
  <dcterms:modified xsi:type="dcterms:W3CDTF">2022-04-02T06:12:59Z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2022-04-02T14:12:59Z</dcterms:created>
  <dcterms:modified xsi:type="dcterms:W3CDTF">2022-04-02T06:12:59Z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2022-04-02T14:12:55Z</dcterms:created>
  <dcterms:modified xsi:type="dcterms:W3CDTF">2022-04-02T06:12:55Z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2022-04-02T14:12:55Z</dcterms:created>
  <dcterms:modified xsi:type="dcterms:W3CDTF">2022-04-02T06:12:55Z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2022-04-02T14:13:01Z</dcterms:created>
  <dcterms:modified xsi:type="dcterms:W3CDTF">2022-04-02T06:13:01Z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2022-04-02T14:12:53Z</dcterms:created>
  <dcterms:modified xsi:type="dcterms:W3CDTF">2022-04-02T06:12:53Z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2022-04-02T14:12:53Z</dcterms:created>
  <dcterms:modified xsi:type="dcterms:W3CDTF">2022-04-02T06:12:53Z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2022-04-02T14:12:59Z</dcterms:created>
  <dcterms:modified xsi:type="dcterms:W3CDTF">2022-04-02T06:12:59Z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2022-04-02T14:12:59Z</dcterms:created>
  <dcterms:modified xsi:type="dcterms:W3CDTF">2022-04-02T06:12:59Z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2022-04-02T14:12:53Z</dcterms:created>
  <dcterms:modified xsi:type="dcterms:W3CDTF">2022-04-02T06:12:53Z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2022-04-02T14:12:52Z</dcterms:created>
  <dcterms:modified xsi:type="dcterms:W3CDTF">2022-04-02T06:12:52Z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2022-04-02T14:12:58Z</dcterms:created>
  <dcterms:modified xsi:type="dcterms:W3CDTF">2022-04-02T06:12:58Z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2022-04-02T14:13:00Z</dcterms:created>
  <dcterms:modified xsi:type="dcterms:W3CDTF">2022-04-02T06:13:00Z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2022-04-02T14:12:59Z</dcterms:created>
  <dcterms:modified xsi:type="dcterms:W3CDTF">2022-04-02T06:12:59Z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2022-04-02T14:12:54Z</dcterms:created>
  <dcterms:modified xsi:type="dcterms:W3CDTF">2022-04-02T06:12:54Z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6D85B60-0B11-408B-A5E6-9A3883524F29}">
  <ds:schemaRefs/>
</ds:datastoreItem>
</file>

<file path=customXml/itemProps11.xml><?xml version="1.0" encoding="utf-8"?>
<ds:datastoreItem xmlns:ds="http://schemas.openxmlformats.org/officeDocument/2006/customXml" ds:itemID="{230EC5A2-598F-4134-8073-348DCD2A9554}">
  <ds:schemaRefs/>
</ds:datastoreItem>
</file>

<file path=customXml/itemProps12.xml><?xml version="1.0" encoding="utf-8"?>
<ds:datastoreItem xmlns:ds="http://schemas.openxmlformats.org/officeDocument/2006/customXml" ds:itemID="{69C1C037-D1E6-4CFA-BC7A-CF847B18F0D6}">
  <ds:schemaRefs/>
</ds:datastoreItem>
</file>

<file path=customXml/itemProps13.xml><?xml version="1.0" encoding="utf-8"?>
<ds:datastoreItem xmlns:ds="http://schemas.openxmlformats.org/officeDocument/2006/customXml" ds:itemID="{2792FB46-C346-4275-BDC6-81D50C032923}">
  <ds:schemaRefs/>
</ds:datastoreItem>
</file>

<file path=customXml/itemProps14.xml><?xml version="1.0" encoding="utf-8"?>
<ds:datastoreItem xmlns:ds="http://schemas.openxmlformats.org/officeDocument/2006/customXml" ds:itemID="{E21C3E5D-FB9E-4A30-9A66-2B423F6EEBB3}">
  <ds:schemaRefs/>
</ds:datastoreItem>
</file>

<file path=customXml/itemProps15.xml><?xml version="1.0" encoding="utf-8"?>
<ds:datastoreItem xmlns:ds="http://schemas.openxmlformats.org/officeDocument/2006/customXml" ds:itemID="{1CD088C6-0AF4-46F6-9C3E-6103B7571C04}">
  <ds:schemaRefs/>
</ds:datastoreItem>
</file>

<file path=customXml/itemProps16.xml><?xml version="1.0" encoding="utf-8"?>
<ds:datastoreItem xmlns:ds="http://schemas.openxmlformats.org/officeDocument/2006/customXml" ds:itemID="{0C23DE37-C340-4E70-A2A9-8A9A137A8F20}">
  <ds:schemaRefs/>
</ds:datastoreItem>
</file>

<file path=customXml/itemProps17.xml><?xml version="1.0" encoding="utf-8"?>
<ds:datastoreItem xmlns:ds="http://schemas.openxmlformats.org/officeDocument/2006/customXml" ds:itemID="{208B126B-F518-4552-B1CC-4192AB4D4BEF}">
  <ds:schemaRefs/>
</ds:datastoreItem>
</file>

<file path=customXml/itemProps18.xml><?xml version="1.0" encoding="utf-8"?>
<ds:datastoreItem xmlns:ds="http://schemas.openxmlformats.org/officeDocument/2006/customXml" ds:itemID="{78075A90-7DC3-431C-BD51-288B37A3D1E9}">
  <ds:schemaRefs/>
</ds:datastoreItem>
</file>

<file path=customXml/itemProps19.xml><?xml version="1.0" encoding="utf-8"?>
<ds:datastoreItem xmlns:ds="http://schemas.openxmlformats.org/officeDocument/2006/customXml" ds:itemID="{CCB2FF7B-D0BC-49FB-AE7D-C5102598E9A5}">
  <ds:schemaRefs/>
</ds:datastoreItem>
</file>

<file path=customXml/itemProps2.xml><?xml version="1.0" encoding="utf-8"?>
<ds:datastoreItem xmlns:ds="http://schemas.openxmlformats.org/officeDocument/2006/customXml" ds:itemID="{C0F0D89B-96CB-4726-A4AB-56BF15F5E2B4}">
  <ds:schemaRefs/>
</ds:datastoreItem>
</file>

<file path=customXml/itemProps20.xml><?xml version="1.0" encoding="utf-8"?>
<ds:datastoreItem xmlns:ds="http://schemas.openxmlformats.org/officeDocument/2006/customXml" ds:itemID="{209164E5-C23D-49FF-874B-0B0E39E0748C}">
  <ds:schemaRefs/>
</ds:datastoreItem>
</file>

<file path=customXml/itemProps21.xml><?xml version="1.0" encoding="utf-8"?>
<ds:datastoreItem xmlns:ds="http://schemas.openxmlformats.org/officeDocument/2006/customXml" ds:itemID="{65F8CB3D-A209-481C-821E-98ABB16A7AFD}">
  <ds:schemaRefs/>
</ds:datastoreItem>
</file>

<file path=customXml/itemProps22.xml><?xml version="1.0" encoding="utf-8"?>
<ds:datastoreItem xmlns:ds="http://schemas.openxmlformats.org/officeDocument/2006/customXml" ds:itemID="{6A50D08F-1E42-4356-9402-9FE97AD94F42}">
  <ds:schemaRefs/>
</ds:datastoreItem>
</file>

<file path=customXml/itemProps23.xml><?xml version="1.0" encoding="utf-8"?>
<ds:datastoreItem xmlns:ds="http://schemas.openxmlformats.org/officeDocument/2006/customXml" ds:itemID="{758D235A-364C-49F3-B155-F97DBAC3A079}">
  <ds:schemaRefs/>
</ds:datastoreItem>
</file>

<file path=customXml/itemProps24.xml><?xml version="1.0" encoding="utf-8"?>
<ds:datastoreItem xmlns:ds="http://schemas.openxmlformats.org/officeDocument/2006/customXml" ds:itemID="{B2B6F89E-931A-484E-82FD-8820DAF500AD}">
  <ds:schemaRefs/>
</ds:datastoreItem>
</file>

<file path=customXml/itemProps25.xml><?xml version="1.0" encoding="utf-8"?>
<ds:datastoreItem xmlns:ds="http://schemas.openxmlformats.org/officeDocument/2006/customXml" ds:itemID="{832544C5-E5C2-4968-9D78-90F9821C96DB}">
  <ds:schemaRefs/>
</ds:datastoreItem>
</file>

<file path=customXml/itemProps26.xml><?xml version="1.0" encoding="utf-8"?>
<ds:datastoreItem xmlns:ds="http://schemas.openxmlformats.org/officeDocument/2006/customXml" ds:itemID="{FFE81A75-1D86-4F35-B6BD-A3E0EE73083A}">
  <ds:schemaRefs/>
</ds:datastoreItem>
</file>

<file path=customXml/itemProps27.xml><?xml version="1.0" encoding="utf-8"?>
<ds:datastoreItem xmlns:ds="http://schemas.openxmlformats.org/officeDocument/2006/customXml" ds:itemID="{12220BB3-BD26-4203-B12F-02B076E9C493}">
  <ds:schemaRefs/>
</ds:datastoreItem>
</file>

<file path=customXml/itemProps28.xml><?xml version="1.0" encoding="utf-8"?>
<ds:datastoreItem xmlns:ds="http://schemas.openxmlformats.org/officeDocument/2006/customXml" ds:itemID="{F73A22BC-FDE1-41D0-A46E-AD588DA68C0E}">
  <ds:schemaRefs/>
</ds:datastoreItem>
</file>

<file path=customXml/itemProps29.xml><?xml version="1.0" encoding="utf-8"?>
<ds:datastoreItem xmlns:ds="http://schemas.openxmlformats.org/officeDocument/2006/customXml" ds:itemID="{1F0B3463-011E-4570-BE29-2F2916A998FB}">
  <ds:schemaRefs/>
</ds:datastoreItem>
</file>

<file path=customXml/itemProps3.xml><?xml version="1.0" encoding="utf-8"?>
<ds:datastoreItem xmlns:ds="http://schemas.openxmlformats.org/officeDocument/2006/customXml" ds:itemID="{C0BF860B-631E-4287-9352-9407A0E54323}">
  <ds:schemaRefs/>
</ds:datastoreItem>
</file>

<file path=customXml/itemProps30.xml><?xml version="1.0" encoding="utf-8"?>
<ds:datastoreItem xmlns:ds="http://schemas.openxmlformats.org/officeDocument/2006/customXml" ds:itemID="{D095CE11-95E2-483D-BB27-4F7CF1A0503C}">
  <ds:schemaRefs/>
</ds:datastoreItem>
</file>

<file path=customXml/itemProps31.xml><?xml version="1.0" encoding="utf-8"?>
<ds:datastoreItem xmlns:ds="http://schemas.openxmlformats.org/officeDocument/2006/customXml" ds:itemID="{7EA49CF0-A8DA-482A-8BDA-253E46D96F7B}">
  <ds:schemaRefs/>
</ds:datastoreItem>
</file>

<file path=customXml/itemProps32.xml><?xml version="1.0" encoding="utf-8"?>
<ds:datastoreItem xmlns:ds="http://schemas.openxmlformats.org/officeDocument/2006/customXml" ds:itemID="{CB01218D-15F0-4A1E-98E7-388FC4C6E9E8}">
  <ds:schemaRefs/>
</ds:datastoreItem>
</file>

<file path=customXml/itemProps33.xml><?xml version="1.0" encoding="utf-8"?>
<ds:datastoreItem xmlns:ds="http://schemas.openxmlformats.org/officeDocument/2006/customXml" ds:itemID="{AB38A0AF-02D5-41A6-B46D-A2A43E42742C}">
  <ds:schemaRefs/>
</ds:datastoreItem>
</file>

<file path=customXml/itemProps34.xml><?xml version="1.0" encoding="utf-8"?>
<ds:datastoreItem xmlns:ds="http://schemas.openxmlformats.org/officeDocument/2006/customXml" ds:itemID="{C9B828C9-A8E7-4098-979E-9B2A3ACD5BE0}">
  <ds:schemaRefs/>
</ds:datastoreItem>
</file>

<file path=customXml/itemProps35.xml><?xml version="1.0" encoding="utf-8"?>
<ds:datastoreItem xmlns:ds="http://schemas.openxmlformats.org/officeDocument/2006/customXml" ds:itemID="{A56A3A15-1A9C-4645-B24E-84623AFEAFA4}">
  <ds:schemaRefs/>
</ds:datastoreItem>
</file>

<file path=customXml/itemProps36.xml><?xml version="1.0" encoding="utf-8"?>
<ds:datastoreItem xmlns:ds="http://schemas.openxmlformats.org/officeDocument/2006/customXml" ds:itemID="{4BF8B509-7309-41DD-BADA-81C9DB3AFDF0}">
  <ds:schemaRefs/>
</ds:datastoreItem>
</file>

<file path=customXml/itemProps37.xml><?xml version="1.0" encoding="utf-8"?>
<ds:datastoreItem xmlns:ds="http://schemas.openxmlformats.org/officeDocument/2006/customXml" ds:itemID="{24A9E284-7BDE-494E-92DD-8FE794E4DFDD}">
  <ds:schemaRefs/>
</ds:datastoreItem>
</file>

<file path=customXml/itemProps38.xml><?xml version="1.0" encoding="utf-8"?>
<ds:datastoreItem xmlns:ds="http://schemas.openxmlformats.org/officeDocument/2006/customXml" ds:itemID="{DBF8C1F9-5859-4EE3-AB04-46429FF8E800}">
  <ds:schemaRefs/>
</ds:datastoreItem>
</file>

<file path=customXml/itemProps39.xml><?xml version="1.0" encoding="utf-8"?>
<ds:datastoreItem xmlns:ds="http://schemas.openxmlformats.org/officeDocument/2006/customXml" ds:itemID="{54D96109-B3D3-4EB1-B790-D51F6A3B9E06}">
  <ds:schemaRefs/>
</ds:datastoreItem>
</file>

<file path=customXml/itemProps4.xml><?xml version="1.0" encoding="utf-8"?>
<ds:datastoreItem xmlns:ds="http://schemas.openxmlformats.org/officeDocument/2006/customXml" ds:itemID="{3E4AF3EF-F353-4AC3-9A82-DC98D8665AE5}">
  <ds:schemaRefs/>
</ds:datastoreItem>
</file>

<file path=customXml/itemProps40.xml><?xml version="1.0" encoding="utf-8"?>
<ds:datastoreItem xmlns:ds="http://schemas.openxmlformats.org/officeDocument/2006/customXml" ds:itemID="{2AF097A3-30E4-4943-9886-F5BF7C29F1B3}">
  <ds:schemaRefs/>
</ds:datastoreItem>
</file>

<file path=customXml/itemProps41.xml><?xml version="1.0" encoding="utf-8"?>
<ds:datastoreItem xmlns:ds="http://schemas.openxmlformats.org/officeDocument/2006/customXml" ds:itemID="{0C513421-91FB-4D51-A03F-65BF9113C516}">
  <ds:schemaRefs/>
</ds:datastoreItem>
</file>

<file path=customXml/itemProps42.xml><?xml version="1.0" encoding="utf-8"?>
<ds:datastoreItem xmlns:ds="http://schemas.openxmlformats.org/officeDocument/2006/customXml" ds:itemID="{8C3718C1-3D75-49AE-BCBB-FD53DD92A501}">
  <ds:schemaRefs/>
</ds:datastoreItem>
</file>

<file path=customXml/itemProps43.xml><?xml version="1.0" encoding="utf-8"?>
<ds:datastoreItem xmlns:ds="http://schemas.openxmlformats.org/officeDocument/2006/customXml" ds:itemID="{6E4033A0-D180-40B3-BF11-80035D179A45}">
  <ds:schemaRefs/>
</ds:datastoreItem>
</file>

<file path=customXml/itemProps44.xml><?xml version="1.0" encoding="utf-8"?>
<ds:datastoreItem xmlns:ds="http://schemas.openxmlformats.org/officeDocument/2006/customXml" ds:itemID="{BCCEB9E7-5257-430F-9CBA-A11CF7A66233}">
  <ds:schemaRefs/>
</ds:datastoreItem>
</file>

<file path=customXml/itemProps45.xml><?xml version="1.0" encoding="utf-8"?>
<ds:datastoreItem xmlns:ds="http://schemas.openxmlformats.org/officeDocument/2006/customXml" ds:itemID="{3CDE09EF-F9DE-45B0-928A-6BF0CA0EAF1C}">
  <ds:schemaRefs/>
</ds:datastoreItem>
</file>

<file path=customXml/itemProps46.xml><?xml version="1.0" encoding="utf-8"?>
<ds:datastoreItem xmlns:ds="http://schemas.openxmlformats.org/officeDocument/2006/customXml" ds:itemID="{849C800A-3826-4085-8D11-C7A78C9D365C}">
  <ds:schemaRefs/>
</ds:datastoreItem>
</file>

<file path=customXml/itemProps47.xml><?xml version="1.0" encoding="utf-8"?>
<ds:datastoreItem xmlns:ds="http://schemas.openxmlformats.org/officeDocument/2006/customXml" ds:itemID="{000C6F1C-6B74-4C83-9141-05DCB56A6DCE}">
  <ds:schemaRefs/>
</ds:datastoreItem>
</file>

<file path=customXml/itemProps48.xml><?xml version="1.0" encoding="utf-8"?>
<ds:datastoreItem xmlns:ds="http://schemas.openxmlformats.org/officeDocument/2006/customXml" ds:itemID="{E02D4580-8F39-4B29-A415-10D07EC950D1}">
  <ds:schemaRefs/>
</ds:datastoreItem>
</file>

<file path=customXml/itemProps49.xml><?xml version="1.0" encoding="utf-8"?>
<ds:datastoreItem xmlns:ds="http://schemas.openxmlformats.org/officeDocument/2006/customXml" ds:itemID="{070D3DC3-62C5-4F33-9838-C9B9DBBB9640}">
  <ds:schemaRefs/>
</ds:datastoreItem>
</file>

<file path=customXml/itemProps5.xml><?xml version="1.0" encoding="utf-8"?>
<ds:datastoreItem xmlns:ds="http://schemas.openxmlformats.org/officeDocument/2006/customXml" ds:itemID="{9C025989-A77A-4B73-B01F-DF3F4C15131D}">
  <ds:schemaRefs/>
</ds:datastoreItem>
</file>

<file path=customXml/itemProps50.xml><?xml version="1.0" encoding="utf-8"?>
<ds:datastoreItem xmlns:ds="http://schemas.openxmlformats.org/officeDocument/2006/customXml" ds:itemID="{41D376B1-F526-4895-9162-17A08F5496ED}">
  <ds:schemaRefs/>
</ds:datastoreItem>
</file>

<file path=customXml/itemProps51.xml><?xml version="1.0" encoding="utf-8"?>
<ds:datastoreItem xmlns:ds="http://schemas.openxmlformats.org/officeDocument/2006/customXml" ds:itemID="{029B1EC9-1522-479E-B132-A99C4E79A2B6}">
  <ds:schemaRefs/>
</ds:datastoreItem>
</file>

<file path=customXml/itemProps52.xml><?xml version="1.0" encoding="utf-8"?>
<ds:datastoreItem xmlns:ds="http://schemas.openxmlformats.org/officeDocument/2006/customXml" ds:itemID="{92A21E0A-7A9D-4D71-95CF-96FF7F5F188E}">
  <ds:schemaRefs/>
</ds:datastoreItem>
</file>

<file path=customXml/itemProps53.xml><?xml version="1.0" encoding="utf-8"?>
<ds:datastoreItem xmlns:ds="http://schemas.openxmlformats.org/officeDocument/2006/customXml" ds:itemID="{0FD86DFC-82D2-4475-A53A-9A29DD990B8D}">
  <ds:schemaRefs/>
</ds:datastoreItem>
</file>

<file path=customXml/itemProps54.xml><?xml version="1.0" encoding="utf-8"?>
<ds:datastoreItem xmlns:ds="http://schemas.openxmlformats.org/officeDocument/2006/customXml" ds:itemID="{645989A9-66B5-4AE7-90D0-54B56C94B39D}">
  <ds:schemaRefs/>
</ds:datastoreItem>
</file>

<file path=customXml/itemProps55.xml><?xml version="1.0" encoding="utf-8"?>
<ds:datastoreItem xmlns:ds="http://schemas.openxmlformats.org/officeDocument/2006/customXml" ds:itemID="{17D261E0-6C96-453F-82EB-D38DF298568E}">
  <ds:schemaRefs/>
</ds:datastoreItem>
</file>

<file path=customXml/itemProps56.xml><?xml version="1.0" encoding="utf-8"?>
<ds:datastoreItem xmlns:ds="http://schemas.openxmlformats.org/officeDocument/2006/customXml" ds:itemID="{698DCC74-8F3E-4588-9367-7B1455C81C1C}">
  <ds:schemaRefs/>
</ds:datastoreItem>
</file>

<file path=customXml/itemProps57.xml><?xml version="1.0" encoding="utf-8"?>
<ds:datastoreItem xmlns:ds="http://schemas.openxmlformats.org/officeDocument/2006/customXml" ds:itemID="{352009A5-1507-484D-A901-608616036324}">
  <ds:schemaRefs/>
</ds:datastoreItem>
</file>

<file path=customXml/itemProps58.xml><?xml version="1.0" encoding="utf-8"?>
<ds:datastoreItem xmlns:ds="http://schemas.openxmlformats.org/officeDocument/2006/customXml" ds:itemID="{8AA29A5C-CFC6-4E8C-8988-10F17DF6FA14}">
  <ds:schemaRefs/>
</ds:datastoreItem>
</file>

<file path=customXml/itemProps59.xml><?xml version="1.0" encoding="utf-8"?>
<ds:datastoreItem xmlns:ds="http://schemas.openxmlformats.org/officeDocument/2006/customXml" ds:itemID="{0A23B4BE-B507-4E22-9206-DE4F0373252F}">
  <ds:schemaRefs/>
</ds:datastoreItem>
</file>

<file path=customXml/itemProps6.xml><?xml version="1.0" encoding="utf-8"?>
<ds:datastoreItem xmlns:ds="http://schemas.openxmlformats.org/officeDocument/2006/customXml" ds:itemID="{42064FE2-31A5-4D58-87D9-157ACF59AB33}">
  <ds:schemaRefs/>
</ds:datastoreItem>
</file>

<file path=customXml/itemProps60.xml><?xml version="1.0" encoding="utf-8"?>
<ds:datastoreItem xmlns:ds="http://schemas.openxmlformats.org/officeDocument/2006/customXml" ds:itemID="{52423E79-D16F-4BAD-98C3-70E2B6643B5E}">
  <ds:schemaRefs/>
</ds:datastoreItem>
</file>

<file path=customXml/itemProps61.xml><?xml version="1.0" encoding="utf-8"?>
<ds:datastoreItem xmlns:ds="http://schemas.openxmlformats.org/officeDocument/2006/customXml" ds:itemID="{060AABC8-2DC2-497E-8ECF-D16963FCAA04}">
  <ds:schemaRefs/>
</ds:datastoreItem>
</file>

<file path=customXml/itemProps62.xml><?xml version="1.0" encoding="utf-8"?>
<ds:datastoreItem xmlns:ds="http://schemas.openxmlformats.org/officeDocument/2006/customXml" ds:itemID="{EC0D0EC1-EF31-471B-BDD5-B30A2687D2FF}">
  <ds:schemaRefs/>
</ds:datastoreItem>
</file>

<file path=customXml/itemProps63.xml><?xml version="1.0" encoding="utf-8"?>
<ds:datastoreItem xmlns:ds="http://schemas.openxmlformats.org/officeDocument/2006/customXml" ds:itemID="{26E7D053-010B-4B2F-A30F-C83CA6C95DB0}">
  <ds:schemaRefs/>
</ds:datastoreItem>
</file>

<file path=customXml/itemProps7.xml><?xml version="1.0" encoding="utf-8"?>
<ds:datastoreItem xmlns:ds="http://schemas.openxmlformats.org/officeDocument/2006/customXml" ds:itemID="{CBEBAB4D-7A58-4981-939E-0AE9BE754366}">
  <ds:schemaRefs/>
</ds:datastoreItem>
</file>

<file path=customXml/itemProps8.xml><?xml version="1.0" encoding="utf-8"?>
<ds:datastoreItem xmlns:ds="http://schemas.openxmlformats.org/officeDocument/2006/customXml" ds:itemID="{AFEBC7D8-0BBC-4180-9037-B9835638EBD9}">
  <ds:schemaRefs/>
</ds:datastoreItem>
</file>

<file path=customXml/itemProps9.xml><?xml version="1.0" encoding="utf-8"?>
<ds:datastoreItem xmlns:ds="http://schemas.openxmlformats.org/officeDocument/2006/customXml" ds:itemID="{3F290391-8934-4186-8353-CFD902FC7963}">
  <ds:schemaRefs/>
</ds:datastoreItem>
</file>

<file path=docProps/app.xml><?xml version="1.0" encoding="utf-8"?>
<Properties xmlns="http://schemas.openxmlformats.org/officeDocument/2006/extended-properties" xmlns:vt="http://schemas.openxmlformats.org/officeDocument/2006/docPropsVTypes">
  <Template>Normal</Template>
  <Pages>38</Pages>
  <Words>2505</Words>
  <Characters>14284</Characters>
  <Lines>119</Lines>
  <Paragraphs>33</Paragraphs>
  <TotalTime>5</TotalTime>
  <ScaleCrop>false</ScaleCrop>
  <LinksUpToDate>false</LinksUpToDate>
  <CharactersWithSpaces>16756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2022-04-02T14:13:00Z</dcterms:created>
  <dc:creator>HP</dc:creator>
  <cp:lastModifiedBy>Wang</cp:lastModifiedBy>
  <dcterms:modified xsi:type="dcterms:W3CDTF">2024-01-18T04:41:10Z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1D5A754B839843BE9445A0861883D7EE</vt:lpwstr>
  </property>
</Properties>
</file>