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rPr>
      </w:pPr>
      <w:r>
        <w:rPr>
          <w:rFonts w:ascii="黑体" w:hAnsi="黑体" w:eastAsia="黑体" w:cs="黑体"/>
          <w:b/>
          <w:color w:val="000000"/>
          <w:sz w:val="44"/>
        </w:rPr>
        <w:t>成安县县直工委</w:t>
      </w:r>
    </w:p>
    <w:p>
      <w:pPr>
        <w:jc w:val="center"/>
        <w:outlineLvl w:val="0"/>
      </w:pPr>
      <w:r>
        <w:rPr>
          <w:rFonts w:hint="eastAsia" w:ascii="黑体" w:hAnsi="黑体" w:eastAsia="黑体" w:cs="黑体"/>
          <w:b/>
          <w:color w:val="000000"/>
          <w:sz w:val="44"/>
          <w:lang w:eastAsia="zh-CN"/>
        </w:rPr>
        <w:t>所属单位</w:t>
      </w:r>
      <w:r>
        <w:rPr>
          <w:rFonts w:ascii="黑体" w:hAnsi="黑体" w:eastAsia="黑体" w:cs="黑体"/>
          <w:b/>
          <w:color w:val="000000"/>
          <w:sz w:val="44"/>
        </w:rPr>
        <w:t>2022年部门预算信息公开目录</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17</w:t>
      </w:r>
      <w:r>
        <w:fldChar w:fldCharType="end"/>
      </w:r>
      <w:r>
        <w:fldChar w:fldCharType="end"/>
      </w:r>
    </w:p>
    <w:p>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3"/>
      </w:pPr>
      <w:bookmarkStart w:id="0" w:name="_Toc_4_4_0000000019"/>
      <w:r>
        <w:rPr>
          <w:rFonts w:ascii="方正小标宋_GBK" w:hAnsi="方正小标宋_GBK" w:eastAsia="方正小标宋_GBK" w:cs="方正小标宋_GBK"/>
          <w:color w:val="000000"/>
          <w:sz w:val="44"/>
        </w:rPr>
        <w:t>一、成安县县直工委本级收支预算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560001成安县县直工委本级</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66.67</w:t>
            </w:r>
          </w:p>
        </w:tc>
        <w:tc>
          <w:tcPr>
            <w:tcW w:w="4535" w:type="dxa"/>
            <w:vAlign w:val="center"/>
          </w:tcPr>
          <w:p>
            <w:pPr>
              <w:pStyle w:val="16"/>
            </w:pPr>
            <w:r>
              <w:t>一、一般公共服务支出</w:t>
            </w:r>
          </w:p>
        </w:tc>
        <w:tc>
          <w:tcPr>
            <w:tcW w:w="2126" w:type="dxa"/>
            <w:vAlign w:val="center"/>
          </w:tcPr>
          <w:p>
            <w:pPr>
              <w:pStyle w:val="15"/>
            </w:pPr>
            <w:r>
              <w:t>50.12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9.19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66.67</w:t>
            </w:r>
          </w:p>
        </w:tc>
        <w:tc>
          <w:tcPr>
            <w:tcW w:w="4535" w:type="dxa"/>
            <w:vAlign w:val="center"/>
          </w:tcPr>
          <w:p>
            <w:pPr>
              <w:pStyle w:val="18"/>
            </w:pPr>
            <w:r>
              <w:t>本年支出合计</w:t>
            </w:r>
          </w:p>
        </w:tc>
        <w:tc>
          <w:tcPr>
            <w:tcW w:w="2126" w:type="dxa"/>
            <w:vAlign w:val="center"/>
          </w:tcPr>
          <w:p>
            <w:pPr>
              <w:pStyle w:val="19"/>
            </w:pPr>
            <w:r>
              <w:t>66.67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66.67</w:t>
            </w:r>
          </w:p>
        </w:tc>
        <w:tc>
          <w:tcPr>
            <w:tcW w:w="4535" w:type="dxa"/>
            <w:vAlign w:val="center"/>
          </w:tcPr>
          <w:p>
            <w:pPr>
              <w:pStyle w:val="18"/>
            </w:pPr>
            <w:r>
              <w:t>支出总计</w:t>
            </w:r>
          </w:p>
        </w:tc>
        <w:tc>
          <w:tcPr>
            <w:tcW w:w="2126" w:type="dxa"/>
            <w:vAlign w:val="center"/>
          </w:tcPr>
          <w:p>
            <w:pPr>
              <w:pStyle w:val="19"/>
            </w:pPr>
            <w:r>
              <w:t>66.67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560001成安县县直工委本级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66.67</w:t>
            </w:r>
          </w:p>
        </w:tc>
        <w:tc>
          <w:tcPr>
            <w:tcW w:w="1134" w:type="dxa"/>
            <w:vAlign w:val="center"/>
          </w:tcPr>
          <w:p>
            <w:pPr>
              <w:pStyle w:val="19"/>
            </w:pPr>
            <w:r>
              <w:t>66.67</w:t>
            </w:r>
          </w:p>
        </w:tc>
        <w:tc>
          <w:tcPr>
            <w:tcW w:w="1134" w:type="dxa"/>
            <w:vAlign w:val="center"/>
          </w:tcPr>
          <w:p>
            <w:pPr>
              <w:pStyle w:val="19"/>
            </w:pPr>
            <w:r>
              <w:t>66.67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50.12</w:t>
            </w:r>
          </w:p>
        </w:tc>
        <w:tc>
          <w:tcPr>
            <w:tcW w:w="1134" w:type="dxa"/>
            <w:vAlign w:val="center"/>
          </w:tcPr>
          <w:p>
            <w:pPr>
              <w:pStyle w:val="15"/>
            </w:pPr>
            <w:r>
              <w:t>50.12</w:t>
            </w:r>
          </w:p>
        </w:tc>
        <w:tc>
          <w:tcPr>
            <w:tcW w:w="1134" w:type="dxa"/>
            <w:vAlign w:val="center"/>
          </w:tcPr>
          <w:p>
            <w:pPr>
              <w:pStyle w:val="15"/>
            </w:pPr>
            <w:r>
              <w:t>50.12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20131</w:t>
            </w:r>
          </w:p>
        </w:tc>
        <w:tc>
          <w:tcPr>
            <w:tcW w:w="1559" w:type="dxa"/>
            <w:vAlign w:val="center"/>
          </w:tcPr>
          <w:p>
            <w:pPr>
              <w:pStyle w:val="16"/>
            </w:pPr>
            <w:r>
              <w:t>党委办公厅（室）及相关机构事务</w:t>
            </w:r>
          </w:p>
        </w:tc>
        <w:tc>
          <w:tcPr>
            <w:tcW w:w="1134" w:type="dxa"/>
            <w:vAlign w:val="center"/>
          </w:tcPr>
          <w:p>
            <w:pPr>
              <w:pStyle w:val="15"/>
            </w:pPr>
            <w:r>
              <w:t>50.12</w:t>
            </w:r>
          </w:p>
        </w:tc>
        <w:tc>
          <w:tcPr>
            <w:tcW w:w="1134" w:type="dxa"/>
            <w:vAlign w:val="center"/>
          </w:tcPr>
          <w:p>
            <w:pPr>
              <w:pStyle w:val="15"/>
            </w:pPr>
            <w:r>
              <w:t>50.12</w:t>
            </w:r>
          </w:p>
        </w:tc>
        <w:tc>
          <w:tcPr>
            <w:tcW w:w="1134" w:type="dxa"/>
            <w:vAlign w:val="center"/>
          </w:tcPr>
          <w:p>
            <w:pPr>
              <w:pStyle w:val="15"/>
            </w:pPr>
            <w:r>
              <w:t>50.12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2013101</w:t>
            </w:r>
          </w:p>
        </w:tc>
        <w:tc>
          <w:tcPr>
            <w:tcW w:w="1559" w:type="dxa"/>
            <w:vAlign w:val="center"/>
          </w:tcPr>
          <w:p>
            <w:pPr>
              <w:pStyle w:val="16"/>
            </w:pPr>
            <w:r>
              <w:t>行政运行</w:t>
            </w:r>
          </w:p>
        </w:tc>
        <w:tc>
          <w:tcPr>
            <w:tcW w:w="1134" w:type="dxa"/>
            <w:vAlign w:val="center"/>
          </w:tcPr>
          <w:p>
            <w:pPr>
              <w:pStyle w:val="15"/>
            </w:pPr>
            <w:r>
              <w:t>50.12</w:t>
            </w:r>
          </w:p>
        </w:tc>
        <w:tc>
          <w:tcPr>
            <w:tcW w:w="1134" w:type="dxa"/>
            <w:vAlign w:val="center"/>
          </w:tcPr>
          <w:p>
            <w:pPr>
              <w:pStyle w:val="15"/>
            </w:pPr>
            <w:r>
              <w:t>50.12</w:t>
            </w:r>
          </w:p>
        </w:tc>
        <w:tc>
          <w:tcPr>
            <w:tcW w:w="1134" w:type="dxa"/>
            <w:vAlign w:val="center"/>
          </w:tcPr>
          <w:p>
            <w:pPr>
              <w:pStyle w:val="15"/>
            </w:pPr>
            <w:r>
              <w:t>50.12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9.19</w:t>
            </w:r>
          </w:p>
        </w:tc>
        <w:tc>
          <w:tcPr>
            <w:tcW w:w="1134" w:type="dxa"/>
            <w:vAlign w:val="center"/>
          </w:tcPr>
          <w:p>
            <w:pPr>
              <w:pStyle w:val="15"/>
            </w:pPr>
            <w:r>
              <w:t>9.19</w:t>
            </w:r>
          </w:p>
        </w:tc>
        <w:tc>
          <w:tcPr>
            <w:tcW w:w="1134" w:type="dxa"/>
            <w:vAlign w:val="center"/>
          </w:tcPr>
          <w:p>
            <w:pPr>
              <w:pStyle w:val="15"/>
            </w:pPr>
            <w:r>
              <w:t>9.19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9.19</w:t>
            </w:r>
          </w:p>
        </w:tc>
        <w:tc>
          <w:tcPr>
            <w:tcW w:w="1134" w:type="dxa"/>
            <w:vAlign w:val="center"/>
          </w:tcPr>
          <w:p>
            <w:pPr>
              <w:pStyle w:val="15"/>
            </w:pPr>
            <w:r>
              <w:t>9.19</w:t>
            </w:r>
          </w:p>
        </w:tc>
        <w:tc>
          <w:tcPr>
            <w:tcW w:w="1134" w:type="dxa"/>
            <w:vAlign w:val="center"/>
          </w:tcPr>
          <w:p>
            <w:pPr>
              <w:pStyle w:val="15"/>
            </w:pPr>
            <w:r>
              <w:t>9.19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6.13</w:t>
            </w:r>
          </w:p>
        </w:tc>
        <w:tc>
          <w:tcPr>
            <w:tcW w:w="1134" w:type="dxa"/>
            <w:vAlign w:val="center"/>
          </w:tcPr>
          <w:p>
            <w:pPr>
              <w:pStyle w:val="15"/>
            </w:pPr>
            <w:r>
              <w:t>6.13</w:t>
            </w:r>
          </w:p>
        </w:tc>
        <w:tc>
          <w:tcPr>
            <w:tcW w:w="1134" w:type="dxa"/>
            <w:vAlign w:val="center"/>
          </w:tcPr>
          <w:p>
            <w:pPr>
              <w:pStyle w:val="15"/>
            </w:pPr>
            <w:r>
              <w:t>6.13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3.06</w:t>
            </w:r>
          </w:p>
        </w:tc>
        <w:tc>
          <w:tcPr>
            <w:tcW w:w="1134" w:type="dxa"/>
            <w:vAlign w:val="center"/>
          </w:tcPr>
          <w:p>
            <w:pPr>
              <w:pStyle w:val="15"/>
            </w:pPr>
            <w:r>
              <w:t>3.06</w:t>
            </w:r>
          </w:p>
        </w:tc>
        <w:tc>
          <w:tcPr>
            <w:tcW w:w="1134" w:type="dxa"/>
            <w:vAlign w:val="center"/>
          </w:tcPr>
          <w:p>
            <w:pPr>
              <w:pStyle w:val="15"/>
            </w:pPr>
            <w:r>
              <w:t>3.06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3.05</w:t>
            </w:r>
          </w:p>
        </w:tc>
        <w:tc>
          <w:tcPr>
            <w:tcW w:w="1134" w:type="dxa"/>
            <w:vAlign w:val="center"/>
          </w:tcPr>
          <w:p>
            <w:pPr>
              <w:pStyle w:val="15"/>
            </w:pPr>
            <w:r>
              <w:t>3.05</w:t>
            </w:r>
          </w:p>
        </w:tc>
        <w:tc>
          <w:tcPr>
            <w:tcW w:w="1134" w:type="dxa"/>
            <w:vAlign w:val="center"/>
          </w:tcPr>
          <w:p>
            <w:pPr>
              <w:pStyle w:val="15"/>
            </w:pPr>
            <w:r>
              <w:t>3.05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pPr>
            <w:r>
              <w:t>3.05</w:t>
            </w:r>
          </w:p>
        </w:tc>
        <w:tc>
          <w:tcPr>
            <w:tcW w:w="1134" w:type="dxa"/>
            <w:vAlign w:val="center"/>
          </w:tcPr>
          <w:p>
            <w:pPr>
              <w:pStyle w:val="15"/>
            </w:pPr>
            <w:r>
              <w:t>3.05</w:t>
            </w:r>
          </w:p>
        </w:tc>
        <w:tc>
          <w:tcPr>
            <w:tcW w:w="1134" w:type="dxa"/>
            <w:vAlign w:val="center"/>
          </w:tcPr>
          <w:p>
            <w:pPr>
              <w:pStyle w:val="15"/>
            </w:pPr>
            <w:r>
              <w:t>3.05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3.05</w:t>
            </w:r>
          </w:p>
        </w:tc>
        <w:tc>
          <w:tcPr>
            <w:tcW w:w="1134" w:type="dxa"/>
            <w:vAlign w:val="center"/>
          </w:tcPr>
          <w:p>
            <w:pPr>
              <w:pStyle w:val="15"/>
            </w:pPr>
            <w:r>
              <w:t>3.05</w:t>
            </w:r>
          </w:p>
        </w:tc>
        <w:tc>
          <w:tcPr>
            <w:tcW w:w="1134" w:type="dxa"/>
            <w:vAlign w:val="center"/>
          </w:tcPr>
          <w:p>
            <w:pPr>
              <w:pStyle w:val="15"/>
            </w:pPr>
            <w:r>
              <w:t>3.05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4.31</w:t>
            </w:r>
          </w:p>
        </w:tc>
        <w:tc>
          <w:tcPr>
            <w:tcW w:w="1134" w:type="dxa"/>
            <w:vAlign w:val="center"/>
          </w:tcPr>
          <w:p>
            <w:pPr>
              <w:pStyle w:val="15"/>
            </w:pPr>
            <w:r>
              <w:t>4.31</w:t>
            </w:r>
          </w:p>
        </w:tc>
        <w:tc>
          <w:tcPr>
            <w:tcW w:w="1134" w:type="dxa"/>
            <w:vAlign w:val="center"/>
          </w:tcPr>
          <w:p>
            <w:pPr>
              <w:pStyle w:val="15"/>
            </w:pPr>
            <w:r>
              <w:t>4.31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4.31</w:t>
            </w:r>
          </w:p>
        </w:tc>
        <w:tc>
          <w:tcPr>
            <w:tcW w:w="1134" w:type="dxa"/>
            <w:vAlign w:val="center"/>
          </w:tcPr>
          <w:p>
            <w:pPr>
              <w:pStyle w:val="15"/>
            </w:pPr>
            <w:r>
              <w:t>4.31</w:t>
            </w:r>
          </w:p>
        </w:tc>
        <w:tc>
          <w:tcPr>
            <w:tcW w:w="1134" w:type="dxa"/>
            <w:vAlign w:val="center"/>
          </w:tcPr>
          <w:p>
            <w:pPr>
              <w:pStyle w:val="15"/>
            </w:pPr>
            <w:r>
              <w:t>4.31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4.31</w:t>
            </w:r>
          </w:p>
        </w:tc>
        <w:tc>
          <w:tcPr>
            <w:tcW w:w="1134" w:type="dxa"/>
            <w:vAlign w:val="center"/>
          </w:tcPr>
          <w:p>
            <w:pPr>
              <w:pStyle w:val="15"/>
            </w:pPr>
            <w:r>
              <w:t>4.31</w:t>
            </w:r>
          </w:p>
        </w:tc>
        <w:tc>
          <w:tcPr>
            <w:tcW w:w="1134" w:type="dxa"/>
            <w:vAlign w:val="center"/>
          </w:tcPr>
          <w:p>
            <w:pPr>
              <w:pStyle w:val="15"/>
            </w:pPr>
            <w:r>
              <w:t>4.31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560001成安县县直工委本级</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66.67</w:t>
            </w:r>
          </w:p>
        </w:tc>
        <w:tc>
          <w:tcPr>
            <w:tcW w:w="1361" w:type="dxa"/>
            <w:vAlign w:val="center"/>
          </w:tcPr>
          <w:p>
            <w:pPr>
              <w:pStyle w:val="19"/>
            </w:pPr>
            <w:r>
              <w:t>66.67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50.12</w:t>
            </w:r>
          </w:p>
        </w:tc>
        <w:tc>
          <w:tcPr>
            <w:tcW w:w="1361" w:type="dxa"/>
            <w:vAlign w:val="center"/>
          </w:tcPr>
          <w:p>
            <w:pPr>
              <w:pStyle w:val="15"/>
            </w:pPr>
            <w:r>
              <w:t>50.12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20131</w:t>
            </w:r>
          </w:p>
        </w:tc>
        <w:tc>
          <w:tcPr>
            <w:tcW w:w="4535" w:type="dxa"/>
            <w:vAlign w:val="center"/>
          </w:tcPr>
          <w:p>
            <w:pPr>
              <w:pStyle w:val="16"/>
            </w:pPr>
            <w:r>
              <w:t>党委办公厅（室）及相关机构事务</w:t>
            </w:r>
          </w:p>
        </w:tc>
        <w:tc>
          <w:tcPr>
            <w:tcW w:w="1361" w:type="dxa"/>
            <w:vAlign w:val="center"/>
          </w:tcPr>
          <w:p>
            <w:pPr>
              <w:pStyle w:val="15"/>
            </w:pPr>
            <w:r>
              <w:t>50.12</w:t>
            </w:r>
          </w:p>
        </w:tc>
        <w:tc>
          <w:tcPr>
            <w:tcW w:w="1361" w:type="dxa"/>
            <w:vAlign w:val="center"/>
          </w:tcPr>
          <w:p>
            <w:pPr>
              <w:pStyle w:val="15"/>
            </w:pPr>
            <w:r>
              <w:t>50.12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2013101</w:t>
            </w:r>
          </w:p>
        </w:tc>
        <w:tc>
          <w:tcPr>
            <w:tcW w:w="4535" w:type="dxa"/>
            <w:vAlign w:val="center"/>
          </w:tcPr>
          <w:p>
            <w:pPr>
              <w:pStyle w:val="16"/>
            </w:pPr>
            <w:r>
              <w:t>行政运行</w:t>
            </w:r>
          </w:p>
        </w:tc>
        <w:tc>
          <w:tcPr>
            <w:tcW w:w="1361" w:type="dxa"/>
            <w:vAlign w:val="center"/>
          </w:tcPr>
          <w:p>
            <w:pPr>
              <w:pStyle w:val="15"/>
            </w:pPr>
            <w:r>
              <w:t>50.12</w:t>
            </w:r>
          </w:p>
        </w:tc>
        <w:tc>
          <w:tcPr>
            <w:tcW w:w="1361" w:type="dxa"/>
            <w:vAlign w:val="center"/>
          </w:tcPr>
          <w:p>
            <w:pPr>
              <w:pStyle w:val="15"/>
            </w:pPr>
            <w:r>
              <w:t>50.12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9.19</w:t>
            </w:r>
          </w:p>
        </w:tc>
        <w:tc>
          <w:tcPr>
            <w:tcW w:w="1361" w:type="dxa"/>
            <w:vAlign w:val="center"/>
          </w:tcPr>
          <w:p>
            <w:pPr>
              <w:pStyle w:val="15"/>
            </w:pPr>
            <w:r>
              <w:t>9.19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9.19</w:t>
            </w:r>
          </w:p>
        </w:tc>
        <w:tc>
          <w:tcPr>
            <w:tcW w:w="1361" w:type="dxa"/>
            <w:vAlign w:val="center"/>
          </w:tcPr>
          <w:p>
            <w:pPr>
              <w:pStyle w:val="15"/>
            </w:pPr>
            <w:r>
              <w:t>9.19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6.13</w:t>
            </w:r>
          </w:p>
        </w:tc>
        <w:tc>
          <w:tcPr>
            <w:tcW w:w="1361" w:type="dxa"/>
            <w:vAlign w:val="center"/>
          </w:tcPr>
          <w:p>
            <w:pPr>
              <w:pStyle w:val="15"/>
            </w:pPr>
            <w:r>
              <w:t>6.13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3.06</w:t>
            </w:r>
          </w:p>
        </w:tc>
        <w:tc>
          <w:tcPr>
            <w:tcW w:w="1361" w:type="dxa"/>
            <w:vAlign w:val="center"/>
          </w:tcPr>
          <w:p>
            <w:pPr>
              <w:pStyle w:val="15"/>
            </w:pPr>
            <w:r>
              <w:t>3.06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3.05</w:t>
            </w:r>
          </w:p>
        </w:tc>
        <w:tc>
          <w:tcPr>
            <w:tcW w:w="1361" w:type="dxa"/>
            <w:vAlign w:val="center"/>
          </w:tcPr>
          <w:p>
            <w:pPr>
              <w:pStyle w:val="15"/>
            </w:pPr>
            <w:r>
              <w:t>3.05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21012</w:t>
            </w:r>
          </w:p>
        </w:tc>
        <w:tc>
          <w:tcPr>
            <w:tcW w:w="4535" w:type="dxa"/>
            <w:vAlign w:val="center"/>
          </w:tcPr>
          <w:p>
            <w:pPr>
              <w:pStyle w:val="16"/>
            </w:pPr>
            <w:r>
              <w:t>财政对基本医疗保险基金的补助</w:t>
            </w:r>
          </w:p>
        </w:tc>
        <w:tc>
          <w:tcPr>
            <w:tcW w:w="1361" w:type="dxa"/>
            <w:vAlign w:val="center"/>
          </w:tcPr>
          <w:p>
            <w:pPr>
              <w:pStyle w:val="15"/>
            </w:pPr>
            <w:r>
              <w:t>3.05</w:t>
            </w:r>
          </w:p>
        </w:tc>
        <w:tc>
          <w:tcPr>
            <w:tcW w:w="1361" w:type="dxa"/>
            <w:vAlign w:val="center"/>
          </w:tcPr>
          <w:p>
            <w:pPr>
              <w:pStyle w:val="15"/>
            </w:pPr>
            <w:r>
              <w:t>3.05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2101201</w:t>
            </w:r>
          </w:p>
        </w:tc>
        <w:tc>
          <w:tcPr>
            <w:tcW w:w="4535" w:type="dxa"/>
            <w:vAlign w:val="center"/>
          </w:tcPr>
          <w:p>
            <w:pPr>
              <w:pStyle w:val="16"/>
            </w:pPr>
            <w:r>
              <w:t>财政对职工基本医疗保险基金的补助</w:t>
            </w:r>
          </w:p>
        </w:tc>
        <w:tc>
          <w:tcPr>
            <w:tcW w:w="1361" w:type="dxa"/>
            <w:vAlign w:val="center"/>
          </w:tcPr>
          <w:p>
            <w:pPr>
              <w:pStyle w:val="15"/>
            </w:pPr>
            <w:r>
              <w:t>3.05</w:t>
            </w:r>
          </w:p>
        </w:tc>
        <w:tc>
          <w:tcPr>
            <w:tcW w:w="1361" w:type="dxa"/>
            <w:vAlign w:val="center"/>
          </w:tcPr>
          <w:p>
            <w:pPr>
              <w:pStyle w:val="15"/>
            </w:pPr>
            <w:r>
              <w:t>3.05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4.31</w:t>
            </w:r>
          </w:p>
        </w:tc>
        <w:tc>
          <w:tcPr>
            <w:tcW w:w="1361" w:type="dxa"/>
            <w:vAlign w:val="center"/>
          </w:tcPr>
          <w:p>
            <w:pPr>
              <w:pStyle w:val="15"/>
            </w:pPr>
            <w:r>
              <w:t>4.31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4.31</w:t>
            </w:r>
          </w:p>
        </w:tc>
        <w:tc>
          <w:tcPr>
            <w:tcW w:w="1361" w:type="dxa"/>
            <w:vAlign w:val="center"/>
          </w:tcPr>
          <w:p>
            <w:pPr>
              <w:pStyle w:val="15"/>
            </w:pPr>
            <w:r>
              <w:t>4.31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4.31</w:t>
            </w:r>
          </w:p>
        </w:tc>
        <w:tc>
          <w:tcPr>
            <w:tcW w:w="1361" w:type="dxa"/>
            <w:vAlign w:val="center"/>
          </w:tcPr>
          <w:p>
            <w:pPr>
              <w:pStyle w:val="15"/>
            </w:pPr>
            <w:r>
              <w:t>4.31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560001成安县县直工委本级</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66.67</w:t>
            </w:r>
          </w:p>
        </w:tc>
        <w:tc>
          <w:tcPr>
            <w:tcW w:w="3402" w:type="dxa"/>
            <w:vAlign w:val="center"/>
          </w:tcPr>
          <w:p>
            <w:pPr>
              <w:pStyle w:val="16"/>
            </w:pPr>
            <w:r>
              <w:t>一、一般公共服务支出</w:t>
            </w:r>
          </w:p>
        </w:tc>
        <w:tc>
          <w:tcPr>
            <w:tcW w:w="1474" w:type="dxa"/>
            <w:vAlign w:val="center"/>
          </w:tcPr>
          <w:p>
            <w:pPr>
              <w:pStyle w:val="15"/>
            </w:pPr>
            <w:r>
              <w:t>50.12</w:t>
            </w:r>
          </w:p>
        </w:tc>
        <w:tc>
          <w:tcPr>
            <w:tcW w:w="1474" w:type="dxa"/>
            <w:vAlign w:val="center"/>
          </w:tcPr>
          <w:p>
            <w:pPr>
              <w:pStyle w:val="15"/>
            </w:pPr>
            <w:r>
              <w:t>50.12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9.19</w:t>
            </w:r>
          </w:p>
        </w:tc>
        <w:tc>
          <w:tcPr>
            <w:tcW w:w="1474" w:type="dxa"/>
            <w:vAlign w:val="center"/>
          </w:tcPr>
          <w:p>
            <w:pPr>
              <w:pStyle w:val="15"/>
            </w:pPr>
            <w:r>
              <w:t>9.19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3.05</w:t>
            </w:r>
          </w:p>
        </w:tc>
        <w:tc>
          <w:tcPr>
            <w:tcW w:w="1474" w:type="dxa"/>
            <w:vAlign w:val="center"/>
          </w:tcPr>
          <w:p>
            <w:pPr>
              <w:pStyle w:val="15"/>
            </w:pPr>
            <w:r>
              <w:t>3.05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4.31</w:t>
            </w:r>
          </w:p>
        </w:tc>
        <w:tc>
          <w:tcPr>
            <w:tcW w:w="1474" w:type="dxa"/>
            <w:vAlign w:val="center"/>
          </w:tcPr>
          <w:p>
            <w:pPr>
              <w:pStyle w:val="15"/>
            </w:pPr>
            <w:r>
              <w:t>4.31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66.67</w:t>
            </w:r>
          </w:p>
        </w:tc>
        <w:tc>
          <w:tcPr>
            <w:tcW w:w="3402" w:type="dxa"/>
            <w:vAlign w:val="center"/>
          </w:tcPr>
          <w:p>
            <w:pPr>
              <w:pStyle w:val="18"/>
            </w:pPr>
            <w:r>
              <w:t>本年支出合计</w:t>
            </w:r>
          </w:p>
        </w:tc>
        <w:tc>
          <w:tcPr>
            <w:tcW w:w="1474" w:type="dxa"/>
            <w:vAlign w:val="center"/>
          </w:tcPr>
          <w:p>
            <w:pPr>
              <w:pStyle w:val="19"/>
            </w:pPr>
            <w:r>
              <w:t>66.67</w:t>
            </w:r>
          </w:p>
        </w:tc>
        <w:tc>
          <w:tcPr>
            <w:tcW w:w="1474" w:type="dxa"/>
            <w:vAlign w:val="center"/>
          </w:tcPr>
          <w:p>
            <w:pPr>
              <w:pStyle w:val="19"/>
            </w:pPr>
            <w:r>
              <w:t>66.67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66.67</w:t>
            </w:r>
          </w:p>
        </w:tc>
        <w:tc>
          <w:tcPr>
            <w:tcW w:w="3402" w:type="dxa"/>
            <w:vAlign w:val="center"/>
          </w:tcPr>
          <w:p>
            <w:pPr>
              <w:pStyle w:val="18"/>
            </w:pPr>
            <w:r>
              <w:t>支出总计</w:t>
            </w:r>
          </w:p>
        </w:tc>
        <w:tc>
          <w:tcPr>
            <w:tcW w:w="1474" w:type="dxa"/>
            <w:vAlign w:val="center"/>
          </w:tcPr>
          <w:p>
            <w:pPr>
              <w:pStyle w:val="19"/>
            </w:pPr>
            <w:r>
              <w:t>66.67</w:t>
            </w:r>
          </w:p>
        </w:tc>
        <w:tc>
          <w:tcPr>
            <w:tcW w:w="1474" w:type="dxa"/>
            <w:vAlign w:val="center"/>
          </w:tcPr>
          <w:p>
            <w:pPr>
              <w:pStyle w:val="19"/>
            </w:pPr>
            <w:r>
              <w:t>66.67</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560001成安县县直工委本级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66.67</w:t>
            </w:r>
          </w:p>
        </w:tc>
        <w:tc>
          <w:tcPr>
            <w:tcW w:w="2551" w:type="dxa"/>
            <w:vAlign w:val="center"/>
          </w:tcPr>
          <w:p>
            <w:pPr>
              <w:pStyle w:val="19"/>
            </w:pPr>
            <w:r>
              <w:t>66.67</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50.12</w:t>
            </w:r>
          </w:p>
        </w:tc>
        <w:tc>
          <w:tcPr>
            <w:tcW w:w="2551" w:type="dxa"/>
            <w:vAlign w:val="center"/>
          </w:tcPr>
          <w:p>
            <w:pPr>
              <w:pStyle w:val="15"/>
            </w:pPr>
            <w:r>
              <w:t>50.12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20131</w:t>
            </w:r>
          </w:p>
        </w:tc>
        <w:tc>
          <w:tcPr>
            <w:tcW w:w="4535" w:type="dxa"/>
            <w:vAlign w:val="center"/>
          </w:tcPr>
          <w:p>
            <w:pPr>
              <w:pStyle w:val="16"/>
            </w:pPr>
            <w:r>
              <w:t>党委办公厅（室）及相关机构事务</w:t>
            </w:r>
          </w:p>
        </w:tc>
        <w:tc>
          <w:tcPr>
            <w:tcW w:w="2551" w:type="dxa"/>
            <w:vAlign w:val="center"/>
          </w:tcPr>
          <w:p>
            <w:pPr>
              <w:pStyle w:val="15"/>
            </w:pPr>
            <w:r>
              <w:t>50.12</w:t>
            </w:r>
          </w:p>
        </w:tc>
        <w:tc>
          <w:tcPr>
            <w:tcW w:w="2551" w:type="dxa"/>
            <w:vAlign w:val="center"/>
          </w:tcPr>
          <w:p>
            <w:pPr>
              <w:pStyle w:val="15"/>
            </w:pPr>
            <w:r>
              <w:t>50.12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2013101</w:t>
            </w:r>
          </w:p>
        </w:tc>
        <w:tc>
          <w:tcPr>
            <w:tcW w:w="4535" w:type="dxa"/>
            <w:vAlign w:val="center"/>
          </w:tcPr>
          <w:p>
            <w:pPr>
              <w:pStyle w:val="16"/>
            </w:pPr>
            <w:r>
              <w:t>行政运行</w:t>
            </w:r>
          </w:p>
        </w:tc>
        <w:tc>
          <w:tcPr>
            <w:tcW w:w="2551" w:type="dxa"/>
            <w:vAlign w:val="center"/>
          </w:tcPr>
          <w:p>
            <w:pPr>
              <w:pStyle w:val="15"/>
            </w:pPr>
            <w:r>
              <w:t>50.12</w:t>
            </w:r>
          </w:p>
        </w:tc>
        <w:tc>
          <w:tcPr>
            <w:tcW w:w="2551" w:type="dxa"/>
            <w:vAlign w:val="center"/>
          </w:tcPr>
          <w:p>
            <w:pPr>
              <w:pStyle w:val="15"/>
            </w:pPr>
            <w:r>
              <w:t>50.12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9.19</w:t>
            </w:r>
          </w:p>
        </w:tc>
        <w:tc>
          <w:tcPr>
            <w:tcW w:w="2551" w:type="dxa"/>
            <w:vAlign w:val="center"/>
          </w:tcPr>
          <w:p>
            <w:pPr>
              <w:pStyle w:val="15"/>
            </w:pPr>
            <w:r>
              <w:t>9.19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9.19</w:t>
            </w:r>
          </w:p>
        </w:tc>
        <w:tc>
          <w:tcPr>
            <w:tcW w:w="2551" w:type="dxa"/>
            <w:vAlign w:val="center"/>
          </w:tcPr>
          <w:p>
            <w:pPr>
              <w:pStyle w:val="15"/>
            </w:pPr>
            <w:r>
              <w:t>9.19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6.13</w:t>
            </w:r>
          </w:p>
        </w:tc>
        <w:tc>
          <w:tcPr>
            <w:tcW w:w="2551" w:type="dxa"/>
            <w:vAlign w:val="center"/>
          </w:tcPr>
          <w:p>
            <w:pPr>
              <w:pStyle w:val="15"/>
            </w:pPr>
            <w:r>
              <w:t>6.13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3.06</w:t>
            </w:r>
          </w:p>
        </w:tc>
        <w:tc>
          <w:tcPr>
            <w:tcW w:w="2551" w:type="dxa"/>
            <w:vAlign w:val="center"/>
          </w:tcPr>
          <w:p>
            <w:pPr>
              <w:pStyle w:val="15"/>
            </w:pPr>
            <w:r>
              <w:t>3.06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3.05</w:t>
            </w:r>
          </w:p>
        </w:tc>
        <w:tc>
          <w:tcPr>
            <w:tcW w:w="2551" w:type="dxa"/>
            <w:vAlign w:val="center"/>
          </w:tcPr>
          <w:p>
            <w:pPr>
              <w:pStyle w:val="15"/>
            </w:pPr>
            <w:r>
              <w:t>3.05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21012</w:t>
            </w:r>
          </w:p>
        </w:tc>
        <w:tc>
          <w:tcPr>
            <w:tcW w:w="4535" w:type="dxa"/>
            <w:vAlign w:val="center"/>
          </w:tcPr>
          <w:p>
            <w:pPr>
              <w:pStyle w:val="16"/>
            </w:pPr>
            <w:r>
              <w:t>财政对基本医疗保险基金的补助</w:t>
            </w:r>
          </w:p>
        </w:tc>
        <w:tc>
          <w:tcPr>
            <w:tcW w:w="2551" w:type="dxa"/>
            <w:vAlign w:val="center"/>
          </w:tcPr>
          <w:p>
            <w:pPr>
              <w:pStyle w:val="15"/>
            </w:pPr>
            <w:r>
              <w:t>3.05</w:t>
            </w:r>
          </w:p>
        </w:tc>
        <w:tc>
          <w:tcPr>
            <w:tcW w:w="2551" w:type="dxa"/>
            <w:vAlign w:val="center"/>
          </w:tcPr>
          <w:p>
            <w:pPr>
              <w:pStyle w:val="15"/>
            </w:pPr>
            <w:r>
              <w:t>3.05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2101201</w:t>
            </w:r>
          </w:p>
        </w:tc>
        <w:tc>
          <w:tcPr>
            <w:tcW w:w="4535" w:type="dxa"/>
            <w:vAlign w:val="center"/>
          </w:tcPr>
          <w:p>
            <w:pPr>
              <w:pStyle w:val="16"/>
            </w:pPr>
            <w:r>
              <w:t>财政对职工基本医疗保险基金的补助</w:t>
            </w:r>
          </w:p>
        </w:tc>
        <w:tc>
          <w:tcPr>
            <w:tcW w:w="2551" w:type="dxa"/>
            <w:vAlign w:val="center"/>
          </w:tcPr>
          <w:p>
            <w:pPr>
              <w:pStyle w:val="15"/>
            </w:pPr>
            <w:r>
              <w:t>3.05</w:t>
            </w:r>
          </w:p>
        </w:tc>
        <w:tc>
          <w:tcPr>
            <w:tcW w:w="2551" w:type="dxa"/>
            <w:vAlign w:val="center"/>
          </w:tcPr>
          <w:p>
            <w:pPr>
              <w:pStyle w:val="15"/>
            </w:pPr>
            <w:r>
              <w:t>3.05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4.31</w:t>
            </w:r>
          </w:p>
        </w:tc>
        <w:tc>
          <w:tcPr>
            <w:tcW w:w="2551" w:type="dxa"/>
            <w:vAlign w:val="center"/>
          </w:tcPr>
          <w:p>
            <w:pPr>
              <w:pStyle w:val="15"/>
            </w:pPr>
            <w:r>
              <w:t>4.31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4.31</w:t>
            </w:r>
          </w:p>
        </w:tc>
        <w:tc>
          <w:tcPr>
            <w:tcW w:w="2551" w:type="dxa"/>
            <w:vAlign w:val="center"/>
          </w:tcPr>
          <w:p>
            <w:pPr>
              <w:pStyle w:val="15"/>
            </w:pPr>
            <w:r>
              <w:t>4.31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4.31</w:t>
            </w:r>
          </w:p>
        </w:tc>
        <w:tc>
          <w:tcPr>
            <w:tcW w:w="2551" w:type="dxa"/>
            <w:vAlign w:val="center"/>
          </w:tcPr>
          <w:p>
            <w:pPr>
              <w:pStyle w:val="15"/>
            </w:pPr>
            <w:r>
              <w:t>4.31</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560001成安县县直工委本级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66.67</w:t>
            </w:r>
          </w:p>
        </w:tc>
        <w:tc>
          <w:tcPr>
            <w:tcW w:w="2551" w:type="dxa"/>
            <w:vAlign w:val="center"/>
          </w:tcPr>
          <w:p>
            <w:pPr>
              <w:pStyle w:val="19"/>
            </w:pPr>
            <w:r>
              <w:t>58.73</w:t>
            </w:r>
          </w:p>
        </w:tc>
        <w:tc>
          <w:tcPr>
            <w:tcW w:w="2551" w:type="dxa"/>
            <w:vAlign w:val="center"/>
          </w:tcPr>
          <w:p>
            <w:pPr>
              <w:pStyle w:val="19"/>
            </w:pPr>
            <w:r>
              <w:t>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58.73</w:t>
            </w:r>
          </w:p>
        </w:tc>
        <w:tc>
          <w:tcPr>
            <w:tcW w:w="2551" w:type="dxa"/>
            <w:vAlign w:val="center"/>
          </w:tcPr>
          <w:p>
            <w:pPr>
              <w:pStyle w:val="15"/>
            </w:pPr>
            <w:r>
              <w:t>58.73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36.08</w:t>
            </w:r>
          </w:p>
        </w:tc>
        <w:tc>
          <w:tcPr>
            <w:tcW w:w="2551" w:type="dxa"/>
            <w:vAlign w:val="center"/>
          </w:tcPr>
          <w:p>
            <w:pPr>
              <w:pStyle w:val="15"/>
            </w:pPr>
            <w:r>
              <w:t>36.08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3.09</w:t>
            </w:r>
          </w:p>
        </w:tc>
        <w:tc>
          <w:tcPr>
            <w:tcW w:w="2551" w:type="dxa"/>
            <w:vAlign w:val="center"/>
          </w:tcPr>
          <w:p>
            <w:pPr>
              <w:pStyle w:val="15"/>
            </w:pPr>
            <w:r>
              <w:t>3.09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1.72</w:t>
            </w:r>
          </w:p>
        </w:tc>
        <w:tc>
          <w:tcPr>
            <w:tcW w:w="2551" w:type="dxa"/>
            <w:vAlign w:val="center"/>
          </w:tcPr>
          <w:p>
            <w:pPr>
              <w:pStyle w:val="15"/>
            </w:pPr>
            <w:r>
              <w:t>1.72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1.10</w:t>
            </w:r>
          </w:p>
        </w:tc>
        <w:tc>
          <w:tcPr>
            <w:tcW w:w="2551" w:type="dxa"/>
            <w:vAlign w:val="center"/>
          </w:tcPr>
          <w:p>
            <w:pPr>
              <w:pStyle w:val="15"/>
            </w:pPr>
            <w:r>
              <w:t>1.10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6.13</w:t>
            </w:r>
          </w:p>
        </w:tc>
        <w:tc>
          <w:tcPr>
            <w:tcW w:w="2551" w:type="dxa"/>
            <w:vAlign w:val="center"/>
          </w:tcPr>
          <w:p>
            <w:pPr>
              <w:pStyle w:val="15"/>
            </w:pPr>
            <w:r>
              <w:t>6.13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3.06</w:t>
            </w:r>
          </w:p>
        </w:tc>
        <w:tc>
          <w:tcPr>
            <w:tcW w:w="2551" w:type="dxa"/>
            <w:vAlign w:val="center"/>
          </w:tcPr>
          <w:p>
            <w:pPr>
              <w:pStyle w:val="15"/>
            </w:pPr>
            <w:r>
              <w:t>3.06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pPr>
            <w:r>
              <w:t>3.05</w:t>
            </w:r>
          </w:p>
        </w:tc>
        <w:tc>
          <w:tcPr>
            <w:tcW w:w="2551" w:type="dxa"/>
            <w:vAlign w:val="center"/>
          </w:tcPr>
          <w:p>
            <w:pPr>
              <w:pStyle w:val="15"/>
            </w:pPr>
            <w:r>
              <w:t>3.05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0.19</w:t>
            </w:r>
          </w:p>
        </w:tc>
        <w:tc>
          <w:tcPr>
            <w:tcW w:w="2551" w:type="dxa"/>
            <w:vAlign w:val="center"/>
          </w:tcPr>
          <w:p>
            <w:pPr>
              <w:pStyle w:val="15"/>
            </w:pPr>
            <w:r>
              <w:t>0.19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4.31</w:t>
            </w:r>
          </w:p>
        </w:tc>
        <w:tc>
          <w:tcPr>
            <w:tcW w:w="2551" w:type="dxa"/>
            <w:vAlign w:val="center"/>
          </w:tcPr>
          <w:p>
            <w:pPr>
              <w:pStyle w:val="15"/>
            </w:pPr>
            <w:r>
              <w:t>4.31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7.94</w:t>
            </w:r>
          </w:p>
        </w:tc>
        <w:tc>
          <w:tcPr>
            <w:tcW w:w="2551" w:type="dxa"/>
            <w:vAlign w:val="center"/>
          </w:tcPr>
          <w:p>
            <w:pPr>
              <w:pStyle w:val="15"/>
            </w:pPr>
          </w:p>
        </w:tc>
        <w:tc>
          <w:tcPr>
            <w:tcW w:w="2551" w:type="dxa"/>
            <w:vAlign w:val="center"/>
          </w:tcPr>
          <w:p>
            <w:pPr>
              <w:pStyle w:val="15"/>
            </w:pPr>
            <w:r>
              <w:t>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4.00</w:t>
            </w:r>
          </w:p>
        </w:tc>
        <w:tc>
          <w:tcPr>
            <w:tcW w:w="2551" w:type="dxa"/>
            <w:vAlign w:val="center"/>
          </w:tcPr>
          <w:p>
            <w:pPr>
              <w:pStyle w:val="15"/>
            </w:pPr>
          </w:p>
        </w:tc>
        <w:tc>
          <w:tcPr>
            <w:tcW w:w="2551"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2.94</w:t>
            </w:r>
          </w:p>
        </w:tc>
        <w:tc>
          <w:tcPr>
            <w:tcW w:w="2551" w:type="dxa"/>
            <w:vAlign w:val="center"/>
          </w:tcPr>
          <w:p>
            <w:pPr>
              <w:pStyle w:val="15"/>
            </w:pPr>
          </w:p>
        </w:tc>
        <w:tc>
          <w:tcPr>
            <w:tcW w:w="2551" w:type="dxa"/>
            <w:vAlign w:val="center"/>
          </w:tcPr>
          <w:p>
            <w:pPr>
              <w:pStyle w:val="15"/>
            </w:pPr>
            <w:r>
              <w:t>2.94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560001成安县县直工委本级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560001成安县县直工委本级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560001成安县县直工委本级</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1.00</w:t>
            </w:r>
          </w:p>
        </w:tc>
        <w:tc>
          <w:tcPr>
            <w:tcW w:w="2381" w:type="dxa"/>
            <w:vAlign w:val="center"/>
          </w:tcPr>
          <w:p>
            <w:pPr>
              <w:pStyle w:val="19"/>
            </w:pPr>
            <w:r>
              <w:t>1.00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成安县县直工委本级2022年单位预算信息公开情况说明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、《地方预决算公开操作规程》和《关于进一步推进预算公开工作的实施意见》规定，现将成安县县直工委本级2022年单位预算公开如下：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hint="eastAsia" w:cs="方正楷体_GBK" w:asciiTheme="minorEastAsia" w:hAnsiTheme="minorEastAsia" w:eastAsiaTheme="minorEastAsia"/>
          <w:b/>
          <w:color w:val="000000"/>
          <w:sz w:val="32"/>
          <w:lang w:eastAsia="zh-CN"/>
        </w:rPr>
        <w:t>1、单位</w:t>
      </w:r>
      <w:r>
        <w:rPr>
          <w:rFonts w:ascii="方正楷体_GBK" w:hAnsi="方正楷体_GBK" w:eastAsia="方正楷体_GBK" w:cs="方正楷体_GBK"/>
          <w:b/>
          <w:color w:val="000000"/>
          <w:sz w:val="32"/>
        </w:rPr>
        <w:t>职责：</w:t>
      </w:r>
    </w:p>
    <w:p>
      <w:pPr>
        <w:spacing w:line="360" w:lineRule="auto"/>
        <w:ind w:firstLine="320" w:firstLineChars="100"/>
        <w:rPr>
          <w:rFonts w:ascii="仿宋" w:hAnsi="仿宋" w:eastAsia="仿宋" w:cs="宋体"/>
          <w:sz w:val="32"/>
          <w:szCs w:val="32"/>
        </w:rPr>
      </w:pPr>
      <w:bookmarkStart w:id="1" w:name="_GoBack"/>
      <w:r>
        <w:rPr>
          <w:rFonts w:hint="eastAsia" w:ascii="仿宋" w:hAnsi="仿宋" w:eastAsia="仿宋" w:cs="宋体"/>
          <w:sz w:val="32"/>
          <w:szCs w:val="32"/>
        </w:rPr>
        <w:t>（1）规划县直机关党的建设，分类指导县直各部门机关、事业单位党的建设工作；</w:t>
      </w:r>
    </w:p>
    <w:bookmarkEnd w:id="1"/>
    <w:p>
      <w:pPr>
        <w:spacing w:line="360" w:lineRule="auto"/>
        <w:ind w:firstLine="320" w:firstLineChars="100"/>
        <w:rPr>
          <w:rFonts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2</w:t>
      </w:r>
      <w:r>
        <w:rPr>
          <w:rFonts w:ascii="仿宋" w:hAnsi="仿宋" w:eastAsia="仿宋" w:cs="宋体"/>
          <w:sz w:val="32"/>
          <w:szCs w:val="32"/>
        </w:rPr>
        <w:t>）</w:t>
      </w:r>
      <w:r>
        <w:rPr>
          <w:rFonts w:hint="eastAsia" w:ascii="仿宋" w:hAnsi="仿宋" w:eastAsia="仿宋" w:cs="宋体"/>
          <w:sz w:val="32"/>
          <w:szCs w:val="32"/>
        </w:rPr>
        <w:t>领导县直机关各级党组织，抓好党的思想、组织、作风建设和党员的教育管理工作；</w:t>
      </w:r>
    </w:p>
    <w:p>
      <w:pPr>
        <w:spacing w:line="360" w:lineRule="auto"/>
        <w:ind w:firstLine="320" w:firstLineChars="100"/>
        <w:rPr>
          <w:rFonts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3</w:t>
      </w:r>
      <w:r>
        <w:rPr>
          <w:rFonts w:ascii="仿宋" w:hAnsi="仿宋" w:eastAsia="仿宋" w:cs="宋体"/>
          <w:sz w:val="32"/>
          <w:szCs w:val="32"/>
        </w:rPr>
        <w:t>）</w:t>
      </w:r>
      <w:r>
        <w:rPr>
          <w:rFonts w:hint="eastAsia" w:ascii="仿宋" w:hAnsi="仿宋" w:eastAsia="仿宋" w:cs="宋体"/>
          <w:sz w:val="32"/>
          <w:szCs w:val="32"/>
        </w:rPr>
        <w:t>指导县直机关党组织实施对党员特别是党员领导干部的监督和配合行政领导做好思想政治工作；</w:t>
      </w:r>
    </w:p>
    <w:p>
      <w:pPr>
        <w:spacing w:line="360" w:lineRule="auto"/>
        <w:ind w:firstLine="320" w:firstLineChars="100"/>
        <w:rPr>
          <w:rFonts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4</w:t>
      </w:r>
      <w:r>
        <w:rPr>
          <w:rFonts w:ascii="仿宋" w:hAnsi="仿宋" w:eastAsia="仿宋" w:cs="宋体"/>
          <w:sz w:val="32"/>
          <w:szCs w:val="32"/>
        </w:rPr>
        <w:t>）</w:t>
      </w:r>
      <w:r>
        <w:rPr>
          <w:rFonts w:hint="eastAsia" w:ascii="仿宋" w:hAnsi="仿宋" w:eastAsia="仿宋" w:cs="宋体"/>
          <w:sz w:val="32"/>
          <w:szCs w:val="32"/>
        </w:rPr>
        <w:t>负责县直机关局级单位党委、总支、支部委员和股级以下支部书记、副书记、委员的审批工作；</w:t>
      </w:r>
    </w:p>
    <w:p>
      <w:pPr>
        <w:spacing w:line="360" w:lineRule="auto"/>
        <w:ind w:firstLine="320" w:firstLineChars="100"/>
        <w:rPr>
          <w:rFonts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5</w:t>
      </w:r>
      <w:r>
        <w:rPr>
          <w:rFonts w:ascii="仿宋" w:hAnsi="仿宋" w:eastAsia="仿宋" w:cs="宋体"/>
          <w:sz w:val="32"/>
          <w:szCs w:val="32"/>
        </w:rPr>
        <w:t>）</w:t>
      </w:r>
      <w:r>
        <w:rPr>
          <w:rFonts w:hint="eastAsia" w:ascii="仿宋" w:hAnsi="仿宋" w:eastAsia="仿宋" w:cs="宋体"/>
          <w:sz w:val="32"/>
          <w:szCs w:val="32"/>
        </w:rPr>
        <w:t>负责县直机关党费收缴和入党积极分子、党员发展对象的培训、考察、审批工作；</w:t>
      </w:r>
    </w:p>
    <w:p>
      <w:pPr>
        <w:spacing w:line="360" w:lineRule="auto"/>
        <w:ind w:firstLine="320" w:firstLineChars="100"/>
        <w:rPr>
          <w:rFonts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6</w:t>
      </w:r>
      <w:r>
        <w:rPr>
          <w:rFonts w:ascii="仿宋" w:hAnsi="仿宋" w:eastAsia="仿宋" w:cs="宋体"/>
          <w:sz w:val="32"/>
          <w:szCs w:val="32"/>
        </w:rPr>
        <w:t>）</w:t>
      </w:r>
      <w:r>
        <w:rPr>
          <w:rFonts w:hint="eastAsia" w:ascii="仿宋" w:hAnsi="仿宋" w:eastAsia="仿宋" w:cs="宋体"/>
          <w:sz w:val="32"/>
          <w:szCs w:val="32"/>
        </w:rPr>
        <w:t>领导县直武装工作；</w:t>
      </w:r>
    </w:p>
    <w:p>
      <w:pPr>
        <w:spacing w:line="360" w:lineRule="auto"/>
        <w:ind w:firstLine="320" w:firstLineChars="100"/>
        <w:rPr>
          <w:rFonts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7</w:t>
      </w:r>
      <w:r>
        <w:rPr>
          <w:rFonts w:ascii="仿宋" w:hAnsi="仿宋" w:eastAsia="仿宋" w:cs="宋体"/>
          <w:sz w:val="32"/>
          <w:szCs w:val="32"/>
        </w:rPr>
        <w:t>）</w:t>
      </w:r>
      <w:r>
        <w:rPr>
          <w:rFonts w:hint="eastAsia" w:ascii="仿宋" w:hAnsi="仿宋" w:eastAsia="仿宋" w:cs="宋体"/>
          <w:sz w:val="32"/>
          <w:szCs w:val="32"/>
        </w:rPr>
        <w:t>负责县直民兵、预备役工作的领导和完成征兵、集训、整组、抢险等工作；</w:t>
      </w:r>
    </w:p>
    <w:p>
      <w:pPr>
        <w:spacing w:line="360" w:lineRule="auto"/>
        <w:ind w:firstLine="320" w:firstLineChars="100"/>
        <w:rPr>
          <w:rFonts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8</w:t>
      </w:r>
      <w:r>
        <w:rPr>
          <w:rFonts w:ascii="仿宋" w:hAnsi="仿宋" w:eastAsia="仿宋" w:cs="宋体"/>
          <w:sz w:val="32"/>
          <w:szCs w:val="32"/>
        </w:rPr>
        <w:t>）</w:t>
      </w:r>
      <w:r>
        <w:rPr>
          <w:rFonts w:hint="eastAsia" w:ascii="仿宋" w:hAnsi="仿宋" w:eastAsia="仿宋" w:cs="宋体"/>
          <w:sz w:val="32"/>
          <w:szCs w:val="32"/>
        </w:rPr>
        <w:t>完成县委交办的各项工作任务。</w:t>
      </w:r>
    </w:p>
    <w:p>
      <w:pPr>
        <w:ind w:firstLine="643" w:firstLineChars="200"/>
        <w:rPr>
          <w:rFonts w:ascii="楷体" w:hAnsi="楷体" w:eastAsia="楷体" w:cs="仿宋"/>
          <w:b/>
          <w:sz w:val="32"/>
          <w:szCs w:val="32"/>
        </w:rPr>
      </w:pPr>
      <w:r>
        <w:rPr>
          <w:rFonts w:hint="eastAsia" w:ascii="楷体" w:hAnsi="楷体" w:eastAsia="楷体" w:cs="仿宋"/>
          <w:b/>
          <w:sz w:val="32"/>
          <w:szCs w:val="32"/>
        </w:rPr>
        <w:t>2、内设机构:根据上述职责，成安县直工委内设1个职能科室，为办公室，主要职责是：</w:t>
      </w:r>
    </w:p>
    <w:p>
      <w:pPr>
        <w:widowControl w:val="0"/>
        <w:numPr>
          <w:ilvl w:val="0"/>
          <w:numId w:val="1"/>
        </w:numPr>
        <w:jc w:val="both"/>
        <w:rPr>
          <w:rFonts w:ascii="仿宋" w:hAnsi="仿宋" w:eastAsia="仿宋" w:cs="仿宋"/>
          <w:sz w:val="32"/>
          <w:szCs w:val="32"/>
        </w:rPr>
      </w:pPr>
      <w:r>
        <w:rPr>
          <w:rFonts w:hint="eastAsia" w:ascii="仿宋" w:hAnsi="仿宋" w:eastAsia="仿宋" w:cs="仿宋"/>
          <w:sz w:val="32"/>
          <w:szCs w:val="32"/>
        </w:rPr>
        <w:t>负责综合反映县直机关党的工作情况及贯彻落实县委重要会议、重大方针政策情况；</w:t>
      </w:r>
    </w:p>
    <w:p>
      <w:pPr>
        <w:widowControl w:val="0"/>
        <w:numPr>
          <w:ilvl w:val="0"/>
          <w:numId w:val="1"/>
        </w:numPr>
        <w:jc w:val="both"/>
        <w:rPr>
          <w:rFonts w:ascii="仿宋" w:hAnsi="仿宋" w:eastAsia="仿宋" w:cs="仿宋"/>
          <w:sz w:val="32"/>
          <w:szCs w:val="32"/>
        </w:rPr>
      </w:pPr>
      <w:r>
        <w:rPr>
          <w:rFonts w:hint="eastAsia" w:ascii="仿宋" w:hAnsi="仿宋" w:eastAsia="仿宋" w:cs="仿宋"/>
          <w:sz w:val="32"/>
          <w:szCs w:val="32"/>
        </w:rPr>
        <w:t>负责负责会议组织，接待工作；</w:t>
      </w:r>
    </w:p>
    <w:p>
      <w:pPr>
        <w:widowControl w:val="0"/>
        <w:numPr>
          <w:ilvl w:val="0"/>
          <w:numId w:val="1"/>
        </w:numPr>
        <w:jc w:val="both"/>
        <w:rPr>
          <w:rFonts w:ascii="仿宋" w:hAnsi="仿宋" w:eastAsia="仿宋" w:cs="仿宋"/>
          <w:sz w:val="32"/>
          <w:szCs w:val="32"/>
        </w:rPr>
      </w:pPr>
      <w:r>
        <w:rPr>
          <w:rFonts w:hint="eastAsia" w:ascii="仿宋" w:hAnsi="仿宋" w:eastAsia="仿宋" w:cs="仿宋"/>
          <w:sz w:val="32"/>
          <w:szCs w:val="32"/>
        </w:rPr>
        <w:t>负责负责文件材料和文印工作；</w:t>
      </w:r>
    </w:p>
    <w:p>
      <w:pPr>
        <w:widowControl w:val="0"/>
        <w:numPr>
          <w:ilvl w:val="0"/>
          <w:numId w:val="1"/>
        </w:numPr>
        <w:jc w:val="both"/>
        <w:rPr>
          <w:rFonts w:ascii="仿宋" w:hAnsi="仿宋" w:eastAsia="仿宋" w:cs="仿宋"/>
          <w:sz w:val="32"/>
          <w:szCs w:val="32"/>
        </w:rPr>
      </w:pPr>
      <w:r>
        <w:rPr>
          <w:rFonts w:hint="eastAsia" w:ascii="仿宋" w:hAnsi="仿宋" w:eastAsia="仿宋" w:cs="仿宋"/>
          <w:sz w:val="32"/>
          <w:szCs w:val="32"/>
        </w:rPr>
        <w:t>负责党员发展，党费收缴，党员培训工作；</w:t>
      </w:r>
    </w:p>
    <w:p>
      <w:pPr>
        <w:widowControl w:val="0"/>
        <w:numPr>
          <w:ilvl w:val="0"/>
          <w:numId w:val="1"/>
        </w:numPr>
        <w:jc w:val="both"/>
        <w:rPr>
          <w:rFonts w:ascii="仿宋" w:hAnsi="仿宋" w:eastAsia="仿宋" w:cs="仿宋"/>
          <w:sz w:val="32"/>
          <w:szCs w:val="32"/>
        </w:rPr>
      </w:pPr>
      <w:r>
        <w:rPr>
          <w:rFonts w:hint="eastAsia" w:ascii="仿宋" w:hAnsi="仿宋" w:eastAsia="仿宋" w:cs="仿宋"/>
          <w:sz w:val="32"/>
          <w:szCs w:val="32"/>
        </w:rPr>
        <w:t>负责内部综合、协调工作等。</w:t>
      </w:r>
    </w:p>
    <w:p>
      <w:pPr>
        <w:ind w:firstLine="643" w:firstLineChars="200"/>
        <w:rPr>
          <w:rFonts w:ascii="楷体" w:hAnsi="楷体" w:eastAsia="楷体" w:cs="仿宋"/>
          <w:b/>
          <w:sz w:val="32"/>
          <w:szCs w:val="32"/>
        </w:rPr>
      </w:pPr>
      <w:r>
        <w:rPr>
          <w:rFonts w:hint="eastAsia" w:ascii="楷体" w:hAnsi="楷体" w:eastAsia="楷体" w:cs="仿宋"/>
          <w:b/>
          <w:sz w:val="32"/>
          <w:szCs w:val="32"/>
        </w:rPr>
        <w:t>3、人员编制和领导职数</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成安县直工委行政编制7人，科级领导职数1人，股级职数2人。</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成安县县直工委本级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pPr>
      <w:r>
        <w:rPr>
          <w:rFonts w:ascii="黑体" w:hAnsi="黑体" w:eastAsia="黑体" w:cs="黑体"/>
          <w:color w:val="000000"/>
          <w:sz w:val="32"/>
        </w:rPr>
        <w:t>二、部门预算安排的总体情况</w:t>
      </w:r>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按照预算管理有关规定，目前我省部门预算的编制实行综合预算管理，即全部收入和支出都反映在预算中。成安县县直工委机关及所属事业单位的收支包含在部门预算中。</w:t>
      </w:r>
    </w:p>
    <w:p>
      <w:pPr>
        <w:spacing w:line="360" w:lineRule="auto"/>
        <w:ind w:firstLine="630" w:firstLineChars="196"/>
        <w:rPr>
          <w:rFonts w:ascii="楷体" w:hAnsi="楷体" w:eastAsia="楷体" w:cs="仿宋_GB2312"/>
          <w:b/>
          <w:sz w:val="32"/>
          <w:szCs w:val="32"/>
        </w:rPr>
      </w:pPr>
      <w:r>
        <w:rPr>
          <w:rFonts w:hint="eastAsia" w:ascii="楷体" w:hAnsi="楷体" w:eastAsia="楷体" w:cs="仿宋_GB2312"/>
          <w:b/>
          <w:sz w:val="32"/>
          <w:szCs w:val="32"/>
        </w:rPr>
        <w:t>1、收入说明</w:t>
      </w:r>
    </w:p>
    <w:p>
      <w:pPr>
        <w:spacing w:line="560" w:lineRule="exact"/>
        <w:ind w:firstLine="640"/>
        <w:rPr>
          <w:rFonts w:ascii="仿宋" w:hAnsi="仿宋" w:eastAsia="仿宋"/>
          <w:sz w:val="32"/>
          <w:szCs w:val="32"/>
        </w:rPr>
      </w:pPr>
      <w:r>
        <w:rPr>
          <w:rFonts w:hint="eastAsia" w:ascii="仿宋" w:hAnsi="仿宋" w:eastAsia="仿宋" w:cs="仿宋"/>
          <w:sz w:val="32"/>
          <w:szCs w:val="32"/>
        </w:rPr>
        <w:t>2022年预算收入</w:t>
      </w:r>
      <w:r>
        <w:rPr>
          <w:rFonts w:ascii="仿宋" w:hAnsi="仿宋" w:eastAsia="仿宋" w:cs="仿宋"/>
          <w:sz w:val="32"/>
          <w:szCs w:val="32"/>
        </w:rPr>
        <w:t>66.67</w:t>
      </w:r>
      <w:r>
        <w:rPr>
          <w:rFonts w:hint="eastAsia" w:ascii="仿宋" w:hAnsi="仿宋" w:eastAsia="仿宋" w:cs="仿宋"/>
          <w:sz w:val="32"/>
          <w:szCs w:val="32"/>
        </w:rPr>
        <w:t>万元，其中：一般公共预算收入</w:t>
      </w:r>
      <w:r>
        <w:rPr>
          <w:rFonts w:ascii="仿宋" w:hAnsi="仿宋" w:eastAsia="仿宋" w:cs="仿宋"/>
          <w:sz w:val="32"/>
          <w:szCs w:val="32"/>
        </w:rPr>
        <w:t>66.67</w:t>
      </w:r>
      <w:r>
        <w:rPr>
          <w:rFonts w:hint="eastAsia" w:ascii="仿宋" w:hAnsi="仿宋" w:eastAsia="仿宋" w:cs="仿宋"/>
          <w:sz w:val="32"/>
          <w:szCs w:val="32"/>
        </w:rPr>
        <w:t>万元。</w:t>
      </w:r>
      <w:r>
        <w:rPr>
          <w:rFonts w:hint="eastAsia" w:ascii="仿宋" w:hAnsi="仿宋" w:eastAsia="仿宋"/>
          <w:sz w:val="32"/>
          <w:szCs w:val="32"/>
        </w:rPr>
        <w:t>政府性基金收入0万元，国有资本经营收入0万元，事业收入0万元，其他收入0万元。</w:t>
      </w:r>
    </w:p>
    <w:p>
      <w:pPr>
        <w:spacing w:line="560" w:lineRule="exact"/>
        <w:ind w:firstLine="640"/>
        <w:rPr>
          <w:rFonts w:ascii="楷体" w:hAnsi="楷体" w:eastAsia="楷体"/>
          <w:b/>
          <w:sz w:val="32"/>
          <w:szCs w:val="32"/>
        </w:rPr>
      </w:pPr>
      <w:r>
        <w:rPr>
          <w:rFonts w:hint="eastAsia" w:ascii="楷体" w:hAnsi="楷体" w:eastAsia="楷体"/>
          <w:b/>
          <w:sz w:val="32"/>
          <w:szCs w:val="32"/>
        </w:rPr>
        <w:t>2、支出说明</w:t>
      </w:r>
    </w:p>
    <w:p>
      <w:pPr>
        <w:spacing w:line="560" w:lineRule="exact"/>
        <w:ind w:firstLine="640"/>
        <w:rPr>
          <w:rFonts w:ascii="宋体" w:hAnsi="宋体" w:cs="方正仿宋_GBK"/>
          <w:sz w:val="32"/>
          <w:szCs w:val="32"/>
        </w:rPr>
      </w:pPr>
      <w:r>
        <w:rPr>
          <w:rFonts w:hint="eastAsia" w:ascii="仿宋" w:hAnsi="仿宋" w:eastAsia="仿宋" w:cs="仿宋"/>
          <w:sz w:val="32"/>
          <w:szCs w:val="32"/>
        </w:rPr>
        <w:t>2022年支出预算</w:t>
      </w:r>
      <w:r>
        <w:rPr>
          <w:rFonts w:ascii="仿宋" w:hAnsi="仿宋" w:eastAsia="仿宋" w:cs="仿宋"/>
          <w:sz w:val="32"/>
          <w:szCs w:val="32"/>
        </w:rPr>
        <w:t>66.67</w:t>
      </w:r>
      <w:r>
        <w:rPr>
          <w:rFonts w:hint="eastAsia" w:ascii="仿宋" w:hAnsi="仿宋" w:eastAsia="仿宋" w:cs="仿宋"/>
          <w:sz w:val="32"/>
          <w:szCs w:val="32"/>
        </w:rPr>
        <w:t>万元，其中基本支出</w:t>
      </w:r>
      <w:r>
        <w:rPr>
          <w:rFonts w:ascii="仿宋" w:hAnsi="仿宋" w:eastAsia="仿宋" w:cs="仿宋"/>
          <w:sz w:val="32"/>
          <w:szCs w:val="32"/>
        </w:rPr>
        <w:t>66.67</w:t>
      </w:r>
      <w:r>
        <w:rPr>
          <w:rFonts w:hint="eastAsia" w:ascii="仿宋" w:hAnsi="仿宋" w:eastAsia="仿宋" w:cs="仿宋"/>
          <w:sz w:val="32"/>
          <w:szCs w:val="32"/>
        </w:rPr>
        <w:t>万元，包括人员经费和日常公用经费。</w:t>
      </w:r>
    </w:p>
    <w:p>
      <w:pPr>
        <w:spacing w:line="560" w:lineRule="exact"/>
        <w:rPr>
          <w:rFonts w:ascii="仿宋" w:hAnsi="仿宋" w:eastAsia="仿宋"/>
          <w:sz w:val="32"/>
          <w:szCs w:val="32"/>
        </w:rPr>
      </w:pPr>
      <w:r>
        <w:rPr>
          <w:rFonts w:hint="eastAsia" w:ascii="仿宋" w:hAnsi="仿宋" w:eastAsia="仿宋"/>
          <w:sz w:val="32"/>
          <w:szCs w:val="32"/>
        </w:rPr>
        <w:t>项目支出0万元。</w:t>
      </w:r>
    </w:p>
    <w:p>
      <w:pPr>
        <w:spacing w:line="560" w:lineRule="exact"/>
        <w:ind w:firstLine="640"/>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pStyle w:val="22"/>
      </w:pPr>
      <w:r>
        <w:rPr>
          <w:rFonts w:hint="eastAsia" w:ascii="仿宋" w:hAnsi="仿宋" w:eastAsia="仿宋"/>
          <w:sz w:val="32"/>
          <w:szCs w:val="32"/>
        </w:rPr>
        <w:t>2022</w:t>
      </w:r>
      <w:r>
        <w:rPr>
          <w:rFonts w:hint="eastAsia" w:ascii="仿宋" w:hAnsi="仿宋" w:eastAsia="仿宋" w:cs="方正仿宋_GBK"/>
          <w:sz w:val="32"/>
          <w:szCs w:val="32"/>
        </w:rPr>
        <w:t>年预算收支安排</w:t>
      </w:r>
      <w:r>
        <w:rPr>
          <w:rFonts w:ascii="仿宋" w:hAnsi="仿宋" w:eastAsia="仿宋" w:cs="方正仿宋_GBK"/>
          <w:sz w:val="32"/>
          <w:szCs w:val="32"/>
        </w:rPr>
        <w:t>66.67</w:t>
      </w:r>
      <w:r>
        <w:rPr>
          <w:rFonts w:hint="eastAsia" w:ascii="仿宋" w:hAnsi="仿宋" w:eastAsia="仿宋" w:cs="方正仿宋_GBK"/>
          <w:sz w:val="32"/>
          <w:szCs w:val="32"/>
        </w:rPr>
        <w:t>万元，</w:t>
      </w:r>
      <w:r>
        <w:rPr>
          <w:rFonts w:hint="eastAsia" w:ascii="仿宋" w:hAnsi="仿宋" w:eastAsia="仿宋"/>
          <w:sz w:val="32"/>
          <w:szCs w:val="32"/>
        </w:rPr>
        <w:t>今年比去年减少了</w:t>
      </w:r>
      <w:r>
        <w:rPr>
          <w:rFonts w:ascii="仿宋" w:hAnsi="仿宋" w:eastAsia="仿宋"/>
          <w:sz w:val="32"/>
          <w:szCs w:val="32"/>
        </w:rPr>
        <w:t>3.63</w:t>
      </w:r>
      <w:r>
        <w:rPr>
          <w:rFonts w:hint="eastAsia" w:ascii="仿宋" w:hAnsi="仿宋" w:eastAsia="仿宋"/>
          <w:sz w:val="32"/>
          <w:szCs w:val="32"/>
        </w:rPr>
        <w:t>万元，其中基本支出减少了</w:t>
      </w:r>
      <w:r>
        <w:rPr>
          <w:rFonts w:ascii="仿宋" w:hAnsi="仿宋" w:eastAsia="仿宋"/>
          <w:sz w:val="32"/>
          <w:szCs w:val="32"/>
        </w:rPr>
        <w:t>3.63</w:t>
      </w:r>
      <w:r>
        <w:rPr>
          <w:rFonts w:hint="eastAsia" w:ascii="仿宋" w:hAnsi="仿宋" w:eastAsia="仿宋"/>
          <w:sz w:val="32"/>
          <w:szCs w:val="32"/>
        </w:rPr>
        <w:t>万元，</w:t>
      </w:r>
      <w:r>
        <w:rPr>
          <w:rFonts w:hint="eastAsia" w:ascii="仿宋" w:hAnsi="仿宋" w:eastAsia="仿宋" w:cs="仿宋_GB2312"/>
          <w:color w:val="000000"/>
          <w:sz w:val="32"/>
          <w:szCs w:val="32"/>
        </w:rPr>
        <w:t>主要原因节约成本，减少不必要的开支，把钱用在刀刃上。</w:t>
      </w:r>
    </w:p>
    <w:p>
      <w:pPr>
        <w:spacing w:before="10" w:after="10" w:line="360" w:lineRule="auto"/>
        <w:ind w:firstLine="640"/>
        <w:outlineLvl w:val="2"/>
      </w:pPr>
      <w:r>
        <w:rPr>
          <w:rFonts w:ascii="黑体" w:hAnsi="黑体" w:eastAsia="黑体" w:cs="黑体"/>
          <w:color w:val="000000"/>
          <w:sz w:val="32"/>
        </w:rPr>
        <w:t>三、机关运行经费安排情况</w:t>
      </w:r>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机关运行经费共计安排7.</w:t>
      </w:r>
      <w:r>
        <w:rPr>
          <w:rFonts w:ascii="仿宋" w:hAnsi="仿宋" w:eastAsia="仿宋" w:cs="仿宋"/>
          <w:sz w:val="32"/>
          <w:szCs w:val="32"/>
        </w:rPr>
        <w:t>94</w:t>
      </w:r>
      <w:r>
        <w:rPr>
          <w:rFonts w:hint="eastAsia" w:ascii="仿宋" w:hAnsi="仿宋" w:eastAsia="仿宋" w:cs="仿宋"/>
          <w:sz w:val="32"/>
          <w:szCs w:val="32"/>
        </w:rPr>
        <w:t>万元，主要用于办公区的日常维修、办公用房水电费、邮电费、办公用房取暖费、办公用房物业管理费等日常运行支出。</w:t>
      </w:r>
    </w:p>
    <w:p>
      <w:pPr>
        <w:pStyle w:val="23"/>
      </w:pPr>
    </w:p>
    <w:p>
      <w:pPr>
        <w:spacing w:before="10" w:after="10" w:line="360" w:lineRule="auto"/>
        <w:ind w:firstLine="640"/>
        <w:outlineLvl w:val="2"/>
      </w:pPr>
      <w:r>
        <w:rPr>
          <w:rFonts w:ascii="黑体" w:hAnsi="黑体" w:eastAsia="黑体" w:cs="黑体"/>
          <w:color w:val="000000"/>
          <w:sz w:val="32"/>
        </w:rPr>
        <w:t>四、财政拨款“三公”经费预算情况及增减变化原因</w:t>
      </w:r>
    </w:p>
    <w:p>
      <w:pPr>
        <w:pStyle w:val="24"/>
      </w:pPr>
      <w:r>
        <w:rPr>
          <w:rFonts w:hint="eastAsia" w:ascii="仿宋" w:hAnsi="仿宋" w:eastAsia="仿宋" w:cs="仿宋_GB2312"/>
          <w:sz w:val="32"/>
          <w:szCs w:val="32"/>
        </w:rPr>
        <w:t>2022年度“三公”预算安排1万元，其中，因公出国（境）费0元，安排公务用车维护费1元，（其中公务用车购置费0元，公务用车运行维护费1万元），公务接待费0万元，2022年“三公”费中出国（境）费与去年持平，公务用车维护费与去年持平，公务接待费与去年持平。</w:t>
      </w:r>
      <w:r>
        <w:rPr>
          <w:rFonts w:hint="eastAsia" w:ascii="仿宋_GB2312" w:hAnsi="仿宋_GB2312" w:eastAsia="仿宋_GB2312"/>
          <w:color w:val="000000"/>
          <w:sz w:val="32"/>
          <w:szCs w:val="32"/>
          <w:shd w:val="clear" w:color="auto" w:fill="FFFFFF"/>
        </w:rPr>
        <w:t xml:space="preserve">   </w:t>
      </w:r>
    </w:p>
    <w:p>
      <w:pPr>
        <w:spacing w:before="10" w:after="10" w:line="360" w:lineRule="auto"/>
        <w:ind w:firstLine="640"/>
        <w:outlineLvl w:val="2"/>
      </w:pPr>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60" w:lineRule="exact"/>
        <w:ind w:firstLine="640" w:firstLineChars="200"/>
        <w:outlineLvl w:val="0"/>
        <w:rPr>
          <w:rFonts w:ascii="仿宋" w:hAnsi="仿宋" w:eastAsia="仿宋" w:cs="黑体"/>
          <w:sz w:val="32"/>
          <w:szCs w:val="32"/>
          <w:lang w:val="zh-CN"/>
        </w:rPr>
      </w:pPr>
      <w:r>
        <w:rPr>
          <w:rFonts w:hint="eastAsia" w:ascii="仿宋" w:hAnsi="仿宋" w:eastAsia="仿宋" w:cs="黑体"/>
          <w:sz w:val="32"/>
          <w:szCs w:val="32"/>
          <w:lang w:val="zh-CN"/>
        </w:rPr>
        <w:t>县直工委以“转变机关作风，提高工作效率，增强服务意识，树立良好形象，促进各项工作”为总体要求，进一步强化机关党员干部的立党为公、执政为民意识，强化服务功能，拓宽服务领域，充分发挥机关党组织的监督保证作用和机关党员干部先锋模范作用，全面推进机关党的建设。</w:t>
      </w:r>
    </w:p>
    <w:p>
      <w:pPr>
        <w:pStyle w:val="25"/>
        <w:rPr>
          <w:lang w:eastAsia="zh-CN"/>
        </w:rPr>
      </w:pPr>
    </w:p>
    <w:p>
      <w:pPr>
        <w:spacing w:line="500" w:lineRule="exact"/>
        <w:ind w:firstLine="560"/>
      </w:pPr>
      <w:r>
        <w:rPr>
          <w:rFonts w:eastAsia="方正仿宋_GBK"/>
          <w:color w:val="000000"/>
          <w:sz w:val="28"/>
        </w:rPr>
        <w:t>（二）分项绩效目标</w:t>
      </w:r>
    </w:p>
    <w:p>
      <w:pPr>
        <w:spacing w:line="560" w:lineRule="exact"/>
        <w:ind w:firstLine="640" w:firstLineChars="200"/>
        <w:outlineLvl w:val="0"/>
        <w:rPr>
          <w:rFonts w:ascii="仿宋" w:hAnsi="仿宋" w:eastAsia="仿宋" w:cs="黑体"/>
          <w:sz w:val="32"/>
          <w:szCs w:val="32"/>
          <w:lang w:val="zh-CN"/>
        </w:rPr>
      </w:pPr>
      <w:r>
        <w:rPr>
          <w:rFonts w:hint="eastAsia" w:ascii="仿宋" w:hAnsi="仿宋" w:eastAsia="仿宋" w:cs="黑体"/>
          <w:sz w:val="32"/>
          <w:szCs w:val="32"/>
          <w:lang w:val="zh-CN"/>
        </w:rPr>
        <w:t>1、按照要求，抓好学习，搞好培训。</w:t>
      </w:r>
    </w:p>
    <w:p>
      <w:pPr>
        <w:spacing w:line="560" w:lineRule="exact"/>
        <w:ind w:firstLine="640" w:firstLineChars="200"/>
        <w:outlineLvl w:val="0"/>
        <w:rPr>
          <w:rFonts w:ascii="仿宋" w:hAnsi="仿宋" w:eastAsia="仿宋" w:cs="黑体"/>
          <w:sz w:val="32"/>
          <w:szCs w:val="32"/>
          <w:lang w:val="zh-CN"/>
        </w:rPr>
      </w:pPr>
      <w:r>
        <w:rPr>
          <w:rFonts w:hint="eastAsia" w:ascii="仿宋" w:hAnsi="仿宋" w:eastAsia="仿宋" w:cs="黑体"/>
          <w:sz w:val="32"/>
          <w:szCs w:val="32"/>
          <w:lang w:val="zh-CN"/>
        </w:rPr>
        <w:t>2、强化业务能力，提高工作水平。</w:t>
      </w:r>
    </w:p>
    <w:p>
      <w:pPr>
        <w:spacing w:line="560" w:lineRule="exact"/>
        <w:ind w:firstLine="640" w:firstLineChars="200"/>
        <w:outlineLvl w:val="0"/>
        <w:rPr>
          <w:rFonts w:ascii="仿宋" w:hAnsi="仿宋" w:eastAsia="仿宋" w:cs="黑体"/>
          <w:sz w:val="32"/>
          <w:szCs w:val="32"/>
          <w:lang w:val="zh-CN"/>
        </w:rPr>
      </w:pPr>
      <w:r>
        <w:rPr>
          <w:rFonts w:hint="eastAsia" w:ascii="仿宋" w:hAnsi="仿宋" w:eastAsia="仿宋" w:cs="黑体"/>
          <w:sz w:val="32"/>
          <w:szCs w:val="32"/>
          <w:lang w:val="zh-CN"/>
        </w:rPr>
        <w:t>3、加强工委机关自身制度建设，健全完善各项规章制度。</w:t>
      </w:r>
    </w:p>
    <w:p>
      <w:pPr>
        <w:spacing w:line="560" w:lineRule="exact"/>
        <w:ind w:firstLine="640" w:firstLineChars="200"/>
        <w:outlineLvl w:val="0"/>
        <w:rPr>
          <w:rFonts w:ascii="仿宋" w:hAnsi="仿宋" w:eastAsia="仿宋" w:cs="黑体"/>
          <w:sz w:val="32"/>
          <w:szCs w:val="32"/>
          <w:lang w:val="zh-CN"/>
        </w:rPr>
      </w:pPr>
      <w:r>
        <w:rPr>
          <w:rFonts w:hint="eastAsia" w:ascii="仿宋" w:hAnsi="仿宋" w:eastAsia="仿宋" w:cs="黑体"/>
          <w:sz w:val="32"/>
          <w:szCs w:val="32"/>
          <w:lang w:val="zh-CN"/>
        </w:rPr>
        <w:t>4、积极开展四项教育：即“两个务必”和光荣传统教育；开拓进取、有所作为教育；廉洁从政，党纪政纪教育；增强公仆意识，密切联系群众教育。</w:t>
      </w:r>
    </w:p>
    <w:p>
      <w:pPr>
        <w:spacing w:line="560" w:lineRule="exact"/>
        <w:ind w:firstLine="640" w:firstLineChars="200"/>
        <w:outlineLvl w:val="0"/>
        <w:rPr>
          <w:rFonts w:ascii="仿宋" w:hAnsi="仿宋" w:eastAsia="仿宋" w:cs="黑体"/>
          <w:sz w:val="32"/>
          <w:szCs w:val="32"/>
          <w:lang w:val="zh-CN"/>
        </w:rPr>
      </w:pPr>
      <w:r>
        <w:rPr>
          <w:rFonts w:hint="eastAsia" w:ascii="仿宋" w:hAnsi="仿宋" w:eastAsia="仿宋" w:cs="黑体"/>
          <w:sz w:val="32"/>
          <w:szCs w:val="32"/>
          <w:lang w:val="zh-CN"/>
        </w:rPr>
        <w:t>5、认真搞好工委机关“ 创建文明单位”和“创建学习型机关”两大主题活动，为县直机关树立良好形象，做好表率。</w:t>
      </w:r>
    </w:p>
    <w:p>
      <w:pPr>
        <w:pStyle w:val="26"/>
        <w:rPr>
          <w:lang w:eastAsia="zh-CN"/>
        </w:rPr>
      </w:pPr>
    </w:p>
    <w:p>
      <w:pPr>
        <w:spacing w:line="500" w:lineRule="exact"/>
        <w:ind w:firstLine="560"/>
      </w:pPr>
      <w:r>
        <w:rPr>
          <w:rFonts w:eastAsia="方正仿宋_GBK"/>
          <w:color w:val="000000"/>
          <w:sz w:val="28"/>
        </w:rPr>
        <w:t>（三）工作保障措施</w:t>
      </w:r>
    </w:p>
    <w:p>
      <w:pPr>
        <w:spacing w:line="560" w:lineRule="exact"/>
        <w:ind w:firstLine="640" w:firstLineChars="200"/>
        <w:outlineLvl w:val="0"/>
        <w:rPr>
          <w:rFonts w:ascii="仿宋" w:hAnsi="仿宋" w:eastAsia="仿宋" w:cs="黑体"/>
          <w:sz w:val="32"/>
          <w:szCs w:val="32"/>
          <w:lang w:val="zh-CN"/>
        </w:rPr>
      </w:pPr>
      <w:r>
        <w:rPr>
          <w:rFonts w:hint="eastAsia" w:ascii="仿宋" w:hAnsi="仿宋" w:eastAsia="仿宋" w:cs="黑体"/>
          <w:sz w:val="32"/>
          <w:szCs w:val="32"/>
          <w:lang w:val="zh-CN"/>
        </w:rPr>
        <w:t>充分发挥机关党组织的监督保证作用和机关党员干部先锋模范作用，全面推进机关党的建设。</w:t>
      </w:r>
    </w:p>
    <w:p>
      <w:pPr>
        <w:pStyle w:val="27"/>
        <w:rPr>
          <w:lang w:eastAsia="zh-CN"/>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tbl>
      <w:tblPr>
        <w:tblStyle w:val="8"/>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3"/>
        <w:gridCol w:w="1277"/>
        <w:gridCol w:w="2250"/>
        <w:gridCol w:w="3702"/>
        <w:gridCol w:w="1950"/>
        <w:gridCol w:w="459"/>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932" w:type="dxa"/>
            <w:gridSpan w:val="5"/>
            <w:tcBorders>
              <w:top w:val="single" w:color="FFFFFF" w:sz="6" w:space="0"/>
              <w:left w:val="single" w:color="FFFFFF" w:sz="6" w:space="0"/>
              <w:right w:val="single" w:color="FFFFFF" w:sz="6" w:space="0"/>
            </w:tcBorders>
            <w:vAlign w:val="center"/>
          </w:tcPr>
          <w:p>
            <w:pPr>
              <w:jc w:val="center"/>
              <w:outlineLvl w:val="0"/>
              <w:rPr>
                <w:rFonts w:ascii="方正小标宋_GBK" w:eastAsia="方正小标宋_GBK"/>
                <w:sz w:val="32"/>
              </w:rPr>
            </w:pPr>
            <w:r>
              <w:rPr>
                <w:rFonts w:hint="eastAsia" w:ascii="仿宋" w:hAnsi="仿宋" w:eastAsia="仿宋" w:cs="仿宋"/>
                <w:sz w:val="32"/>
              </w:rPr>
              <w:t xml:space="preserve">        部门职责-工作活动绩效目标</w:t>
            </w:r>
          </w:p>
          <w:p>
            <w:pPr>
              <w:spacing w:line="300" w:lineRule="exact"/>
              <w:rPr>
                <w:rFonts w:ascii="仿宋" w:hAnsi="仿宋" w:eastAsia="仿宋" w:cs="仿宋"/>
              </w:rPr>
            </w:pPr>
            <w:r>
              <w:rPr>
                <w:rFonts w:hint="eastAsia" w:ascii="仿宋" w:hAnsi="仿宋" w:eastAsia="仿宋" w:cs="仿宋"/>
              </w:rPr>
              <w:t>560002成安县直工委</w:t>
            </w:r>
          </w:p>
        </w:tc>
        <w:tc>
          <w:tcPr>
            <w:tcW w:w="2608" w:type="dxa"/>
            <w:gridSpan w:val="4"/>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753"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职责活动</w:t>
            </w:r>
          </w:p>
        </w:tc>
        <w:tc>
          <w:tcPr>
            <w:tcW w:w="1277"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年度预算数</w:t>
            </w:r>
          </w:p>
        </w:tc>
        <w:tc>
          <w:tcPr>
            <w:tcW w:w="2250"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内容描述</w:t>
            </w:r>
          </w:p>
        </w:tc>
        <w:tc>
          <w:tcPr>
            <w:tcW w:w="3702"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绩效目标</w:t>
            </w:r>
          </w:p>
        </w:tc>
        <w:tc>
          <w:tcPr>
            <w:tcW w:w="1950"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绩效指标</w:t>
            </w:r>
          </w:p>
        </w:tc>
        <w:tc>
          <w:tcPr>
            <w:tcW w:w="2608" w:type="dxa"/>
            <w:gridSpan w:val="4"/>
            <w:vAlign w:val="center"/>
          </w:tcPr>
          <w:p>
            <w:pPr>
              <w:spacing w:line="300" w:lineRule="exact"/>
              <w:jc w:val="center"/>
              <w:rPr>
                <w:rFonts w:ascii="仿宋" w:hAnsi="仿宋" w:eastAsia="仿宋" w:cs="仿宋"/>
                <w:b/>
              </w:rPr>
            </w:pPr>
            <w:r>
              <w:rPr>
                <w:rFonts w:hint="eastAsia" w:ascii="仿宋" w:hAnsi="仿宋" w:eastAsia="仿宋" w:cs="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753" w:type="dxa"/>
            <w:vMerge w:val="continue"/>
            <w:vAlign w:val="center"/>
          </w:tcPr>
          <w:p>
            <w:pPr>
              <w:spacing w:line="300" w:lineRule="exact"/>
              <w:outlineLvl w:val="0"/>
              <w:rPr>
                <w:rFonts w:ascii="仿宋" w:hAnsi="仿宋" w:eastAsia="仿宋" w:cs="仿宋"/>
              </w:rPr>
            </w:pPr>
          </w:p>
        </w:tc>
        <w:tc>
          <w:tcPr>
            <w:tcW w:w="1277" w:type="dxa"/>
            <w:vMerge w:val="continue"/>
            <w:vAlign w:val="center"/>
          </w:tcPr>
          <w:p>
            <w:pPr>
              <w:spacing w:line="300" w:lineRule="exact"/>
              <w:outlineLvl w:val="0"/>
              <w:rPr>
                <w:rFonts w:ascii="仿宋" w:hAnsi="仿宋" w:eastAsia="仿宋" w:cs="仿宋"/>
              </w:rPr>
            </w:pPr>
          </w:p>
        </w:tc>
        <w:tc>
          <w:tcPr>
            <w:tcW w:w="2250" w:type="dxa"/>
            <w:vMerge w:val="continue"/>
            <w:vAlign w:val="center"/>
          </w:tcPr>
          <w:p>
            <w:pPr>
              <w:spacing w:line="300" w:lineRule="exact"/>
              <w:outlineLvl w:val="0"/>
              <w:rPr>
                <w:rFonts w:ascii="仿宋" w:hAnsi="仿宋" w:eastAsia="仿宋" w:cs="仿宋"/>
              </w:rPr>
            </w:pPr>
          </w:p>
        </w:tc>
        <w:tc>
          <w:tcPr>
            <w:tcW w:w="3702" w:type="dxa"/>
            <w:vMerge w:val="continue"/>
            <w:vAlign w:val="center"/>
          </w:tcPr>
          <w:p>
            <w:pPr>
              <w:spacing w:line="300" w:lineRule="exact"/>
              <w:outlineLvl w:val="0"/>
              <w:rPr>
                <w:rFonts w:ascii="仿宋" w:hAnsi="仿宋" w:eastAsia="仿宋" w:cs="仿宋"/>
              </w:rPr>
            </w:pPr>
          </w:p>
        </w:tc>
        <w:tc>
          <w:tcPr>
            <w:tcW w:w="1950" w:type="dxa"/>
            <w:vMerge w:val="continue"/>
            <w:vAlign w:val="center"/>
          </w:tcPr>
          <w:p>
            <w:pPr>
              <w:spacing w:line="300" w:lineRule="exact"/>
              <w:outlineLvl w:val="0"/>
              <w:rPr>
                <w:rFonts w:ascii="仿宋" w:hAnsi="仿宋" w:eastAsia="仿宋" w:cs="仿宋"/>
              </w:rPr>
            </w:pPr>
          </w:p>
        </w:tc>
        <w:tc>
          <w:tcPr>
            <w:tcW w:w="459" w:type="dxa"/>
            <w:vAlign w:val="center"/>
          </w:tcPr>
          <w:p>
            <w:pPr>
              <w:spacing w:line="300" w:lineRule="exact"/>
              <w:jc w:val="center"/>
              <w:rPr>
                <w:rFonts w:ascii="仿宋" w:hAnsi="仿宋" w:eastAsia="仿宋" w:cs="仿宋"/>
                <w:b/>
              </w:rPr>
            </w:pPr>
            <w:r>
              <w:rPr>
                <w:rFonts w:hint="eastAsia" w:ascii="仿宋" w:hAnsi="仿宋" w:eastAsia="仿宋" w:cs="仿宋"/>
                <w:b/>
              </w:rPr>
              <w:t>优</w:t>
            </w:r>
          </w:p>
        </w:tc>
        <w:tc>
          <w:tcPr>
            <w:tcW w:w="716" w:type="dxa"/>
            <w:vAlign w:val="center"/>
          </w:tcPr>
          <w:p>
            <w:pPr>
              <w:spacing w:line="300" w:lineRule="exact"/>
              <w:jc w:val="center"/>
              <w:rPr>
                <w:rFonts w:ascii="仿宋" w:hAnsi="仿宋" w:eastAsia="仿宋" w:cs="仿宋"/>
                <w:b/>
              </w:rPr>
            </w:pPr>
            <w:r>
              <w:rPr>
                <w:rFonts w:hint="eastAsia" w:ascii="仿宋" w:hAnsi="仿宋" w:eastAsia="仿宋" w:cs="仿宋"/>
                <w:b/>
              </w:rPr>
              <w:t>良</w:t>
            </w:r>
          </w:p>
        </w:tc>
        <w:tc>
          <w:tcPr>
            <w:tcW w:w="716" w:type="dxa"/>
            <w:vAlign w:val="center"/>
          </w:tcPr>
          <w:p>
            <w:pPr>
              <w:spacing w:line="300" w:lineRule="exact"/>
              <w:jc w:val="center"/>
              <w:rPr>
                <w:rFonts w:ascii="仿宋" w:hAnsi="仿宋" w:eastAsia="仿宋" w:cs="仿宋"/>
                <w:b/>
              </w:rPr>
            </w:pPr>
            <w:r>
              <w:rPr>
                <w:rFonts w:hint="eastAsia" w:ascii="仿宋" w:hAnsi="仿宋" w:eastAsia="仿宋" w:cs="仿宋"/>
                <w:b/>
              </w:rPr>
              <w:t>中</w:t>
            </w:r>
          </w:p>
        </w:tc>
        <w:tc>
          <w:tcPr>
            <w:tcW w:w="717" w:type="dxa"/>
            <w:vAlign w:val="center"/>
          </w:tcPr>
          <w:p>
            <w:pPr>
              <w:spacing w:line="300" w:lineRule="exact"/>
              <w:jc w:val="center"/>
              <w:rPr>
                <w:rFonts w:ascii="仿宋" w:hAnsi="仿宋" w:eastAsia="仿宋" w:cs="仿宋"/>
                <w:b/>
              </w:rPr>
            </w:pPr>
            <w:r>
              <w:rPr>
                <w:rFonts w:hint="eastAsia" w:ascii="仿宋" w:hAnsi="仿宋" w:eastAsia="仿宋" w:cs="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4" w:hRule="atLeast"/>
          <w:jc w:val="center"/>
        </w:trPr>
        <w:tc>
          <w:tcPr>
            <w:tcW w:w="1753" w:type="dxa"/>
            <w:vAlign w:val="center"/>
          </w:tcPr>
          <w:p>
            <w:pPr>
              <w:spacing w:line="300" w:lineRule="exact"/>
              <w:jc w:val="center"/>
              <w:rPr>
                <w:rFonts w:ascii="仿宋" w:hAnsi="仿宋" w:eastAsia="仿宋" w:cs="仿宋"/>
                <w:b/>
                <w:szCs w:val="21"/>
              </w:rPr>
            </w:pPr>
            <w:r>
              <w:rPr>
                <w:rFonts w:hint="eastAsia" w:ascii="仿宋" w:hAnsi="仿宋" w:eastAsia="仿宋" w:cs="仿宋"/>
                <w:szCs w:val="21"/>
              </w:rPr>
              <w:t>更换办公设备</w:t>
            </w:r>
          </w:p>
        </w:tc>
        <w:tc>
          <w:tcPr>
            <w:tcW w:w="1277"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4.833</w:t>
            </w:r>
          </w:p>
        </w:tc>
        <w:tc>
          <w:tcPr>
            <w:tcW w:w="225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改善机关办公条件</w:t>
            </w:r>
          </w:p>
        </w:tc>
        <w:tc>
          <w:tcPr>
            <w:tcW w:w="3702"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调动职工工作积极性，提高工作效率</w:t>
            </w:r>
          </w:p>
        </w:tc>
        <w:tc>
          <w:tcPr>
            <w:tcW w:w="195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改善办公环境，提高工作效率</w:t>
            </w:r>
          </w:p>
        </w:tc>
        <w:tc>
          <w:tcPr>
            <w:tcW w:w="4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95</w:t>
            </w:r>
          </w:p>
        </w:tc>
        <w:tc>
          <w:tcPr>
            <w:tcW w:w="716"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90</w:t>
            </w:r>
          </w:p>
        </w:tc>
        <w:tc>
          <w:tcPr>
            <w:tcW w:w="716"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85</w:t>
            </w:r>
          </w:p>
        </w:tc>
        <w:tc>
          <w:tcPr>
            <w:tcW w:w="7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753"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开展机关党建活动</w:t>
            </w:r>
          </w:p>
        </w:tc>
        <w:tc>
          <w:tcPr>
            <w:tcW w:w="1277"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3</w:t>
            </w:r>
          </w:p>
        </w:tc>
        <w:tc>
          <w:tcPr>
            <w:tcW w:w="225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县直各单位发展对象集中培训</w:t>
            </w:r>
          </w:p>
        </w:tc>
        <w:tc>
          <w:tcPr>
            <w:tcW w:w="3702"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正确认识党员标准以及党员的权利和义务</w:t>
            </w:r>
          </w:p>
        </w:tc>
        <w:tc>
          <w:tcPr>
            <w:tcW w:w="195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使入党积极分子和发展对象能够系统的学习党的基本知识</w:t>
            </w:r>
          </w:p>
        </w:tc>
        <w:tc>
          <w:tcPr>
            <w:tcW w:w="4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95</w:t>
            </w:r>
          </w:p>
        </w:tc>
        <w:tc>
          <w:tcPr>
            <w:tcW w:w="716"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90</w:t>
            </w:r>
          </w:p>
        </w:tc>
        <w:tc>
          <w:tcPr>
            <w:tcW w:w="716"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85</w:t>
            </w:r>
          </w:p>
        </w:tc>
        <w:tc>
          <w:tcPr>
            <w:tcW w:w="7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70</w:t>
            </w:r>
          </w:p>
        </w:tc>
      </w:tr>
    </w:tbl>
    <w:p>
      <w:pPr>
        <w:spacing w:line="560" w:lineRule="exact"/>
        <w:ind w:firstLine="640" w:firstLineChars="200"/>
        <w:outlineLvl w:val="0"/>
        <w:rPr>
          <w:rFonts w:ascii="仿宋" w:hAnsi="仿宋" w:eastAsia="仿宋" w:cs="黑体"/>
          <w:sz w:val="32"/>
          <w:szCs w:val="32"/>
          <w:lang w:val="zh-CN"/>
        </w:rPr>
      </w:pPr>
    </w:p>
    <w:p>
      <w:pPr>
        <w:ind w:firstLine="640"/>
        <w:rPr>
          <w:rFonts w:asciiTheme="minorHAnsi" w:hAnsiTheme="minorHAnsi"/>
          <w:lang w:val="uk-UA"/>
        </w:rPr>
        <w:sectPr>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tbl>
      <w:tblPr>
        <w:tblStyle w:val="8"/>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3"/>
        <w:gridCol w:w="1277"/>
        <w:gridCol w:w="2250"/>
        <w:gridCol w:w="3702"/>
        <w:gridCol w:w="1950"/>
        <w:gridCol w:w="459"/>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 w:hRule="atLeast"/>
          <w:tblHeader/>
          <w:jc w:val="center"/>
        </w:trPr>
        <w:tc>
          <w:tcPr>
            <w:tcW w:w="10932" w:type="dxa"/>
            <w:gridSpan w:val="5"/>
            <w:tcBorders>
              <w:top w:val="single" w:color="FFFFFF" w:sz="6" w:space="0"/>
              <w:left w:val="single" w:color="FFFFFF" w:sz="6" w:space="0"/>
              <w:right w:val="single" w:color="FFFFFF" w:sz="6" w:space="0"/>
            </w:tcBorders>
            <w:vAlign w:val="center"/>
          </w:tcPr>
          <w:p>
            <w:pPr>
              <w:jc w:val="center"/>
              <w:outlineLvl w:val="0"/>
              <w:rPr>
                <w:rFonts w:ascii="方正小标宋_GBK" w:eastAsia="方正小标宋_GBK"/>
                <w:sz w:val="32"/>
              </w:rPr>
            </w:pPr>
            <w:r>
              <w:rPr>
                <w:rFonts w:hint="eastAsia" w:ascii="仿宋" w:hAnsi="仿宋" w:eastAsia="仿宋" w:cs="仿宋"/>
                <w:sz w:val="32"/>
              </w:rPr>
              <w:t xml:space="preserve">        部门职责-工作活动绩效目标</w:t>
            </w:r>
          </w:p>
          <w:p>
            <w:pPr>
              <w:spacing w:line="300" w:lineRule="exact"/>
              <w:rPr>
                <w:rFonts w:ascii="仿宋" w:hAnsi="仿宋" w:eastAsia="仿宋" w:cs="仿宋"/>
              </w:rPr>
            </w:pPr>
            <w:r>
              <w:rPr>
                <w:rFonts w:hint="eastAsia" w:ascii="仿宋" w:hAnsi="仿宋" w:eastAsia="仿宋" w:cs="仿宋"/>
              </w:rPr>
              <w:t>560002成安县直工委</w:t>
            </w:r>
          </w:p>
        </w:tc>
        <w:tc>
          <w:tcPr>
            <w:tcW w:w="2608" w:type="dxa"/>
            <w:gridSpan w:val="4"/>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753"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职责活动</w:t>
            </w:r>
          </w:p>
        </w:tc>
        <w:tc>
          <w:tcPr>
            <w:tcW w:w="1277"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年度预算数</w:t>
            </w:r>
          </w:p>
        </w:tc>
        <w:tc>
          <w:tcPr>
            <w:tcW w:w="2250"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内容描述</w:t>
            </w:r>
          </w:p>
        </w:tc>
        <w:tc>
          <w:tcPr>
            <w:tcW w:w="3702"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绩效目标</w:t>
            </w:r>
          </w:p>
        </w:tc>
        <w:tc>
          <w:tcPr>
            <w:tcW w:w="1950" w:type="dxa"/>
            <w:vMerge w:val="restart"/>
            <w:vAlign w:val="center"/>
          </w:tcPr>
          <w:p>
            <w:pPr>
              <w:spacing w:line="300" w:lineRule="exact"/>
              <w:jc w:val="center"/>
              <w:rPr>
                <w:rFonts w:ascii="仿宋" w:hAnsi="仿宋" w:eastAsia="仿宋" w:cs="仿宋"/>
                <w:b/>
              </w:rPr>
            </w:pPr>
            <w:r>
              <w:rPr>
                <w:rFonts w:hint="eastAsia" w:ascii="仿宋" w:hAnsi="仿宋" w:eastAsia="仿宋" w:cs="仿宋"/>
                <w:b/>
              </w:rPr>
              <w:t>绩效指标</w:t>
            </w:r>
          </w:p>
        </w:tc>
        <w:tc>
          <w:tcPr>
            <w:tcW w:w="2608" w:type="dxa"/>
            <w:gridSpan w:val="4"/>
            <w:vAlign w:val="center"/>
          </w:tcPr>
          <w:p>
            <w:pPr>
              <w:spacing w:line="300" w:lineRule="exact"/>
              <w:jc w:val="center"/>
              <w:rPr>
                <w:rFonts w:ascii="仿宋" w:hAnsi="仿宋" w:eastAsia="仿宋" w:cs="仿宋"/>
                <w:b/>
              </w:rPr>
            </w:pPr>
            <w:r>
              <w:rPr>
                <w:rFonts w:hint="eastAsia" w:ascii="仿宋" w:hAnsi="仿宋" w:eastAsia="仿宋" w:cs="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753" w:type="dxa"/>
            <w:vMerge w:val="continue"/>
            <w:vAlign w:val="center"/>
          </w:tcPr>
          <w:p>
            <w:pPr>
              <w:spacing w:line="300" w:lineRule="exact"/>
              <w:outlineLvl w:val="0"/>
              <w:rPr>
                <w:rFonts w:ascii="仿宋" w:hAnsi="仿宋" w:eastAsia="仿宋" w:cs="仿宋"/>
              </w:rPr>
            </w:pPr>
          </w:p>
        </w:tc>
        <w:tc>
          <w:tcPr>
            <w:tcW w:w="1277" w:type="dxa"/>
            <w:vMerge w:val="continue"/>
            <w:vAlign w:val="center"/>
          </w:tcPr>
          <w:p>
            <w:pPr>
              <w:spacing w:line="300" w:lineRule="exact"/>
              <w:outlineLvl w:val="0"/>
              <w:rPr>
                <w:rFonts w:ascii="仿宋" w:hAnsi="仿宋" w:eastAsia="仿宋" w:cs="仿宋"/>
              </w:rPr>
            </w:pPr>
          </w:p>
        </w:tc>
        <w:tc>
          <w:tcPr>
            <w:tcW w:w="2250" w:type="dxa"/>
            <w:vMerge w:val="continue"/>
            <w:vAlign w:val="center"/>
          </w:tcPr>
          <w:p>
            <w:pPr>
              <w:spacing w:line="300" w:lineRule="exact"/>
              <w:outlineLvl w:val="0"/>
              <w:rPr>
                <w:rFonts w:ascii="仿宋" w:hAnsi="仿宋" w:eastAsia="仿宋" w:cs="仿宋"/>
              </w:rPr>
            </w:pPr>
          </w:p>
        </w:tc>
        <w:tc>
          <w:tcPr>
            <w:tcW w:w="3702" w:type="dxa"/>
            <w:vMerge w:val="continue"/>
            <w:vAlign w:val="center"/>
          </w:tcPr>
          <w:p>
            <w:pPr>
              <w:spacing w:line="300" w:lineRule="exact"/>
              <w:outlineLvl w:val="0"/>
              <w:rPr>
                <w:rFonts w:ascii="仿宋" w:hAnsi="仿宋" w:eastAsia="仿宋" w:cs="仿宋"/>
              </w:rPr>
            </w:pPr>
          </w:p>
        </w:tc>
        <w:tc>
          <w:tcPr>
            <w:tcW w:w="1950" w:type="dxa"/>
            <w:vMerge w:val="continue"/>
            <w:vAlign w:val="center"/>
          </w:tcPr>
          <w:p>
            <w:pPr>
              <w:spacing w:line="300" w:lineRule="exact"/>
              <w:outlineLvl w:val="0"/>
              <w:rPr>
                <w:rFonts w:ascii="仿宋" w:hAnsi="仿宋" w:eastAsia="仿宋" w:cs="仿宋"/>
              </w:rPr>
            </w:pPr>
          </w:p>
        </w:tc>
        <w:tc>
          <w:tcPr>
            <w:tcW w:w="459" w:type="dxa"/>
            <w:vAlign w:val="center"/>
          </w:tcPr>
          <w:p>
            <w:pPr>
              <w:spacing w:line="300" w:lineRule="exact"/>
              <w:jc w:val="center"/>
              <w:rPr>
                <w:rFonts w:ascii="仿宋" w:hAnsi="仿宋" w:eastAsia="仿宋" w:cs="仿宋"/>
                <w:b/>
              </w:rPr>
            </w:pPr>
            <w:r>
              <w:rPr>
                <w:rFonts w:hint="eastAsia" w:ascii="仿宋" w:hAnsi="仿宋" w:eastAsia="仿宋" w:cs="仿宋"/>
                <w:b/>
              </w:rPr>
              <w:t>优</w:t>
            </w:r>
          </w:p>
        </w:tc>
        <w:tc>
          <w:tcPr>
            <w:tcW w:w="716" w:type="dxa"/>
            <w:vAlign w:val="center"/>
          </w:tcPr>
          <w:p>
            <w:pPr>
              <w:spacing w:line="300" w:lineRule="exact"/>
              <w:jc w:val="center"/>
              <w:rPr>
                <w:rFonts w:ascii="仿宋" w:hAnsi="仿宋" w:eastAsia="仿宋" w:cs="仿宋"/>
                <w:b/>
              </w:rPr>
            </w:pPr>
            <w:r>
              <w:rPr>
                <w:rFonts w:hint="eastAsia" w:ascii="仿宋" w:hAnsi="仿宋" w:eastAsia="仿宋" w:cs="仿宋"/>
                <w:b/>
              </w:rPr>
              <w:t>良</w:t>
            </w:r>
          </w:p>
        </w:tc>
        <w:tc>
          <w:tcPr>
            <w:tcW w:w="716" w:type="dxa"/>
            <w:vAlign w:val="center"/>
          </w:tcPr>
          <w:p>
            <w:pPr>
              <w:spacing w:line="300" w:lineRule="exact"/>
              <w:jc w:val="center"/>
              <w:rPr>
                <w:rFonts w:ascii="仿宋" w:hAnsi="仿宋" w:eastAsia="仿宋" w:cs="仿宋"/>
                <w:b/>
              </w:rPr>
            </w:pPr>
            <w:r>
              <w:rPr>
                <w:rFonts w:hint="eastAsia" w:ascii="仿宋" w:hAnsi="仿宋" w:eastAsia="仿宋" w:cs="仿宋"/>
                <w:b/>
              </w:rPr>
              <w:t>中</w:t>
            </w:r>
          </w:p>
        </w:tc>
        <w:tc>
          <w:tcPr>
            <w:tcW w:w="717" w:type="dxa"/>
            <w:vAlign w:val="center"/>
          </w:tcPr>
          <w:p>
            <w:pPr>
              <w:spacing w:line="300" w:lineRule="exact"/>
              <w:jc w:val="center"/>
              <w:rPr>
                <w:rFonts w:ascii="仿宋" w:hAnsi="仿宋" w:eastAsia="仿宋" w:cs="仿宋"/>
                <w:b/>
              </w:rPr>
            </w:pPr>
            <w:r>
              <w:rPr>
                <w:rFonts w:hint="eastAsia" w:ascii="仿宋" w:hAnsi="仿宋" w:eastAsia="仿宋" w:cs="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4" w:hRule="atLeast"/>
          <w:jc w:val="center"/>
        </w:trPr>
        <w:tc>
          <w:tcPr>
            <w:tcW w:w="1753" w:type="dxa"/>
            <w:vAlign w:val="center"/>
          </w:tcPr>
          <w:p>
            <w:pPr>
              <w:spacing w:line="300" w:lineRule="exact"/>
              <w:jc w:val="center"/>
              <w:rPr>
                <w:rFonts w:ascii="仿宋" w:hAnsi="仿宋" w:eastAsia="仿宋" w:cs="仿宋"/>
                <w:b/>
                <w:szCs w:val="21"/>
              </w:rPr>
            </w:pPr>
            <w:r>
              <w:rPr>
                <w:rFonts w:hint="eastAsia" w:ascii="仿宋" w:hAnsi="仿宋" w:eastAsia="仿宋" w:cs="仿宋"/>
                <w:szCs w:val="21"/>
              </w:rPr>
              <w:t>更换办公设备</w:t>
            </w:r>
          </w:p>
        </w:tc>
        <w:tc>
          <w:tcPr>
            <w:tcW w:w="1277"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4.833</w:t>
            </w:r>
          </w:p>
        </w:tc>
        <w:tc>
          <w:tcPr>
            <w:tcW w:w="225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改善机关办公条件</w:t>
            </w:r>
          </w:p>
        </w:tc>
        <w:tc>
          <w:tcPr>
            <w:tcW w:w="3702"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调动职工工作积极性，提高工作效率</w:t>
            </w:r>
          </w:p>
        </w:tc>
        <w:tc>
          <w:tcPr>
            <w:tcW w:w="195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改善办公环境，提高工作效率</w:t>
            </w:r>
          </w:p>
        </w:tc>
        <w:tc>
          <w:tcPr>
            <w:tcW w:w="4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95</w:t>
            </w:r>
          </w:p>
        </w:tc>
        <w:tc>
          <w:tcPr>
            <w:tcW w:w="716"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90</w:t>
            </w:r>
          </w:p>
        </w:tc>
        <w:tc>
          <w:tcPr>
            <w:tcW w:w="716"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85</w:t>
            </w:r>
          </w:p>
        </w:tc>
        <w:tc>
          <w:tcPr>
            <w:tcW w:w="7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753"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开展机关党建活动</w:t>
            </w:r>
          </w:p>
        </w:tc>
        <w:tc>
          <w:tcPr>
            <w:tcW w:w="1277"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3</w:t>
            </w:r>
          </w:p>
        </w:tc>
        <w:tc>
          <w:tcPr>
            <w:tcW w:w="225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县直各单位发展对象集中培训</w:t>
            </w:r>
          </w:p>
        </w:tc>
        <w:tc>
          <w:tcPr>
            <w:tcW w:w="3702"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正确认识党员标准以及党员的权利和义务</w:t>
            </w:r>
          </w:p>
        </w:tc>
        <w:tc>
          <w:tcPr>
            <w:tcW w:w="195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使入党积极分子和发展对象能够系统的学习党的基本知识</w:t>
            </w:r>
          </w:p>
        </w:tc>
        <w:tc>
          <w:tcPr>
            <w:tcW w:w="4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95</w:t>
            </w:r>
          </w:p>
        </w:tc>
        <w:tc>
          <w:tcPr>
            <w:tcW w:w="716"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90</w:t>
            </w:r>
          </w:p>
        </w:tc>
        <w:tc>
          <w:tcPr>
            <w:tcW w:w="716"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85</w:t>
            </w:r>
          </w:p>
        </w:tc>
        <w:tc>
          <w:tcPr>
            <w:tcW w:w="7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70</w:t>
            </w:r>
          </w:p>
        </w:tc>
      </w:tr>
    </w:tbl>
    <w:p>
      <w:pPr>
        <w:spacing w:line="560" w:lineRule="exact"/>
        <w:ind w:firstLine="640" w:firstLineChars="200"/>
        <w:outlineLvl w:val="0"/>
        <w:rPr>
          <w:rFonts w:ascii="仿宋" w:hAnsi="仿宋" w:eastAsia="仿宋" w:cs="黑体"/>
          <w:sz w:val="32"/>
          <w:szCs w:val="32"/>
          <w:lang w:val="zh-CN"/>
        </w:rPr>
      </w:pPr>
    </w:p>
    <w:p>
      <w:pPr>
        <w:ind w:firstLine="640"/>
        <w:rPr>
          <w:rFonts w:asciiTheme="minorHAnsi" w:hAnsiTheme="minorHAnsi"/>
          <w:lang w:val="uk-UA"/>
        </w:rPr>
        <w:sectPr>
          <w:pgSz w:w="16840" w:h="11900" w:orient="landscape"/>
          <w:pgMar w:top="1361" w:right="1020" w:bottom="1134" w:left="1020" w:header="720" w:footer="720" w:gutter="0"/>
          <w:cols w:space="720" w:num="1"/>
        </w:sectPr>
      </w:pPr>
    </w:p>
    <w:p>
      <w:pPr>
        <w:spacing w:before="10" w:after="10"/>
        <w:ind w:firstLine="640"/>
        <w:outlineLvl w:val="2"/>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2022年，成安县县直工委安排政府采购预算0.00万元。具体内容见下表。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560成安县县直工委</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成安县县直工委（含所属单位）上年末固定资产金额为4.34万元（详见下表）。本年度拟购置固定资产总额为0.00万元，已按要求列入政府采购预算，详见政府采购预算表。</w:t>
      </w:r>
    </w:p>
    <w:tbl>
      <w:tblPr>
        <w:tblStyle w:val="8"/>
        <w:tblpPr w:leftFromText="180" w:rightFromText="180" w:vertAnchor="text" w:horzAnchor="page" w:tblpX="1748" w:tblpY="56"/>
        <w:tblOverlap w:val="never"/>
        <w:tblW w:w="0" w:type="auto"/>
        <w:tblInd w:w="0" w:type="dxa"/>
        <w:tblLayout w:type="fixed"/>
        <w:tblCellMar>
          <w:top w:w="0" w:type="dxa"/>
          <w:left w:w="108" w:type="dxa"/>
          <w:bottom w:w="0" w:type="dxa"/>
          <w:right w:w="108" w:type="dxa"/>
        </w:tblCellMar>
      </w:tblPr>
      <w:tblGrid>
        <w:gridCol w:w="4139"/>
        <w:gridCol w:w="855"/>
        <w:gridCol w:w="4066"/>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ind w:firstLine="2249" w:firstLineChars="700"/>
              <w:rPr>
                <w:rFonts w:ascii="仿宋" w:hAnsi="仿宋" w:eastAsia="仿宋"/>
                <w:b/>
                <w:bCs/>
                <w:sz w:val="32"/>
                <w:szCs w:val="32"/>
              </w:rPr>
            </w:pPr>
            <w:r>
              <w:rPr>
                <w:rFonts w:hint="eastAsia" w:ascii="仿宋" w:hAnsi="仿宋" w:eastAsia="仿宋" w:cs="宋体"/>
                <w:b/>
                <w:bCs/>
                <w:sz w:val="32"/>
                <w:szCs w:val="32"/>
              </w:rPr>
              <w:t>部门固定资产占用情况表</w:t>
            </w:r>
          </w:p>
        </w:tc>
      </w:tr>
      <w:tr>
        <w:tblPrEx>
          <w:tblCellMar>
            <w:top w:w="0" w:type="dxa"/>
            <w:left w:w="108" w:type="dxa"/>
            <w:bottom w:w="0" w:type="dxa"/>
            <w:right w:w="108" w:type="dxa"/>
          </w:tblCellMar>
        </w:tblPrEx>
        <w:trPr>
          <w:trHeight w:val="510" w:hRule="atLeast"/>
        </w:trPr>
        <w:tc>
          <w:tcPr>
            <w:tcW w:w="4994" w:type="dxa"/>
            <w:gridSpan w:val="2"/>
            <w:tcBorders>
              <w:top w:val="nil"/>
              <w:left w:val="nil"/>
              <w:bottom w:val="nil"/>
              <w:right w:val="nil"/>
            </w:tcBorders>
            <w:vAlign w:val="center"/>
          </w:tcPr>
          <w:p>
            <w:pPr>
              <w:rPr>
                <w:rFonts w:ascii="仿宋" w:hAnsi="仿宋" w:eastAsia="仿宋"/>
                <w:sz w:val="22"/>
              </w:rPr>
            </w:pPr>
            <w:r>
              <w:rPr>
                <w:rFonts w:hint="eastAsia" w:ascii="仿宋" w:hAnsi="仿宋" w:eastAsia="仿宋" w:cs="宋体"/>
                <w:sz w:val="22"/>
              </w:rPr>
              <w:t>编制部门：成安县直工委</w:t>
            </w:r>
          </w:p>
        </w:tc>
        <w:tc>
          <w:tcPr>
            <w:tcW w:w="4066" w:type="dxa"/>
            <w:tcBorders>
              <w:top w:val="nil"/>
              <w:left w:val="nil"/>
              <w:bottom w:val="nil"/>
              <w:right w:val="nil"/>
            </w:tcBorders>
            <w:vAlign w:val="center"/>
          </w:tcPr>
          <w:p>
            <w:pPr>
              <w:ind w:firstLine="550" w:firstLineChars="250"/>
              <w:rPr>
                <w:rFonts w:ascii="仿宋" w:hAnsi="仿宋" w:eastAsia="仿宋" w:cs="宋体"/>
                <w:sz w:val="22"/>
              </w:rPr>
            </w:pPr>
            <w:r>
              <w:rPr>
                <w:rFonts w:hint="eastAsia" w:ascii="仿宋" w:hAnsi="仿宋" w:eastAsia="仿宋" w:cs="宋体"/>
                <w:sz w:val="22"/>
              </w:rPr>
              <w:t>截止时间：</w:t>
            </w:r>
            <w:r>
              <w:rPr>
                <w:rFonts w:ascii="仿宋" w:hAnsi="仿宋" w:eastAsia="仿宋" w:cs="宋体"/>
                <w:sz w:val="22"/>
              </w:rPr>
              <w:t>2021</w:t>
            </w:r>
            <w:r>
              <w:rPr>
                <w:rFonts w:hint="eastAsia" w:ascii="仿宋" w:hAnsi="仿宋" w:eastAsia="仿宋" w:cs="宋体"/>
                <w:sz w:val="22"/>
              </w:rPr>
              <w:t>年</w:t>
            </w:r>
            <w:r>
              <w:rPr>
                <w:rFonts w:ascii="仿宋" w:hAnsi="仿宋" w:eastAsia="仿宋" w:cs="宋体"/>
                <w:sz w:val="22"/>
              </w:rPr>
              <w:t>12</w:t>
            </w:r>
            <w:r>
              <w:rPr>
                <w:rFonts w:hint="eastAsia" w:ascii="仿宋" w:hAnsi="仿宋" w:eastAsia="仿宋" w:cs="宋体"/>
                <w:sz w:val="22"/>
              </w:rPr>
              <w:t>月</w:t>
            </w:r>
            <w:r>
              <w:rPr>
                <w:rFonts w:ascii="仿宋" w:hAnsi="仿宋" w:eastAsia="仿宋" w:cs="宋体"/>
                <w:sz w:val="22"/>
              </w:rPr>
              <w:t>31</w:t>
            </w:r>
            <w:r>
              <w:rPr>
                <w:rFonts w:hint="eastAsia" w:ascii="仿宋" w:hAnsi="仿宋" w:eastAsia="仿宋" w:cs="宋体"/>
                <w:sz w:val="22"/>
              </w:rPr>
              <w:t>日</w:t>
            </w:r>
          </w:p>
        </w:tc>
      </w:tr>
      <w:tr>
        <w:tblPrEx>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项目</w:t>
            </w:r>
          </w:p>
        </w:tc>
        <w:tc>
          <w:tcPr>
            <w:tcW w:w="855"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数量</w:t>
            </w:r>
          </w:p>
        </w:tc>
        <w:tc>
          <w:tcPr>
            <w:tcW w:w="4066"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价值（金额单位：万元）</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cs="宋体"/>
                <w:sz w:val="22"/>
              </w:rPr>
              <w:t>资产总额</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cs="宋体"/>
                <w:sz w:val="22"/>
              </w:rPr>
            </w:pPr>
            <w:r>
              <w:rPr>
                <w:rFonts w:ascii="仿宋" w:hAnsi="仿宋" w:eastAsia="仿宋" w:cs="宋体"/>
                <w:sz w:val="22"/>
              </w:rPr>
              <w:t>——</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cs="宋体"/>
                <w:sz w:val="22"/>
              </w:rPr>
            </w:pPr>
            <w:r>
              <w:rPr>
                <w:rFonts w:ascii="仿宋" w:hAnsi="仿宋" w:eastAsia="仿宋" w:cs="宋体"/>
                <w:sz w:val="22"/>
              </w:rPr>
              <w:t>4.34</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1</w:t>
            </w:r>
            <w:r>
              <w:rPr>
                <w:rFonts w:hint="eastAsia" w:ascii="仿宋" w:hAnsi="仿宋" w:eastAsia="仿宋" w:cs="宋体"/>
                <w:sz w:val="22"/>
              </w:rPr>
              <w:t>、房屋（平方米）</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hint="eastAsia" w:ascii="仿宋" w:hAnsi="仿宋" w:eastAsia="仿宋" w:cs="宋体"/>
                <w:sz w:val="22"/>
              </w:rPr>
              <w:t>其中：办公用房（平方米）</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2</w:t>
            </w:r>
            <w:r>
              <w:rPr>
                <w:rFonts w:hint="eastAsia" w:ascii="仿宋" w:hAnsi="仿宋" w:eastAsia="仿宋" w:cs="宋体"/>
                <w:sz w:val="22"/>
              </w:rPr>
              <w:t>、车辆（台、辆）</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1</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3</w:t>
            </w:r>
            <w:r>
              <w:rPr>
                <w:rFonts w:hint="eastAsia" w:ascii="仿宋" w:hAnsi="仿宋" w:eastAsia="仿宋" w:cs="宋体"/>
                <w:sz w:val="22"/>
              </w:rPr>
              <w:t>、单价在</w:t>
            </w:r>
            <w:r>
              <w:rPr>
                <w:rFonts w:ascii="仿宋" w:hAnsi="仿宋" w:eastAsia="仿宋" w:cs="宋体"/>
                <w:sz w:val="22"/>
              </w:rPr>
              <w:t>50</w:t>
            </w:r>
            <w:r>
              <w:rPr>
                <w:rFonts w:hint="eastAsia" w:ascii="仿宋" w:hAnsi="仿宋" w:eastAsia="仿宋" w:cs="宋体"/>
                <w:sz w:val="22"/>
              </w:rPr>
              <w:t>万元以上的设备</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0</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0</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4</w:t>
            </w:r>
            <w:r>
              <w:rPr>
                <w:rFonts w:hint="eastAsia" w:ascii="仿宋" w:hAnsi="仿宋" w:eastAsia="仿宋" w:cs="宋体"/>
                <w:sz w:val="22"/>
              </w:rPr>
              <w:t>、其他固定资产</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10</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ascii="仿宋" w:hAnsi="仿宋" w:eastAsia="仿宋"/>
                <w:sz w:val="22"/>
              </w:rPr>
              <w:t>4.34</w:t>
            </w:r>
          </w:p>
        </w:tc>
      </w:tr>
    </w:tbl>
    <w:p>
      <w:pPr>
        <w:ind w:firstLine="640"/>
      </w:pPr>
      <w:r>
        <w:rPr>
          <w:rFonts w:eastAsia="方正仿宋_GBK"/>
          <w:color w:val="000000"/>
          <w:sz w:val="32"/>
        </w:rPr>
        <w:t xml:space="preserve"> </w:t>
      </w:r>
    </w:p>
    <w:p>
      <w:pPr>
        <w:spacing w:before="10" w:after="10"/>
        <w:ind w:firstLine="640"/>
        <w:outlineLvl w:val="2"/>
        <w:rPr>
          <w:rFonts w:eastAsia="黑体" w:cs="黑体" w:asciiTheme="minorHAnsi" w:hAnsiTheme="minorHAnsi"/>
          <w:color w:val="000000"/>
          <w:sz w:val="32"/>
          <w:lang w:val="uk-UA"/>
        </w:rPr>
      </w:pPr>
    </w:p>
    <w:p>
      <w:pPr>
        <w:spacing w:before="10" w:after="10"/>
        <w:ind w:firstLine="640"/>
        <w:outlineLvl w:val="2"/>
        <w:rPr>
          <w:rFonts w:eastAsia="黑体" w:cs="黑体" w:asciiTheme="minorHAnsi" w:hAnsiTheme="minorHAnsi"/>
          <w:color w:val="000000"/>
          <w:sz w:val="32"/>
          <w:lang w:val="uk-UA"/>
        </w:rPr>
      </w:pPr>
    </w:p>
    <w:p>
      <w:pPr>
        <w:spacing w:before="10" w:after="10"/>
        <w:ind w:firstLine="640"/>
        <w:outlineLvl w:val="2"/>
        <w:rPr>
          <w:rFonts w:eastAsia="黑体" w:cs="黑体" w:asciiTheme="minorHAnsi" w:hAnsiTheme="minorHAnsi"/>
          <w:color w:val="000000"/>
          <w:sz w:val="32"/>
          <w:lang w:val="uk-UA"/>
        </w:rPr>
      </w:pPr>
    </w:p>
    <w:p>
      <w:pPr>
        <w:spacing w:before="10" w:after="10"/>
        <w:ind w:firstLine="640"/>
        <w:outlineLvl w:val="2"/>
        <w:rPr>
          <w:rFonts w:eastAsia="黑体" w:cs="黑体" w:asciiTheme="minorHAnsi" w:hAnsiTheme="minorHAnsi"/>
          <w:color w:val="000000"/>
          <w:sz w:val="32"/>
          <w:lang w:val="uk-UA"/>
        </w:rPr>
      </w:pPr>
    </w:p>
    <w:p>
      <w:pPr>
        <w:spacing w:before="10" w:after="10"/>
        <w:ind w:firstLine="640"/>
        <w:outlineLvl w:val="2"/>
        <w:rPr>
          <w:rFonts w:eastAsia="黑体" w:cs="黑体" w:asciiTheme="minorHAnsi" w:hAnsiTheme="minorHAnsi"/>
          <w:color w:val="000000"/>
          <w:sz w:val="32"/>
          <w:lang w:val="uk-UA"/>
        </w:rPr>
      </w:pPr>
    </w:p>
    <w:p>
      <w:pPr>
        <w:spacing w:before="10" w:after="10"/>
        <w:ind w:firstLine="640"/>
        <w:outlineLvl w:val="2"/>
        <w:rPr>
          <w:rFonts w:eastAsia="黑体" w:cs="黑体" w:asciiTheme="minorHAnsi" w:hAnsiTheme="minorHAnsi"/>
          <w:color w:val="000000"/>
          <w:sz w:val="32"/>
          <w:lang w:val="uk-UA"/>
        </w:rPr>
      </w:pPr>
    </w:p>
    <w:p>
      <w:pPr>
        <w:spacing w:before="10" w:after="10"/>
        <w:ind w:firstLine="640"/>
        <w:outlineLvl w:val="2"/>
        <w:rPr>
          <w:rFonts w:eastAsia="黑体" w:cs="黑体" w:asciiTheme="minorHAnsi" w:hAnsiTheme="minorHAnsi"/>
          <w:color w:val="000000"/>
          <w:sz w:val="32"/>
          <w:lang w:val="uk-UA"/>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3C3ADF"/>
    <w:multiLevelType w:val="multilevel"/>
    <w:tmpl w:val="1D3C3ADF"/>
    <w:lvl w:ilvl="0" w:tentative="0">
      <w:start w:val="1"/>
      <w:numFmt w:val="decimal"/>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543290"/>
    <w:rsid w:val="00202467"/>
    <w:rsid w:val="004F01C1"/>
    <w:rsid w:val="00543290"/>
    <w:rsid w:val="00600C1C"/>
    <w:rsid w:val="00AB3BA5"/>
    <w:rsid w:val="00B87F35"/>
    <w:rsid w:val="129578C5"/>
    <w:rsid w:val="61E13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uiPriority w:val="99"/>
    <w:pPr>
      <w:tabs>
        <w:tab w:val="center" w:pos="4153"/>
        <w:tab w:val="right" w:pos="8306"/>
      </w:tabs>
      <w:snapToGrid w:val="0"/>
    </w:pPr>
    <w:rPr>
      <w:sz w:val="18"/>
      <w:szCs w:val="18"/>
    </w:rPr>
  </w:style>
  <w:style w:type="paragraph" w:styleId="4">
    <w:name w:val="header"/>
    <w:basedOn w:val="1"/>
    <w:link w:val="33"/>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uiPriority w:val="99"/>
    <w:rPr>
      <w:rFonts w:eastAsia="Times New Roman"/>
      <w:sz w:val="18"/>
      <w:szCs w:val="18"/>
      <w:lang w:eastAsia="uk-UA"/>
    </w:rPr>
  </w:style>
  <w:style w:type="character" w:customStyle="1" w:styleId="34">
    <w:name w:val="页脚 Char"/>
    <w:basedOn w:val="10"/>
    <w:link w:val="3"/>
    <w:uiPriority w:val="99"/>
    <w:rPr>
      <w:rFonts w:eastAsia="Times New Roman"/>
      <w:sz w:val="18"/>
      <w:szCs w:val="18"/>
      <w:lang w:eastAsia="uk-UA"/>
    </w:rPr>
  </w:style>
  <w:style w:type="character" w:customStyle="1" w:styleId="35">
    <w:name w:val="zh03"/>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2022-03-18T12:11:50Z</dcterms:created>
  <dcterms:modified xsi:type="dcterms:W3CDTF">2022-03-18T04:11:50Z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2022-03-18T12:11:47Z</dcterms:created>
  <dcterms:modified xsi:type="dcterms:W3CDTF">2022-03-18T04:11:47Z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2022-03-18T12:11:47Z</dcterms:created>
  <dcterms:modified xsi:type="dcterms:W3CDTF">2022-03-18T04:11:47Z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2022-03-18T12:11:50Z</dcterms:created>
  <dcterms:modified xsi:type="dcterms:W3CDTF">2022-03-18T04:11:50Z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2022-03-18T12:11:47Z</dcterms:created>
  <dcterms:modified xsi:type="dcterms:W3CDTF">2022-03-18T04:11:47Z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54E4247-C0D3-48A4-B829-E50BA87D813C}">
  <ds:schemaRefs/>
</ds:datastoreItem>
</file>

<file path=customXml/itemProps10.xml><?xml version="1.0" encoding="utf-8"?>
<ds:datastoreItem xmlns:ds="http://schemas.openxmlformats.org/officeDocument/2006/customXml" ds:itemID="{5E08957B-116A-4EEC-A476-1CB0064EA78C}">
  <ds:schemaRefs/>
</ds:datastoreItem>
</file>

<file path=customXml/itemProps2.xml><?xml version="1.0" encoding="utf-8"?>
<ds:datastoreItem xmlns:ds="http://schemas.openxmlformats.org/officeDocument/2006/customXml" ds:itemID="{B39E9409-968D-4195-8110-9D9F22340A25}">
  <ds:schemaRefs/>
</ds:datastoreItem>
</file>

<file path=customXml/itemProps3.xml><?xml version="1.0" encoding="utf-8"?>
<ds:datastoreItem xmlns:ds="http://schemas.openxmlformats.org/officeDocument/2006/customXml" ds:itemID="{467EC06E-9BFE-459A-BC5F-466CAF5F829D}">
  <ds:schemaRefs/>
</ds:datastoreItem>
</file>

<file path=customXml/itemProps4.xml><?xml version="1.0" encoding="utf-8"?>
<ds:datastoreItem xmlns:ds="http://schemas.openxmlformats.org/officeDocument/2006/customXml" ds:itemID="{82A12E24-5B71-4AA2-8308-E3F27B479586}">
  <ds:schemaRefs/>
</ds:datastoreItem>
</file>

<file path=customXml/itemProps5.xml><?xml version="1.0" encoding="utf-8"?>
<ds:datastoreItem xmlns:ds="http://schemas.openxmlformats.org/officeDocument/2006/customXml" ds:itemID="{7C738227-5EC6-4677-9171-9306683DDFB9}">
  <ds:schemaRefs/>
</ds:datastoreItem>
</file>

<file path=customXml/itemProps6.xml><?xml version="1.0" encoding="utf-8"?>
<ds:datastoreItem xmlns:ds="http://schemas.openxmlformats.org/officeDocument/2006/customXml" ds:itemID="{EB06A6A3-D20E-4AAC-AFBF-9E3A558C8EC0}">
  <ds:schemaRefs/>
</ds:datastoreItem>
</file>

<file path=customXml/itemProps7.xml><?xml version="1.0" encoding="utf-8"?>
<ds:datastoreItem xmlns:ds="http://schemas.openxmlformats.org/officeDocument/2006/customXml" ds:itemID="{5C0C3FE2-5E81-47F6-AE19-66EB552480A9}">
  <ds:schemaRefs/>
</ds:datastoreItem>
</file>

<file path=customXml/itemProps8.xml><?xml version="1.0" encoding="utf-8"?>
<ds:datastoreItem xmlns:ds="http://schemas.openxmlformats.org/officeDocument/2006/customXml" ds:itemID="{16033E6F-3983-4A60-8F1C-40CA1685A499}">
  <ds:schemaRefs/>
</ds:datastoreItem>
</file>

<file path=customXml/itemProps9.xml><?xml version="1.0" encoding="utf-8"?>
<ds:datastoreItem xmlns:ds="http://schemas.openxmlformats.org/officeDocument/2006/customXml" ds:itemID="{A8C81ED7-705C-45FE-98F1-FAE44ABB4622}">
  <ds:schemaRefs/>
</ds:datastoreItem>
</file>

<file path=docProps/app.xml><?xml version="1.0" encoding="utf-8"?>
<Properties xmlns="http://schemas.openxmlformats.org/officeDocument/2006/extended-properties" xmlns:vt="http://schemas.openxmlformats.org/officeDocument/2006/docPropsVTypes">
  <Template>Normal</Template>
  <Pages>23</Pages>
  <Words>1493</Words>
  <Characters>8513</Characters>
  <Lines>70</Lines>
  <Paragraphs>19</Paragraphs>
  <TotalTime>0</TotalTime>
  <ScaleCrop>false</ScaleCrop>
  <LinksUpToDate>false</LinksUpToDate>
  <CharactersWithSpaces>9987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2022-03-18T12:11:00Z</dcterms:created>
  <dc:creator>Administrator</dc:creator>
  <cp:lastModifiedBy>WPS_1657181579</cp:lastModifiedBy>
  <dcterms:modified xsi:type="dcterms:W3CDTF">2024-01-18T10:21:29Z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955CC13CB07B4F188207490F4BCFA26F</vt:lpwstr>
  </property>
</Properties>
</file>