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成安县医疗保障局所属单位</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27</w:t>
      </w:r>
      <w:r>
        <w:fldChar w:fldCharType="end"/>
      </w:r>
      <w:r>
        <w:fldChar w:fldCharType="end"/>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fldChar w:fldCharType="end"/>
      </w:r>
    </w:p>
    <w:p>
      <w:pPr>
        <w:jc w:val="center"/>
        <w:outlineLvl w:val="3"/>
      </w:pPr>
      <w:bookmarkStart w:id="0" w:name="_Toc_4_4_0000000019"/>
      <w:r>
        <w:rPr>
          <w:rFonts w:ascii="方正小标宋_GBK" w:hAnsi="方正小标宋_GBK" w:eastAsia="方正小标宋_GBK" w:cs="方正小标宋_GBK"/>
          <w:color w:val="000000"/>
          <w:sz w:val="44"/>
        </w:rPr>
        <w:t>一、成安县医疗保障局机关本级收支预算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320001成安县医疗保障局机关本级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7034.70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6991.59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7034.70</w:t>
            </w:r>
          </w:p>
        </w:tc>
        <w:tc>
          <w:tcPr>
            <w:tcW w:w="4535" w:type="dxa"/>
            <w:vAlign w:val="center"/>
          </w:tcPr>
          <w:p>
            <w:pPr>
              <w:pStyle w:val="16"/>
            </w:pPr>
            <w:r>
              <w:t>本年支出合计</w:t>
            </w:r>
          </w:p>
        </w:tc>
        <w:tc>
          <w:tcPr>
            <w:tcW w:w="2126" w:type="dxa"/>
            <w:vAlign w:val="center"/>
          </w:tcPr>
          <w:p>
            <w:pPr>
              <w:pStyle w:val="17"/>
            </w:pPr>
            <w:r>
              <w:t>7034.70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7034.70</w:t>
            </w:r>
          </w:p>
        </w:tc>
        <w:tc>
          <w:tcPr>
            <w:tcW w:w="4535" w:type="dxa"/>
            <w:vAlign w:val="center"/>
          </w:tcPr>
          <w:p>
            <w:pPr>
              <w:pStyle w:val="16"/>
            </w:pPr>
            <w:r>
              <w:t>支出总计</w:t>
            </w:r>
          </w:p>
        </w:tc>
        <w:tc>
          <w:tcPr>
            <w:tcW w:w="2126" w:type="dxa"/>
            <w:vAlign w:val="center"/>
          </w:tcPr>
          <w:p>
            <w:pPr>
              <w:pStyle w:val="17"/>
            </w:pPr>
            <w:r>
              <w:t>7034.70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320001成安县医疗保障局机关本级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7034.70</w:t>
            </w:r>
          </w:p>
        </w:tc>
        <w:tc>
          <w:tcPr>
            <w:tcW w:w="1134" w:type="dxa"/>
            <w:vAlign w:val="center"/>
          </w:tcPr>
          <w:p>
            <w:pPr>
              <w:pStyle w:val="17"/>
            </w:pPr>
            <w:r>
              <w:t>7034.70</w:t>
            </w:r>
          </w:p>
        </w:tc>
        <w:tc>
          <w:tcPr>
            <w:tcW w:w="1134" w:type="dxa"/>
            <w:vAlign w:val="center"/>
          </w:tcPr>
          <w:p>
            <w:pPr>
              <w:pStyle w:val="17"/>
            </w:pPr>
            <w:r>
              <w:t>7034.70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30.41</w:t>
            </w:r>
          </w:p>
        </w:tc>
        <w:tc>
          <w:tcPr>
            <w:tcW w:w="1134" w:type="dxa"/>
            <w:vAlign w:val="center"/>
          </w:tcPr>
          <w:p>
            <w:pPr>
              <w:pStyle w:val="13"/>
            </w:pPr>
            <w:r>
              <w:t>30.41</w:t>
            </w:r>
          </w:p>
        </w:tc>
        <w:tc>
          <w:tcPr>
            <w:tcW w:w="1134" w:type="dxa"/>
            <w:vAlign w:val="center"/>
          </w:tcPr>
          <w:p>
            <w:pPr>
              <w:pStyle w:val="13"/>
            </w:pPr>
            <w:r>
              <w:t>30.41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25.41</w:t>
            </w:r>
          </w:p>
        </w:tc>
        <w:tc>
          <w:tcPr>
            <w:tcW w:w="1134" w:type="dxa"/>
            <w:vAlign w:val="center"/>
          </w:tcPr>
          <w:p>
            <w:pPr>
              <w:pStyle w:val="13"/>
            </w:pPr>
            <w:r>
              <w:t>25.41</w:t>
            </w:r>
          </w:p>
        </w:tc>
        <w:tc>
          <w:tcPr>
            <w:tcW w:w="1134" w:type="dxa"/>
            <w:vAlign w:val="center"/>
          </w:tcPr>
          <w:p>
            <w:pPr>
              <w:pStyle w:val="13"/>
            </w:pPr>
            <w:r>
              <w:t>25.41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16.94</w:t>
            </w:r>
          </w:p>
        </w:tc>
        <w:tc>
          <w:tcPr>
            <w:tcW w:w="1134" w:type="dxa"/>
            <w:vAlign w:val="center"/>
          </w:tcPr>
          <w:p>
            <w:pPr>
              <w:pStyle w:val="13"/>
            </w:pPr>
            <w:r>
              <w:t>16.94</w:t>
            </w:r>
          </w:p>
        </w:tc>
        <w:tc>
          <w:tcPr>
            <w:tcW w:w="1134" w:type="dxa"/>
            <w:vAlign w:val="center"/>
          </w:tcPr>
          <w:p>
            <w:pPr>
              <w:pStyle w:val="13"/>
            </w:pPr>
            <w:r>
              <w:t>16.94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8.47</w:t>
            </w:r>
          </w:p>
        </w:tc>
        <w:tc>
          <w:tcPr>
            <w:tcW w:w="1134" w:type="dxa"/>
            <w:vAlign w:val="center"/>
          </w:tcPr>
          <w:p>
            <w:pPr>
              <w:pStyle w:val="13"/>
            </w:pPr>
            <w:r>
              <w:t>8.47</w:t>
            </w:r>
          </w:p>
        </w:tc>
        <w:tc>
          <w:tcPr>
            <w:tcW w:w="1134" w:type="dxa"/>
            <w:vAlign w:val="center"/>
          </w:tcPr>
          <w:p>
            <w:pPr>
              <w:pStyle w:val="13"/>
            </w:pPr>
            <w:r>
              <w:t>8.47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20899</w:t>
            </w:r>
          </w:p>
        </w:tc>
        <w:tc>
          <w:tcPr>
            <w:tcW w:w="1559" w:type="dxa"/>
            <w:vAlign w:val="center"/>
          </w:tcPr>
          <w:p>
            <w:pPr>
              <w:pStyle w:val="14"/>
            </w:pPr>
            <w:r>
              <w:t>其他社会保障和就业支出</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2089999</w:t>
            </w:r>
          </w:p>
        </w:tc>
        <w:tc>
          <w:tcPr>
            <w:tcW w:w="1559" w:type="dxa"/>
            <w:vAlign w:val="center"/>
          </w:tcPr>
          <w:p>
            <w:pPr>
              <w:pStyle w:val="14"/>
            </w:pPr>
            <w:r>
              <w:t>其他社会保障和就业支出</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6991.59</w:t>
            </w:r>
          </w:p>
        </w:tc>
        <w:tc>
          <w:tcPr>
            <w:tcW w:w="1134" w:type="dxa"/>
            <w:vAlign w:val="center"/>
          </w:tcPr>
          <w:p>
            <w:pPr>
              <w:pStyle w:val="13"/>
            </w:pPr>
            <w:r>
              <w:t>6991.59</w:t>
            </w:r>
          </w:p>
        </w:tc>
        <w:tc>
          <w:tcPr>
            <w:tcW w:w="1134" w:type="dxa"/>
            <w:vAlign w:val="center"/>
          </w:tcPr>
          <w:p>
            <w:pPr>
              <w:pStyle w:val="13"/>
            </w:pPr>
            <w:r>
              <w:t>6991.59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1610.00</w:t>
            </w:r>
          </w:p>
        </w:tc>
        <w:tc>
          <w:tcPr>
            <w:tcW w:w="1134" w:type="dxa"/>
            <w:vAlign w:val="center"/>
          </w:tcPr>
          <w:p>
            <w:pPr>
              <w:pStyle w:val="13"/>
            </w:pPr>
            <w:r>
              <w:t>1610.00</w:t>
            </w:r>
          </w:p>
        </w:tc>
        <w:tc>
          <w:tcPr>
            <w:tcW w:w="1134" w:type="dxa"/>
            <w:vAlign w:val="center"/>
          </w:tcPr>
          <w:p>
            <w:pPr>
              <w:pStyle w:val="13"/>
            </w:pPr>
            <w:r>
              <w:t>1610.00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1610.00</w:t>
            </w:r>
          </w:p>
        </w:tc>
        <w:tc>
          <w:tcPr>
            <w:tcW w:w="1134" w:type="dxa"/>
            <w:vAlign w:val="center"/>
          </w:tcPr>
          <w:p>
            <w:pPr>
              <w:pStyle w:val="13"/>
            </w:pPr>
            <w:r>
              <w:t>1610.00</w:t>
            </w:r>
          </w:p>
        </w:tc>
        <w:tc>
          <w:tcPr>
            <w:tcW w:w="1134" w:type="dxa"/>
            <w:vAlign w:val="center"/>
          </w:tcPr>
          <w:p>
            <w:pPr>
              <w:pStyle w:val="13"/>
            </w:pPr>
            <w:r>
              <w:t>1610.00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4535.36</w:t>
            </w:r>
          </w:p>
        </w:tc>
        <w:tc>
          <w:tcPr>
            <w:tcW w:w="1134" w:type="dxa"/>
            <w:vAlign w:val="center"/>
          </w:tcPr>
          <w:p>
            <w:pPr>
              <w:pStyle w:val="13"/>
            </w:pPr>
            <w:r>
              <w:t>4535.36</w:t>
            </w:r>
          </w:p>
        </w:tc>
        <w:tc>
          <w:tcPr>
            <w:tcW w:w="1134" w:type="dxa"/>
            <w:vAlign w:val="center"/>
          </w:tcPr>
          <w:p>
            <w:pPr>
              <w:pStyle w:val="13"/>
            </w:pPr>
            <w:r>
              <w:t>4535.36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8.36</w:t>
            </w:r>
          </w:p>
        </w:tc>
        <w:tc>
          <w:tcPr>
            <w:tcW w:w="1134" w:type="dxa"/>
            <w:vAlign w:val="center"/>
          </w:tcPr>
          <w:p>
            <w:pPr>
              <w:pStyle w:val="13"/>
            </w:pPr>
            <w:r>
              <w:t>8.36</w:t>
            </w:r>
          </w:p>
        </w:tc>
        <w:tc>
          <w:tcPr>
            <w:tcW w:w="1134" w:type="dxa"/>
            <w:vAlign w:val="center"/>
          </w:tcPr>
          <w:p>
            <w:pPr>
              <w:pStyle w:val="13"/>
            </w:pPr>
            <w:r>
              <w:t>8.36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2101202</w:t>
            </w:r>
          </w:p>
        </w:tc>
        <w:tc>
          <w:tcPr>
            <w:tcW w:w="1559" w:type="dxa"/>
            <w:vAlign w:val="center"/>
          </w:tcPr>
          <w:p>
            <w:pPr>
              <w:pStyle w:val="14"/>
            </w:pPr>
            <w:r>
              <w:t>财政对城乡居民基本医疗保险基金的补助</w:t>
            </w:r>
          </w:p>
        </w:tc>
        <w:tc>
          <w:tcPr>
            <w:tcW w:w="1134" w:type="dxa"/>
            <w:vAlign w:val="center"/>
          </w:tcPr>
          <w:p>
            <w:pPr>
              <w:pStyle w:val="13"/>
            </w:pPr>
            <w:r>
              <w:t>4527.00</w:t>
            </w:r>
          </w:p>
        </w:tc>
        <w:tc>
          <w:tcPr>
            <w:tcW w:w="1134" w:type="dxa"/>
            <w:vAlign w:val="center"/>
          </w:tcPr>
          <w:p>
            <w:pPr>
              <w:pStyle w:val="13"/>
            </w:pPr>
            <w:r>
              <w:t>4527.00</w:t>
            </w:r>
          </w:p>
        </w:tc>
        <w:tc>
          <w:tcPr>
            <w:tcW w:w="1134" w:type="dxa"/>
            <w:vAlign w:val="center"/>
          </w:tcPr>
          <w:p>
            <w:pPr>
              <w:pStyle w:val="13"/>
            </w:pPr>
            <w:r>
              <w:t>4527.00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21013</w:t>
            </w:r>
          </w:p>
        </w:tc>
        <w:tc>
          <w:tcPr>
            <w:tcW w:w="1559" w:type="dxa"/>
            <w:vAlign w:val="center"/>
          </w:tcPr>
          <w:p>
            <w:pPr>
              <w:pStyle w:val="14"/>
            </w:pPr>
            <w:r>
              <w:t>医疗救助</w:t>
            </w:r>
          </w:p>
        </w:tc>
        <w:tc>
          <w:tcPr>
            <w:tcW w:w="1134" w:type="dxa"/>
            <w:vAlign w:val="center"/>
          </w:tcPr>
          <w:p>
            <w:pPr>
              <w:pStyle w:val="13"/>
            </w:pPr>
            <w:r>
              <w:t>620.00</w:t>
            </w:r>
          </w:p>
        </w:tc>
        <w:tc>
          <w:tcPr>
            <w:tcW w:w="1134" w:type="dxa"/>
            <w:vAlign w:val="center"/>
          </w:tcPr>
          <w:p>
            <w:pPr>
              <w:pStyle w:val="13"/>
            </w:pPr>
            <w:r>
              <w:t>620.00</w:t>
            </w:r>
          </w:p>
        </w:tc>
        <w:tc>
          <w:tcPr>
            <w:tcW w:w="1134" w:type="dxa"/>
            <w:vAlign w:val="center"/>
          </w:tcPr>
          <w:p>
            <w:pPr>
              <w:pStyle w:val="13"/>
            </w:pPr>
            <w:r>
              <w:t>620.00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2101301</w:t>
            </w:r>
          </w:p>
        </w:tc>
        <w:tc>
          <w:tcPr>
            <w:tcW w:w="1559" w:type="dxa"/>
            <w:vAlign w:val="center"/>
          </w:tcPr>
          <w:p>
            <w:pPr>
              <w:pStyle w:val="14"/>
            </w:pPr>
            <w:r>
              <w:t>城乡医疗救助</w:t>
            </w:r>
          </w:p>
        </w:tc>
        <w:tc>
          <w:tcPr>
            <w:tcW w:w="1134" w:type="dxa"/>
            <w:vAlign w:val="center"/>
          </w:tcPr>
          <w:p>
            <w:pPr>
              <w:pStyle w:val="13"/>
            </w:pPr>
            <w:r>
              <w:t>620.00</w:t>
            </w:r>
          </w:p>
        </w:tc>
        <w:tc>
          <w:tcPr>
            <w:tcW w:w="1134" w:type="dxa"/>
            <w:vAlign w:val="center"/>
          </w:tcPr>
          <w:p>
            <w:pPr>
              <w:pStyle w:val="13"/>
            </w:pPr>
            <w:r>
              <w:t>620.00</w:t>
            </w:r>
          </w:p>
        </w:tc>
        <w:tc>
          <w:tcPr>
            <w:tcW w:w="1134" w:type="dxa"/>
            <w:vAlign w:val="center"/>
          </w:tcPr>
          <w:p>
            <w:pPr>
              <w:pStyle w:val="13"/>
            </w:pPr>
            <w:r>
              <w:t>620.00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21015</w:t>
            </w:r>
          </w:p>
        </w:tc>
        <w:tc>
          <w:tcPr>
            <w:tcW w:w="1559" w:type="dxa"/>
            <w:vAlign w:val="center"/>
          </w:tcPr>
          <w:p>
            <w:pPr>
              <w:pStyle w:val="14"/>
            </w:pPr>
            <w:r>
              <w:t>医疗保障管理事务</w:t>
            </w:r>
          </w:p>
        </w:tc>
        <w:tc>
          <w:tcPr>
            <w:tcW w:w="1134" w:type="dxa"/>
            <w:vAlign w:val="center"/>
          </w:tcPr>
          <w:p>
            <w:pPr>
              <w:pStyle w:val="13"/>
            </w:pPr>
            <w:r>
              <w:t>226.23</w:t>
            </w:r>
          </w:p>
        </w:tc>
        <w:tc>
          <w:tcPr>
            <w:tcW w:w="1134" w:type="dxa"/>
            <w:vAlign w:val="center"/>
          </w:tcPr>
          <w:p>
            <w:pPr>
              <w:pStyle w:val="13"/>
            </w:pPr>
            <w:r>
              <w:t>226.23</w:t>
            </w:r>
          </w:p>
        </w:tc>
        <w:tc>
          <w:tcPr>
            <w:tcW w:w="1134" w:type="dxa"/>
            <w:vAlign w:val="center"/>
          </w:tcPr>
          <w:p>
            <w:pPr>
              <w:pStyle w:val="13"/>
            </w:pPr>
            <w:r>
              <w:t>226.23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2101501</w:t>
            </w:r>
          </w:p>
        </w:tc>
        <w:tc>
          <w:tcPr>
            <w:tcW w:w="1559" w:type="dxa"/>
            <w:vAlign w:val="center"/>
          </w:tcPr>
          <w:p>
            <w:pPr>
              <w:pStyle w:val="14"/>
            </w:pPr>
            <w:r>
              <w:t>行政运行</w:t>
            </w:r>
          </w:p>
        </w:tc>
        <w:tc>
          <w:tcPr>
            <w:tcW w:w="1134" w:type="dxa"/>
            <w:vAlign w:val="center"/>
          </w:tcPr>
          <w:p>
            <w:pPr>
              <w:pStyle w:val="13"/>
            </w:pPr>
            <w:r>
              <w:t>215.23</w:t>
            </w:r>
          </w:p>
        </w:tc>
        <w:tc>
          <w:tcPr>
            <w:tcW w:w="1134" w:type="dxa"/>
            <w:vAlign w:val="center"/>
          </w:tcPr>
          <w:p>
            <w:pPr>
              <w:pStyle w:val="13"/>
            </w:pPr>
            <w:r>
              <w:t>215.23</w:t>
            </w:r>
          </w:p>
        </w:tc>
        <w:tc>
          <w:tcPr>
            <w:tcW w:w="1134" w:type="dxa"/>
            <w:vAlign w:val="center"/>
          </w:tcPr>
          <w:p>
            <w:pPr>
              <w:pStyle w:val="13"/>
            </w:pPr>
            <w:r>
              <w:t>215.23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2101504</w:t>
            </w:r>
          </w:p>
        </w:tc>
        <w:tc>
          <w:tcPr>
            <w:tcW w:w="1559" w:type="dxa"/>
            <w:vAlign w:val="center"/>
          </w:tcPr>
          <w:p>
            <w:pPr>
              <w:pStyle w:val="14"/>
            </w:pPr>
            <w:r>
              <w:t>信息化建设</w:t>
            </w:r>
          </w:p>
        </w:tc>
        <w:tc>
          <w:tcPr>
            <w:tcW w:w="1134" w:type="dxa"/>
            <w:vAlign w:val="center"/>
          </w:tcPr>
          <w:p>
            <w:pPr>
              <w:pStyle w:val="13"/>
            </w:pPr>
            <w:r>
              <w:t>11.00</w:t>
            </w:r>
          </w:p>
        </w:tc>
        <w:tc>
          <w:tcPr>
            <w:tcW w:w="1134" w:type="dxa"/>
            <w:vAlign w:val="center"/>
          </w:tcPr>
          <w:p>
            <w:pPr>
              <w:pStyle w:val="13"/>
            </w:pPr>
            <w:r>
              <w:t>11.00</w:t>
            </w:r>
          </w:p>
        </w:tc>
        <w:tc>
          <w:tcPr>
            <w:tcW w:w="1134" w:type="dxa"/>
            <w:vAlign w:val="center"/>
          </w:tcPr>
          <w:p>
            <w:pPr>
              <w:pStyle w:val="13"/>
            </w:pPr>
            <w:r>
              <w:t>11.00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12.70</w:t>
            </w:r>
          </w:p>
        </w:tc>
        <w:tc>
          <w:tcPr>
            <w:tcW w:w="1134" w:type="dxa"/>
            <w:vAlign w:val="center"/>
          </w:tcPr>
          <w:p>
            <w:pPr>
              <w:pStyle w:val="13"/>
            </w:pPr>
            <w:r>
              <w:t>12.70</w:t>
            </w:r>
          </w:p>
        </w:tc>
        <w:tc>
          <w:tcPr>
            <w:tcW w:w="1134" w:type="dxa"/>
            <w:vAlign w:val="center"/>
          </w:tcPr>
          <w:p>
            <w:pPr>
              <w:pStyle w:val="13"/>
            </w:pPr>
            <w:r>
              <w:t>12.70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12.70</w:t>
            </w:r>
          </w:p>
        </w:tc>
        <w:tc>
          <w:tcPr>
            <w:tcW w:w="1134" w:type="dxa"/>
            <w:vAlign w:val="center"/>
          </w:tcPr>
          <w:p>
            <w:pPr>
              <w:pStyle w:val="13"/>
            </w:pPr>
            <w:r>
              <w:t>12.70</w:t>
            </w:r>
          </w:p>
        </w:tc>
        <w:tc>
          <w:tcPr>
            <w:tcW w:w="1134" w:type="dxa"/>
            <w:vAlign w:val="center"/>
          </w:tcPr>
          <w:p>
            <w:pPr>
              <w:pStyle w:val="13"/>
            </w:pPr>
            <w:r>
              <w:t>12.70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12.70</w:t>
            </w:r>
          </w:p>
        </w:tc>
        <w:tc>
          <w:tcPr>
            <w:tcW w:w="1134" w:type="dxa"/>
            <w:vAlign w:val="center"/>
          </w:tcPr>
          <w:p>
            <w:pPr>
              <w:pStyle w:val="13"/>
            </w:pPr>
            <w:r>
              <w:t>12.70</w:t>
            </w:r>
          </w:p>
        </w:tc>
        <w:tc>
          <w:tcPr>
            <w:tcW w:w="1134" w:type="dxa"/>
            <w:vAlign w:val="center"/>
          </w:tcPr>
          <w:p>
            <w:pPr>
              <w:pStyle w:val="13"/>
            </w:pPr>
            <w:r>
              <w:t>12.70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320001成安县医疗保障局机关本级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7034.70</w:t>
            </w:r>
          </w:p>
        </w:tc>
        <w:tc>
          <w:tcPr>
            <w:tcW w:w="1361" w:type="dxa"/>
            <w:vAlign w:val="center"/>
          </w:tcPr>
          <w:p>
            <w:pPr>
              <w:pStyle w:val="17"/>
            </w:pPr>
            <w:r>
              <w:t>261.70</w:t>
            </w:r>
          </w:p>
        </w:tc>
        <w:tc>
          <w:tcPr>
            <w:tcW w:w="1361" w:type="dxa"/>
            <w:vAlign w:val="center"/>
          </w:tcPr>
          <w:p>
            <w:pPr>
              <w:pStyle w:val="17"/>
            </w:pPr>
            <w:r>
              <w:t>6773.00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30.41</w:t>
            </w:r>
          </w:p>
        </w:tc>
        <w:tc>
          <w:tcPr>
            <w:tcW w:w="1361" w:type="dxa"/>
            <w:vAlign w:val="center"/>
          </w:tcPr>
          <w:p>
            <w:pPr>
              <w:pStyle w:val="13"/>
            </w:pPr>
            <w:r>
              <w:t>25.41</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25.41</w:t>
            </w:r>
          </w:p>
        </w:tc>
        <w:tc>
          <w:tcPr>
            <w:tcW w:w="1361" w:type="dxa"/>
            <w:vAlign w:val="center"/>
          </w:tcPr>
          <w:p>
            <w:pPr>
              <w:pStyle w:val="13"/>
            </w:pPr>
            <w:r>
              <w:t>25.41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16.94</w:t>
            </w:r>
          </w:p>
        </w:tc>
        <w:tc>
          <w:tcPr>
            <w:tcW w:w="1361" w:type="dxa"/>
            <w:vAlign w:val="center"/>
          </w:tcPr>
          <w:p>
            <w:pPr>
              <w:pStyle w:val="13"/>
            </w:pPr>
            <w:r>
              <w:t>16.94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8.47</w:t>
            </w:r>
          </w:p>
        </w:tc>
        <w:tc>
          <w:tcPr>
            <w:tcW w:w="1361" w:type="dxa"/>
            <w:vAlign w:val="center"/>
          </w:tcPr>
          <w:p>
            <w:pPr>
              <w:pStyle w:val="13"/>
            </w:pPr>
            <w:r>
              <w:t>8.47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20899</w:t>
            </w:r>
          </w:p>
        </w:tc>
        <w:tc>
          <w:tcPr>
            <w:tcW w:w="4535" w:type="dxa"/>
            <w:vAlign w:val="center"/>
          </w:tcPr>
          <w:p>
            <w:pPr>
              <w:pStyle w:val="14"/>
            </w:pPr>
            <w:r>
              <w:t>其他社会保障和就业支出</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2089999</w:t>
            </w:r>
          </w:p>
        </w:tc>
        <w:tc>
          <w:tcPr>
            <w:tcW w:w="4535" w:type="dxa"/>
            <w:vAlign w:val="center"/>
          </w:tcPr>
          <w:p>
            <w:pPr>
              <w:pStyle w:val="14"/>
            </w:pPr>
            <w:r>
              <w:t>其他社会保障和就业支出</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6991.59</w:t>
            </w:r>
          </w:p>
        </w:tc>
        <w:tc>
          <w:tcPr>
            <w:tcW w:w="1361" w:type="dxa"/>
            <w:vAlign w:val="center"/>
          </w:tcPr>
          <w:p>
            <w:pPr>
              <w:pStyle w:val="13"/>
            </w:pPr>
            <w:r>
              <w:t>223.59</w:t>
            </w:r>
          </w:p>
        </w:tc>
        <w:tc>
          <w:tcPr>
            <w:tcW w:w="1361" w:type="dxa"/>
            <w:vAlign w:val="center"/>
          </w:tcPr>
          <w:p>
            <w:pPr>
              <w:pStyle w:val="13"/>
            </w:pPr>
            <w:r>
              <w:t>6768.00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1610.00</w:t>
            </w:r>
          </w:p>
        </w:tc>
        <w:tc>
          <w:tcPr>
            <w:tcW w:w="1361" w:type="dxa"/>
            <w:vAlign w:val="center"/>
          </w:tcPr>
          <w:p>
            <w:pPr>
              <w:pStyle w:val="13"/>
            </w:pPr>
          </w:p>
        </w:tc>
        <w:tc>
          <w:tcPr>
            <w:tcW w:w="1361" w:type="dxa"/>
            <w:vAlign w:val="center"/>
          </w:tcPr>
          <w:p>
            <w:pPr>
              <w:pStyle w:val="13"/>
            </w:pPr>
            <w:r>
              <w:t>1610.00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1610.00</w:t>
            </w:r>
          </w:p>
        </w:tc>
        <w:tc>
          <w:tcPr>
            <w:tcW w:w="1361" w:type="dxa"/>
            <w:vAlign w:val="center"/>
          </w:tcPr>
          <w:p>
            <w:pPr>
              <w:pStyle w:val="13"/>
            </w:pPr>
          </w:p>
        </w:tc>
        <w:tc>
          <w:tcPr>
            <w:tcW w:w="1361" w:type="dxa"/>
            <w:vAlign w:val="center"/>
          </w:tcPr>
          <w:p>
            <w:pPr>
              <w:pStyle w:val="13"/>
            </w:pPr>
            <w:r>
              <w:t>1610.00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4535.36</w:t>
            </w:r>
          </w:p>
        </w:tc>
        <w:tc>
          <w:tcPr>
            <w:tcW w:w="1361" w:type="dxa"/>
            <w:vAlign w:val="center"/>
          </w:tcPr>
          <w:p>
            <w:pPr>
              <w:pStyle w:val="13"/>
            </w:pPr>
            <w:r>
              <w:t>8.36</w:t>
            </w:r>
          </w:p>
        </w:tc>
        <w:tc>
          <w:tcPr>
            <w:tcW w:w="1361" w:type="dxa"/>
            <w:vAlign w:val="center"/>
          </w:tcPr>
          <w:p>
            <w:pPr>
              <w:pStyle w:val="13"/>
            </w:pPr>
            <w:r>
              <w:t>4527.00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8.36</w:t>
            </w:r>
          </w:p>
        </w:tc>
        <w:tc>
          <w:tcPr>
            <w:tcW w:w="1361" w:type="dxa"/>
            <w:vAlign w:val="center"/>
          </w:tcPr>
          <w:p>
            <w:pPr>
              <w:pStyle w:val="13"/>
            </w:pPr>
            <w:r>
              <w:t>8.36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2101202</w:t>
            </w:r>
          </w:p>
        </w:tc>
        <w:tc>
          <w:tcPr>
            <w:tcW w:w="4535" w:type="dxa"/>
            <w:vAlign w:val="center"/>
          </w:tcPr>
          <w:p>
            <w:pPr>
              <w:pStyle w:val="14"/>
            </w:pPr>
            <w:r>
              <w:t>财政对城乡居民基本医疗保险基金的补助</w:t>
            </w:r>
          </w:p>
        </w:tc>
        <w:tc>
          <w:tcPr>
            <w:tcW w:w="1361" w:type="dxa"/>
            <w:vAlign w:val="center"/>
          </w:tcPr>
          <w:p>
            <w:pPr>
              <w:pStyle w:val="13"/>
            </w:pPr>
            <w:r>
              <w:t>4527.00</w:t>
            </w:r>
          </w:p>
        </w:tc>
        <w:tc>
          <w:tcPr>
            <w:tcW w:w="1361" w:type="dxa"/>
            <w:vAlign w:val="center"/>
          </w:tcPr>
          <w:p>
            <w:pPr>
              <w:pStyle w:val="13"/>
            </w:pPr>
          </w:p>
        </w:tc>
        <w:tc>
          <w:tcPr>
            <w:tcW w:w="1361" w:type="dxa"/>
            <w:vAlign w:val="center"/>
          </w:tcPr>
          <w:p>
            <w:pPr>
              <w:pStyle w:val="13"/>
            </w:pPr>
            <w:r>
              <w:t>4527.00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21013</w:t>
            </w:r>
          </w:p>
        </w:tc>
        <w:tc>
          <w:tcPr>
            <w:tcW w:w="4535" w:type="dxa"/>
            <w:vAlign w:val="center"/>
          </w:tcPr>
          <w:p>
            <w:pPr>
              <w:pStyle w:val="14"/>
            </w:pPr>
            <w:r>
              <w:t>医疗救助</w:t>
            </w:r>
          </w:p>
        </w:tc>
        <w:tc>
          <w:tcPr>
            <w:tcW w:w="1361" w:type="dxa"/>
            <w:vAlign w:val="center"/>
          </w:tcPr>
          <w:p>
            <w:pPr>
              <w:pStyle w:val="13"/>
            </w:pPr>
            <w:r>
              <w:t>620.00</w:t>
            </w:r>
          </w:p>
        </w:tc>
        <w:tc>
          <w:tcPr>
            <w:tcW w:w="1361" w:type="dxa"/>
            <w:vAlign w:val="center"/>
          </w:tcPr>
          <w:p>
            <w:pPr>
              <w:pStyle w:val="13"/>
            </w:pPr>
          </w:p>
        </w:tc>
        <w:tc>
          <w:tcPr>
            <w:tcW w:w="1361" w:type="dxa"/>
            <w:vAlign w:val="center"/>
          </w:tcPr>
          <w:p>
            <w:pPr>
              <w:pStyle w:val="13"/>
            </w:pPr>
            <w:r>
              <w:t>620.00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2101301</w:t>
            </w:r>
          </w:p>
        </w:tc>
        <w:tc>
          <w:tcPr>
            <w:tcW w:w="4535" w:type="dxa"/>
            <w:vAlign w:val="center"/>
          </w:tcPr>
          <w:p>
            <w:pPr>
              <w:pStyle w:val="14"/>
            </w:pPr>
            <w:r>
              <w:t>城乡医疗救助</w:t>
            </w:r>
          </w:p>
        </w:tc>
        <w:tc>
          <w:tcPr>
            <w:tcW w:w="1361" w:type="dxa"/>
            <w:vAlign w:val="center"/>
          </w:tcPr>
          <w:p>
            <w:pPr>
              <w:pStyle w:val="13"/>
            </w:pPr>
            <w:r>
              <w:t>620.00</w:t>
            </w:r>
          </w:p>
        </w:tc>
        <w:tc>
          <w:tcPr>
            <w:tcW w:w="1361" w:type="dxa"/>
            <w:vAlign w:val="center"/>
          </w:tcPr>
          <w:p>
            <w:pPr>
              <w:pStyle w:val="13"/>
            </w:pPr>
          </w:p>
        </w:tc>
        <w:tc>
          <w:tcPr>
            <w:tcW w:w="1361" w:type="dxa"/>
            <w:vAlign w:val="center"/>
          </w:tcPr>
          <w:p>
            <w:pPr>
              <w:pStyle w:val="13"/>
            </w:pPr>
            <w:r>
              <w:t>620.00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21015</w:t>
            </w:r>
          </w:p>
        </w:tc>
        <w:tc>
          <w:tcPr>
            <w:tcW w:w="4535" w:type="dxa"/>
            <w:vAlign w:val="center"/>
          </w:tcPr>
          <w:p>
            <w:pPr>
              <w:pStyle w:val="14"/>
            </w:pPr>
            <w:r>
              <w:t>医疗保障管理事务</w:t>
            </w:r>
          </w:p>
        </w:tc>
        <w:tc>
          <w:tcPr>
            <w:tcW w:w="1361" w:type="dxa"/>
            <w:vAlign w:val="center"/>
          </w:tcPr>
          <w:p>
            <w:pPr>
              <w:pStyle w:val="13"/>
            </w:pPr>
            <w:r>
              <w:t>226.23</w:t>
            </w:r>
          </w:p>
        </w:tc>
        <w:tc>
          <w:tcPr>
            <w:tcW w:w="1361" w:type="dxa"/>
            <w:vAlign w:val="center"/>
          </w:tcPr>
          <w:p>
            <w:pPr>
              <w:pStyle w:val="13"/>
            </w:pPr>
            <w:r>
              <w:t>215.23</w:t>
            </w:r>
          </w:p>
        </w:tc>
        <w:tc>
          <w:tcPr>
            <w:tcW w:w="1361" w:type="dxa"/>
            <w:vAlign w:val="center"/>
          </w:tcPr>
          <w:p>
            <w:pPr>
              <w:pStyle w:val="13"/>
            </w:pPr>
            <w:r>
              <w:t>11.00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2101501</w:t>
            </w:r>
          </w:p>
        </w:tc>
        <w:tc>
          <w:tcPr>
            <w:tcW w:w="4535" w:type="dxa"/>
            <w:vAlign w:val="center"/>
          </w:tcPr>
          <w:p>
            <w:pPr>
              <w:pStyle w:val="14"/>
            </w:pPr>
            <w:r>
              <w:t>行政运行</w:t>
            </w:r>
          </w:p>
        </w:tc>
        <w:tc>
          <w:tcPr>
            <w:tcW w:w="1361" w:type="dxa"/>
            <w:vAlign w:val="center"/>
          </w:tcPr>
          <w:p>
            <w:pPr>
              <w:pStyle w:val="13"/>
            </w:pPr>
            <w:r>
              <w:t>215.23</w:t>
            </w:r>
          </w:p>
        </w:tc>
        <w:tc>
          <w:tcPr>
            <w:tcW w:w="1361" w:type="dxa"/>
            <w:vAlign w:val="center"/>
          </w:tcPr>
          <w:p>
            <w:pPr>
              <w:pStyle w:val="13"/>
            </w:pPr>
            <w:r>
              <w:t>215.23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2101504</w:t>
            </w:r>
          </w:p>
        </w:tc>
        <w:tc>
          <w:tcPr>
            <w:tcW w:w="4535" w:type="dxa"/>
            <w:vAlign w:val="center"/>
          </w:tcPr>
          <w:p>
            <w:pPr>
              <w:pStyle w:val="14"/>
            </w:pPr>
            <w:r>
              <w:t>信息化建设</w:t>
            </w:r>
          </w:p>
        </w:tc>
        <w:tc>
          <w:tcPr>
            <w:tcW w:w="1361" w:type="dxa"/>
            <w:vAlign w:val="center"/>
          </w:tcPr>
          <w:p>
            <w:pPr>
              <w:pStyle w:val="13"/>
            </w:pPr>
            <w:r>
              <w:t>11.00</w:t>
            </w:r>
          </w:p>
        </w:tc>
        <w:tc>
          <w:tcPr>
            <w:tcW w:w="1361" w:type="dxa"/>
            <w:vAlign w:val="center"/>
          </w:tcPr>
          <w:p>
            <w:pPr>
              <w:pStyle w:val="13"/>
            </w:pPr>
          </w:p>
        </w:tc>
        <w:tc>
          <w:tcPr>
            <w:tcW w:w="1361" w:type="dxa"/>
            <w:vAlign w:val="center"/>
          </w:tcPr>
          <w:p>
            <w:pPr>
              <w:pStyle w:val="13"/>
            </w:pPr>
            <w:r>
              <w:t>11.00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12.70</w:t>
            </w:r>
          </w:p>
        </w:tc>
        <w:tc>
          <w:tcPr>
            <w:tcW w:w="1361" w:type="dxa"/>
            <w:vAlign w:val="center"/>
          </w:tcPr>
          <w:p>
            <w:pPr>
              <w:pStyle w:val="13"/>
            </w:pPr>
            <w:r>
              <w:t>12.70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12.70</w:t>
            </w:r>
          </w:p>
        </w:tc>
        <w:tc>
          <w:tcPr>
            <w:tcW w:w="1361" w:type="dxa"/>
            <w:vAlign w:val="center"/>
          </w:tcPr>
          <w:p>
            <w:pPr>
              <w:pStyle w:val="13"/>
            </w:pPr>
            <w:r>
              <w:t>12.70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12.70</w:t>
            </w:r>
          </w:p>
        </w:tc>
        <w:tc>
          <w:tcPr>
            <w:tcW w:w="1361" w:type="dxa"/>
            <w:vAlign w:val="center"/>
          </w:tcPr>
          <w:p>
            <w:pPr>
              <w:pStyle w:val="13"/>
            </w:pPr>
            <w:r>
              <w:t>12.70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320001成安县医疗保障局机关本级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7034.70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30.41</w:t>
            </w:r>
          </w:p>
        </w:tc>
        <w:tc>
          <w:tcPr>
            <w:tcW w:w="1474" w:type="dxa"/>
            <w:vAlign w:val="center"/>
          </w:tcPr>
          <w:p>
            <w:pPr>
              <w:pStyle w:val="13"/>
            </w:pPr>
            <w:r>
              <w:t>30.41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6991.59</w:t>
            </w:r>
          </w:p>
        </w:tc>
        <w:tc>
          <w:tcPr>
            <w:tcW w:w="1474" w:type="dxa"/>
            <w:vAlign w:val="center"/>
          </w:tcPr>
          <w:p>
            <w:pPr>
              <w:pStyle w:val="13"/>
            </w:pPr>
            <w:r>
              <w:t>6991.59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12.70</w:t>
            </w:r>
          </w:p>
        </w:tc>
        <w:tc>
          <w:tcPr>
            <w:tcW w:w="1474" w:type="dxa"/>
            <w:vAlign w:val="center"/>
          </w:tcPr>
          <w:p>
            <w:pPr>
              <w:pStyle w:val="13"/>
            </w:pPr>
            <w:r>
              <w:t>12.70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7034.70</w:t>
            </w:r>
          </w:p>
        </w:tc>
        <w:tc>
          <w:tcPr>
            <w:tcW w:w="3402" w:type="dxa"/>
            <w:vAlign w:val="center"/>
          </w:tcPr>
          <w:p>
            <w:pPr>
              <w:pStyle w:val="16"/>
            </w:pPr>
            <w:r>
              <w:t>本年支出合计</w:t>
            </w:r>
          </w:p>
        </w:tc>
        <w:tc>
          <w:tcPr>
            <w:tcW w:w="1474" w:type="dxa"/>
            <w:vAlign w:val="center"/>
          </w:tcPr>
          <w:p>
            <w:pPr>
              <w:pStyle w:val="17"/>
            </w:pPr>
            <w:r>
              <w:t>7034.70</w:t>
            </w:r>
          </w:p>
        </w:tc>
        <w:tc>
          <w:tcPr>
            <w:tcW w:w="1474" w:type="dxa"/>
            <w:vAlign w:val="center"/>
          </w:tcPr>
          <w:p>
            <w:pPr>
              <w:pStyle w:val="17"/>
            </w:pPr>
            <w:r>
              <w:t>7034.70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7034.70</w:t>
            </w:r>
          </w:p>
        </w:tc>
        <w:tc>
          <w:tcPr>
            <w:tcW w:w="3402" w:type="dxa"/>
            <w:vAlign w:val="center"/>
          </w:tcPr>
          <w:p>
            <w:pPr>
              <w:pStyle w:val="16"/>
            </w:pPr>
            <w:r>
              <w:t>支出总计</w:t>
            </w:r>
          </w:p>
        </w:tc>
        <w:tc>
          <w:tcPr>
            <w:tcW w:w="1474" w:type="dxa"/>
            <w:vAlign w:val="center"/>
          </w:tcPr>
          <w:p>
            <w:pPr>
              <w:pStyle w:val="17"/>
            </w:pPr>
            <w:r>
              <w:t>7034.70</w:t>
            </w:r>
          </w:p>
        </w:tc>
        <w:tc>
          <w:tcPr>
            <w:tcW w:w="1474" w:type="dxa"/>
            <w:vAlign w:val="center"/>
          </w:tcPr>
          <w:p>
            <w:pPr>
              <w:pStyle w:val="17"/>
            </w:pPr>
            <w:r>
              <w:t>7034.70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320001成安县医疗保障局机关本级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7034.70</w:t>
            </w:r>
          </w:p>
        </w:tc>
        <w:tc>
          <w:tcPr>
            <w:tcW w:w="2551" w:type="dxa"/>
            <w:vAlign w:val="center"/>
          </w:tcPr>
          <w:p>
            <w:pPr>
              <w:pStyle w:val="17"/>
            </w:pPr>
            <w:r>
              <w:t>261.70</w:t>
            </w:r>
          </w:p>
        </w:tc>
        <w:tc>
          <w:tcPr>
            <w:tcW w:w="2551" w:type="dxa"/>
            <w:vAlign w:val="center"/>
          </w:tcPr>
          <w:p>
            <w:pPr>
              <w:pStyle w:val="17"/>
            </w:pPr>
            <w:r>
              <w:t>6773.00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30.41</w:t>
            </w:r>
          </w:p>
        </w:tc>
        <w:tc>
          <w:tcPr>
            <w:tcW w:w="2551" w:type="dxa"/>
            <w:vAlign w:val="center"/>
          </w:tcPr>
          <w:p>
            <w:pPr>
              <w:pStyle w:val="13"/>
            </w:pPr>
            <w:r>
              <w:t>25.41</w:t>
            </w: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25.41</w:t>
            </w:r>
          </w:p>
        </w:tc>
        <w:tc>
          <w:tcPr>
            <w:tcW w:w="2551" w:type="dxa"/>
            <w:vAlign w:val="center"/>
          </w:tcPr>
          <w:p>
            <w:pPr>
              <w:pStyle w:val="13"/>
            </w:pPr>
            <w:r>
              <w:t>25.41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16.94</w:t>
            </w:r>
          </w:p>
        </w:tc>
        <w:tc>
          <w:tcPr>
            <w:tcW w:w="2551" w:type="dxa"/>
            <w:vAlign w:val="center"/>
          </w:tcPr>
          <w:p>
            <w:pPr>
              <w:pStyle w:val="13"/>
            </w:pPr>
            <w:r>
              <w:t>16.94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8.47</w:t>
            </w:r>
          </w:p>
        </w:tc>
        <w:tc>
          <w:tcPr>
            <w:tcW w:w="2551" w:type="dxa"/>
            <w:vAlign w:val="center"/>
          </w:tcPr>
          <w:p>
            <w:pPr>
              <w:pStyle w:val="13"/>
            </w:pPr>
            <w:r>
              <w:t>8.47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20899</w:t>
            </w:r>
          </w:p>
        </w:tc>
        <w:tc>
          <w:tcPr>
            <w:tcW w:w="4535" w:type="dxa"/>
            <w:vAlign w:val="center"/>
          </w:tcPr>
          <w:p>
            <w:pPr>
              <w:pStyle w:val="14"/>
            </w:pPr>
            <w:r>
              <w:t>其他社会保障和就业支出</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2089999</w:t>
            </w:r>
          </w:p>
        </w:tc>
        <w:tc>
          <w:tcPr>
            <w:tcW w:w="4535" w:type="dxa"/>
            <w:vAlign w:val="center"/>
          </w:tcPr>
          <w:p>
            <w:pPr>
              <w:pStyle w:val="14"/>
            </w:pPr>
            <w:r>
              <w:t>其他社会保障和就业支出</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6991.59</w:t>
            </w:r>
          </w:p>
        </w:tc>
        <w:tc>
          <w:tcPr>
            <w:tcW w:w="2551" w:type="dxa"/>
            <w:vAlign w:val="center"/>
          </w:tcPr>
          <w:p>
            <w:pPr>
              <w:pStyle w:val="13"/>
            </w:pPr>
            <w:r>
              <w:t>223.59</w:t>
            </w:r>
          </w:p>
        </w:tc>
        <w:tc>
          <w:tcPr>
            <w:tcW w:w="2551" w:type="dxa"/>
            <w:vAlign w:val="center"/>
          </w:tcPr>
          <w:p>
            <w:pPr>
              <w:pStyle w:val="13"/>
            </w:pPr>
            <w:r>
              <w:t>6768.00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1610.00</w:t>
            </w:r>
          </w:p>
        </w:tc>
        <w:tc>
          <w:tcPr>
            <w:tcW w:w="2551" w:type="dxa"/>
            <w:vAlign w:val="center"/>
          </w:tcPr>
          <w:p>
            <w:pPr>
              <w:pStyle w:val="13"/>
            </w:pPr>
          </w:p>
        </w:tc>
        <w:tc>
          <w:tcPr>
            <w:tcW w:w="2551" w:type="dxa"/>
            <w:vAlign w:val="center"/>
          </w:tcPr>
          <w:p>
            <w:pPr>
              <w:pStyle w:val="13"/>
            </w:pPr>
            <w:r>
              <w:t>1610.00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1610.00</w:t>
            </w:r>
          </w:p>
        </w:tc>
        <w:tc>
          <w:tcPr>
            <w:tcW w:w="2551" w:type="dxa"/>
            <w:vAlign w:val="center"/>
          </w:tcPr>
          <w:p>
            <w:pPr>
              <w:pStyle w:val="13"/>
            </w:pPr>
          </w:p>
        </w:tc>
        <w:tc>
          <w:tcPr>
            <w:tcW w:w="2551" w:type="dxa"/>
            <w:vAlign w:val="center"/>
          </w:tcPr>
          <w:p>
            <w:pPr>
              <w:pStyle w:val="13"/>
            </w:pPr>
            <w:r>
              <w:t>1610.00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4535.36</w:t>
            </w:r>
          </w:p>
        </w:tc>
        <w:tc>
          <w:tcPr>
            <w:tcW w:w="2551" w:type="dxa"/>
            <w:vAlign w:val="center"/>
          </w:tcPr>
          <w:p>
            <w:pPr>
              <w:pStyle w:val="13"/>
            </w:pPr>
            <w:r>
              <w:t>8.36</w:t>
            </w:r>
          </w:p>
        </w:tc>
        <w:tc>
          <w:tcPr>
            <w:tcW w:w="2551" w:type="dxa"/>
            <w:vAlign w:val="center"/>
          </w:tcPr>
          <w:p>
            <w:pPr>
              <w:pStyle w:val="13"/>
            </w:pPr>
            <w:r>
              <w:t>4527.00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8.36</w:t>
            </w:r>
          </w:p>
        </w:tc>
        <w:tc>
          <w:tcPr>
            <w:tcW w:w="2551" w:type="dxa"/>
            <w:vAlign w:val="center"/>
          </w:tcPr>
          <w:p>
            <w:pPr>
              <w:pStyle w:val="13"/>
            </w:pPr>
            <w:r>
              <w:t>8.36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2101202</w:t>
            </w:r>
          </w:p>
        </w:tc>
        <w:tc>
          <w:tcPr>
            <w:tcW w:w="4535" w:type="dxa"/>
            <w:vAlign w:val="center"/>
          </w:tcPr>
          <w:p>
            <w:pPr>
              <w:pStyle w:val="14"/>
            </w:pPr>
            <w:r>
              <w:t>财政对城乡居民基本医疗保险基金的补助</w:t>
            </w:r>
          </w:p>
        </w:tc>
        <w:tc>
          <w:tcPr>
            <w:tcW w:w="2551" w:type="dxa"/>
            <w:vAlign w:val="center"/>
          </w:tcPr>
          <w:p>
            <w:pPr>
              <w:pStyle w:val="13"/>
            </w:pPr>
            <w:r>
              <w:t>4527.00</w:t>
            </w:r>
          </w:p>
        </w:tc>
        <w:tc>
          <w:tcPr>
            <w:tcW w:w="2551" w:type="dxa"/>
            <w:vAlign w:val="center"/>
          </w:tcPr>
          <w:p>
            <w:pPr>
              <w:pStyle w:val="13"/>
            </w:pPr>
          </w:p>
        </w:tc>
        <w:tc>
          <w:tcPr>
            <w:tcW w:w="2551" w:type="dxa"/>
            <w:vAlign w:val="center"/>
          </w:tcPr>
          <w:p>
            <w:pPr>
              <w:pStyle w:val="13"/>
            </w:pPr>
            <w:r>
              <w:t>4527.00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21013</w:t>
            </w:r>
          </w:p>
        </w:tc>
        <w:tc>
          <w:tcPr>
            <w:tcW w:w="4535" w:type="dxa"/>
            <w:vAlign w:val="center"/>
          </w:tcPr>
          <w:p>
            <w:pPr>
              <w:pStyle w:val="14"/>
            </w:pPr>
            <w:r>
              <w:t>医疗救助</w:t>
            </w:r>
          </w:p>
        </w:tc>
        <w:tc>
          <w:tcPr>
            <w:tcW w:w="2551" w:type="dxa"/>
            <w:vAlign w:val="center"/>
          </w:tcPr>
          <w:p>
            <w:pPr>
              <w:pStyle w:val="13"/>
            </w:pPr>
            <w:r>
              <w:t>620.00</w:t>
            </w:r>
          </w:p>
        </w:tc>
        <w:tc>
          <w:tcPr>
            <w:tcW w:w="2551" w:type="dxa"/>
            <w:vAlign w:val="center"/>
          </w:tcPr>
          <w:p>
            <w:pPr>
              <w:pStyle w:val="13"/>
            </w:pPr>
          </w:p>
        </w:tc>
        <w:tc>
          <w:tcPr>
            <w:tcW w:w="2551" w:type="dxa"/>
            <w:vAlign w:val="center"/>
          </w:tcPr>
          <w:p>
            <w:pPr>
              <w:pStyle w:val="13"/>
            </w:pPr>
            <w:r>
              <w:t>620.00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2101301</w:t>
            </w:r>
          </w:p>
        </w:tc>
        <w:tc>
          <w:tcPr>
            <w:tcW w:w="4535" w:type="dxa"/>
            <w:vAlign w:val="center"/>
          </w:tcPr>
          <w:p>
            <w:pPr>
              <w:pStyle w:val="14"/>
            </w:pPr>
            <w:r>
              <w:t>城乡医疗救助</w:t>
            </w:r>
          </w:p>
        </w:tc>
        <w:tc>
          <w:tcPr>
            <w:tcW w:w="2551" w:type="dxa"/>
            <w:vAlign w:val="center"/>
          </w:tcPr>
          <w:p>
            <w:pPr>
              <w:pStyle w:val="13"/>
            </w:pPr>
            <w:r>
              <w:t>620.00</w:t>
            </w:r>
          </w:p>
        </w:tc>
        <w:tc>
          <w:tcPr>
            <w:tcW w:w="2551" w:type="dxa"/>
            <w:vAlign w:val="center"/>
          </w:tcPr>
          <w:p>
            <w:pPr>
              <w:pStyle w:val="13"/>
            </w:pPr>
          </w:p>
        </w:tc>
        <w:tc>
          <w:tcPr>
            <w:tcW w:w="2551" w:type="dxa"/>
            <w:vAlign w:val="center"/>
          </w:tcPr>
          <w:p>
            <w:pPr>
              <w:pStyle w:val="13"/>
            </w:pPr>
            <w:r>
              <w:t>620.00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21015</w:t>
            </w:r>
          </w:p>
        </w:tc>
        <w:tc>
          <w:tcPr>
            <w:tcW w:w="4535" w:type="dxa"/>
            <w:vAlign w:val="center"/>
          </w:tcPr>
          <w:p>
            <w:pPr>
              <w:pStyle w:val="14"/>
            </w:pPr>
            <w:r>
              <w:t>医疗保障管理事务</w:t>
            </w:r>
          </w:p>
        </w:tc>
        <w:tc>
          <w:tcPr>
            <w:tcW w:w="2551" w:type="dxa"/>
            <w:vAlign w:val="center"/>
          </w:tcPr>
          <w:p>
            <w:pPr>
              <w:pStyle w:val="13"/>
            </w:pPr>
            <w:r>
              <w:t>226.23</w:t>
            </w:r>
          </w:p>
        </w:tc>
        <w:tc>
          <w:tcPr>
            <w:tcW w:w="2551" w:type="dxa"/>
            <w:vAlign w:val="center"/>
          </w:tcPr>
          <w:p>
            <w:pPr>
              <w:pStyle w:val="13"/>
            </w:pPr>
            <w:r>
              <w:t>215.23</w:t>
            </w:r>
          </w:p>
        </w:tc>
        <w:tc>
          <w:tcPr>
            <w:tcW w:w="2551" w:type="dxa"/>
            <w:vAlign w:val="center"/>
          </w:tcPr>
          <w:p>
            <w:pPr>
              <w:pStyle w:val="13"/>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2101501</w:t>
            </w:r>
          </w:p>
        </w:tc>
        <w:tc>
          <w:tcPr>
            <w:tcW w:w="4535" w:type="dxa"/>
            <w:vAlign w:val="center"/>
          </w:tcPr>
          <w:p>
            <w:pPr>
              <w:pStyle w:val="14"/>
            </w:pPr>
            <w:r>
              <w:t>行政运行</w:t>
            </w:r>
          </w:p>
        </w:tc>
        <w:tc>
          <w:tcPr>
            <w:tcW w:w="2551" w:type="dxa"/>
            <w:vAlign w:val="center"/>
          </w:tcPr>
          <w:p>
            <w:pPr>
              <w:pStyle w:val="13"/>
            </w:pPr>
            <w:r>
              <w:t>215.23</w:t>
            </w:r>
          </w:p>
        </w:tc>
        <w:tc>
          <w:tcPr>
            <w:tcW w:w="2551" w:type="dxa"/>
            <w:vAlign w:val="center"/>
          </w:tcPr>
          <w:p>
            <w:pPr>
              <w:pStyle w:val="13"/>
            </w:pPr>
            <w:r>
              <w:t>215.23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2101504</w:t>
            </w:r>
          </w:p>
        </w:tc>
        <w:tc>
          <w:tcPr>
            <w:tcW w:w="4535" w:type="dxa"/>
            <w:vAlign w:val="center"/>
          </w:tcPr>
          <w:p>
            <w:pPr>
              <w:pStyle w:val="14"/>
            </w:pPr>
            <w:r>
              <w:t>信息化建设</w:t>
            </w:r>
          </w:p>
        </w:tc>
        <w:tc>
          <w:tcPr>
            <w:tcW w:w="2551" w:type="dxa"/>
            <w:vAlign w:val="center"/>
          </w:tcPr>
          <w:p>
            <w:pPr>
              <w:pStyle w:val="13"/>
            </w:pPr>
            <w:r>
              <w:t>11.00</w:t>
            </w:r>
          </w:p>
        </w:tc>
        <w:tc>
          <w:tcPr>
            <w:tcW w:w="2551" w:type="dxa"/>
            <w:vAlign w:val="center"/>
          </w:tcPr>
          <w:p>
            <w:pPr>
              <w:pStyle w:val="13"/>
            </w:pPr>
          </w:p>
        </w:tc>
        <w:tc>
          <w:tcPr>
            <w:tcW w:w="2551" w:type="dxa"/>
            <w:vAlign w:val="center"/>
          </w:tcPr>
          <w:p>
            <w:pPr>
              <w:pStyle w:val="13"/>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12.70</w:t>
            </w:r>
          </w:p>
        </w:tc>
        <w:tc>
          <w:tcPr>
            <w:tcW w:w="2551" w:type="dxa"/>
            <w:vAlign w:val="center"/>
          </w:tcPr>
          <w:p>
            <w:pPr>
              <w:pStyle w:val="13"/>
            </w:pPr>
            <w:r>
              <w:t>12.70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12.70</w:t>
            </w:r>
          </w:p>
        </w:tc>
        <w:tc>
          <w:tcPr>
            <w:tcW w:w="2551" w:type="dxa"/>
            <w:vAlign w:val="center"/>
          </w:tcPr>
          <w:p>
            <w:pPr>
              <w:pStyle w:val="13"/>
            </w:pPr>
            <w:r>
              <w:t>12.70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12.70</w:t>
            </w:r>
          </w:p>
        </w:tc>
        <w:tc>
          <w:tcPr>
            <w:tcW w:w="2551" w:type="dxa"/>
            <w:vAlign w:val="center"/>
          </w:tcPr>
          <w:p>
            <w:pPr>
              <w:pStyle w:val="13"/>
            </w:pPr>
            <w:r>
              <w:t>12.70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320001成安县医疗保障局机关本级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261.70</w:t>
            </w:r>
          </w:p>
        </w:tc>
        <w:tc>
          <w:tcPr>
            <w:tcW w:w="2551" w:type="dxa"/>
            <w:vAlign w:val="center"/>
          </w:tcPr>
          <w:p>
            <w:pPr>
              <w:pStyle w:val="17"/>
            </w:pPr>
            <w:r>
              <w:t>180.50</w:t>
            </w:r>
          </w:p>
        </w:tc>
        <w:tc>
          <w:tcPr>
            <w:tcW w:w="2551" w:type="dxa"/>
            <w:vAlign w:val="center"/>
          </w:tcPr>
          <w:p>
            <w:pPr>
              <w:pStyle w:val="17"/>
            </w:pPr>
            <w:r>
              <w:t>81.20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180.50</w:t>
            </w:r>
          </w:p>
        </w:tc>
        <w:tc>
          <w:tcPr>
            <w:tcW w:w="2551" w:type="dxa"/>
            <w:vAlign w:val="center"/>
          </w:tcPr>
          <w:p>
            <w:pPr>
              <w:pStyle w:val="13"/>
            </w:pPr>
            <w:r>
              <w:t>180.50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105.87</w:t>
            </w:r>
          </w:p>
        </w:tc>
        <w:tc>
          <w:tcPr>
            <w:tcW w:w="2551" w:type="dxa"/>
            <w:vAlign w:val="center"/>
          </w:tcPr>
          <w:p>
            <w:pPr>
              <w:pStyle w:val="13"/>
            </w:pPr>
            <w:r>
              <w:t>105.87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8.14</w:t>
            </w:r>
          </w:p>
        </w:tc>
        <w:tc>
          <w:tcPr>
            <w:tcW w:w="2551" w:type="dxa"/>
            <w:vAlign w:val="center"/>
          </w:tcPr>
          <w:p>
            <w:pPr>
              <w:pStyle w:val="13"/>
            </w:pPr>
            <w:r>
              <w:t>8.14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1.72</w:t>
            </w:r>
          </w:p>
        </w:tc>
        <w:tc>
          <w:tcPr>
            <w:tcW w:w="2551" w:type="dxa"/>
            <w:vAlign w:val="center"/>
          </w:tcPr>
          <w:p>
            <w:pPr>
              <w:pStyle w:val="13"/>
            </w:pPr>
            <w:r>
              <w:t>1.72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6.90</w:t>
            </w:r>
          </w:p>
        </w:tc>
        <w:tc>
          <w:tcPr>
            <w:tcW w:w="2551" w:type="dxa"/>
            <w:vAlign w:val="center"/>
          </w:tcPr>
          <w:p>
            <w:pPr>
              <w:pStyle w:val="13"/>
            </w:pPr>
            <w:r>
              <w:t>6.90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16.94</w:t>
            </w:r>
          </w:p>
        </w:tc>
        <w:tc>
          <w:tcPr>
            <w:tcW w:w="2551" w:type="dxa"/>
            <w:vAlign w:val="center"/>
          </w:tcPr>
          <w:p>
            <w:pPr>
              <w:pStyle w:val="13"/>
            </w:pPr>
            <w:r>
              <w:t>16.94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8.47</w:t>
            </w:r>
          </w:p>
        </w:tc>
        <w:tc>
          <w:tcPr>
            <w:tcW w:w="2551" w:type="dxa"/>
            <w:vAlign w:val="center"/>
          </w:tcPr>
          <w:p>
            <w:pPr>
              <w:pStyle w:val="13"/>
            </w:pPr>
            <w:r>
              <w:t>8.47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8.36</w:t>
            </w:r>
          </w:p>
        </w:tc>
        <w:tc>
          <w:tcPr>
            <w:tcW w:w="2551" w:type="dxa"/>
            <w:vAlign w:val="center"/>
          </w:tcPr>
          <w:p>
            <w:pPr>
              <w:pStyle w:val="13"/>
            </w:pPr>
            <w:r>
              <w:t>8.36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11.40</w:t>
            </w:r>
          </w:p>
        </w:tc>
        <w:tc>
          <w:tcPr>
            <w:tcW w:w="2551" w:type="dxa"/>
            <w:vAlign w:val="center"/>
          </w:tcPr>
          <w:p>
            <w:pPr>
              <w:pStyle w:val="13"/>
            </w:pPr>
            <w:r>
              <w:t>11.40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12.70</w:t>
            </w:r>
          </w:p>
        </w:tc>
        <w:tc>
          <w:tcPr>
            <w:tcW w:w="2551" w:type="dxa"/>
            <w:vAlign w:val="center"/>
          </w:tcPr>
          <w:p>
            <w:pPr>
              <w:pStyle w:val="13"/>
            </w:pPr>
            <w:r>
              <w:t>12.70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81.20</w:t>
            </w:r>
          </w:p>
        </w:tc>
        <w:tc>
          <w:tcPr>
            <w:tcW w:w="2551" w:type="dxa"/>
            <w:vAlign w:val="center"/>
          </w:tcPr>
          <w:p>
            <w:pPr>
              <w:pStyle w:val="13"/>
            </w:pPr>
          </w:p>
        </w:tc>
        <w:tc>
          <w:tcPr>
            <w:tcW w:w="2551" w:type="dxa"/>
            <w:vAlign w:val="center"/>
          </w:tcPr>
          <w:p>
            <w:pPr>
              <w:pStyle w:val="13"/>
            </w:pPr>
            <w:r>
              <w:t>81.20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23.00</w:t>
            </w:r>
          </w:p>
        </w:tc>
        <w:tc>
          <w:tcPr>
            <w:tcW w:w="2551" w:type="dxa"/>
            <w:vAlign w:val="center"/>
          </w:tcPr>
          <w:p>
            <w:pPr>
              <w:pStyle w:val="13"/>
            </w:pPr>
          </w:p>
        </w:tc>
        <w:tc>
          <w:tcPr>
            <w:tcW w:w="2551" w:type="dxa"/>
            <w:vAlign w:val="center"/>
          </w:tcPr>
          <w:p>
            <w:pPr>
              <w:pStyle w:val="13"/>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4.20</w:t>
            </w:r>
          </w:p>
        </w:tc>
        <w:tc>
          <w:tcPr>
            <w:tcW w:w="2551" w:type="dxa"/>
            <w:vAlign w:val="center"/>
          </w:tcPr>
          <w:p>
            <w:pPr>
              <w:pStyle w:val="13"/>
            </w:pPr>
          </w:p>
        </w:tc>
        <w:tc>
          <w:tcPr>
            <w:tcW w:w="2551" w:type="dxa"/>
            <w:vAlign w:val="center"/>
          </w:tcPr>
          <w:p>
            <w:pPr>
              <w:pStyle w:val="13"/>
            </w:pPr>
            <w:r>
              <w:t>4.20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320001成安县医疗保障局机关本级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320001成安县医疗保障局机关本级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320001成安县医疗保障局机关本级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vAlign w:val="center"/>
          </w:tcPr>
          <w:p>
            <w:pPr>
              <w:pStyle w:val="13"/>
            </w:pPr>
            <w:r>
              <w:t>4.00</w:t>
            </w:r>
          </w:p>
        </w:tc>
        <w:tc>
          <w:tcPr>
            <w:tcW w:w="2381" w:type="dxa"/>
            <w:vAlign w:val="center"/>
          </w:tcPr>
          <w:p>
            <w:pPr>
              <w:pStyle w:val="13"/>
            </w:pPr>
            <w:r>
              <w:t>4.00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2"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2"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成安县医疗保障局机关本级2022年单位预算信息公开情况说明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val="en-US" w:eastAsia="zh-CN"/>
        </w:rPr>
        <w:t>中华人民共和国</w:t>
      </w:r>
      <w:r>
        <w:rPr>
          <w:rFonts w:eastAsia="方正仿宋_GBK" w:cs="Times New Roman"/>
          <w:color w:val="000000"/>
          <w:sz w:val="28"/>
        </w:rPr>
        <w:t>预算法》、《地方预决算公开操作规程》和《关于进一步推进预算公开工作的实施意见》规定，现将成安县医疗保障局机关本级2022年单位预算公开如下：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spacing w:before="100" w:beforeAutospacing="1" w:after="100" w:afterAutospacing="1" w:line="600" w:lineRule="exact"/>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before="100" w:beforeAutospacing="1" w:after="100" w:afterAutospacing="1" w:line="600" w:lineRule="exact"/>
        <w:ind w:firstLine="640"/>
        <w:rPr>
          <w:rFonts w:ascii="仿宋" w:hAnsi="仿宋" w:eastAsia="仿宋" w:cs="仿宋"/>
          <w:bCs/>
          <w:sz w:val="32"/>
          <w:szCs w:val="32"/>
        </w:rPr>
      </w:pPr>
      <w:r>
        <w:rPr>
          <w:rFonts w:hint="eastAsia" w:ascii="仿宋" w:hAnsi="仿宋" w:eastAsia="仿宋" w:cs="仿宋"/>
          <w:bCs/>
          <w:sz w:val="32"/>
          <w:szCs w:val="32"/>
        </w:rPr>
        <w:t>（一）拟订全县城镇职工和城乡居民医疗保险、生育保险、医疗救助等医疗保障规范性文件及制度、规划和标准。</w:t>
      </w:r>
    </w:p>
    <w:p>
      <w:pPr>
        <w:spacing w:before="100" w:beforeAutospacing="1" w:after="100" w:afterAutospacing="1" w:line="600" w:lineRule="exact"/>
        <w:ind w:firstLine="640"/>
        <w:rPr>
          <w:rFonts w:ascii="仿宋" w:hAnsi="仿宋" w:eastAsia="仿宋" w:cs="仿宋"/>
          <w:bCs/>
          <w:sz w:val="32"/>
          <w:szCs w:val="32"/>
        </w:rPr>
      </w:pPr>
      <w:r>
        <w:rPr>
          <w:rFonts w:hint="eastAsia" w:ascii="仿宋" w:hAnsi="仿宋" w:eastAsia="仿宋" w:cs="仿宋"/>
          <w:bCs/>
          <w:sz w:val="32"/>
          <w:szCs w:val="32"/>
        </w:rPr>
        <w:t>（二）建立健全医疗保障基金安全防控机制，组织建设智能监控平台，推进医疗保障基金支付方式改革，并组织实施。</w:t>
      </w:r>
    </w:p>
    <w:p>
      <w:pPr>
        <w:spacing w:before="100" w:beforeAutospacing="1" w:after="100" w:afterAutospacing="1" w:line="600" w:lineRule="exact"/>
        <w:ind w:firstLine="640"/>
        <w:rPr>
          <w:rFonts w:ascii="仿宋" w:hAnsi="仿宋" w:eastAsia="仿宋" w:cs="仿宋"/>
          <w:bCs/>
          <w:sz w:val="32"/>
          <w:szCs w:val="32"/>
        </w:rPr>
      </w:pPr>
      <w:r>
        <w:rPr>
          <w:rFonts w:hint="eastAsia" w:ascii="仿宋" w:hAnsi="仿宋" w:eastAsia="仿宋" w:cs="仿宋"/>
          <w:bCs/>
          <w:sz w:val="32"/>
          <w:szCs w:val="32"/>
        </w:rPr>
        <w:t>（三）落实城镇职工、城乡居民参保筹资和保障待遇政策，统筹城乡医疗保障政策标准，建立健全与筹资水平相适应的待遇调整机制。拟订长期护理保险制度方案及标准并组织实施。</w:t>
      </w:r>
    </w:p>
    <w:p>
      <w:pPr>
        <w:spacing w:before="100" w:beforeAutospacing="1" w:after="100" w:afterAutospacing="1" w:line="600" w:lineRule="exact"/>
        <w:ind w:firstLine="640"/>
        <w:rPr>
          <w:rFonts w:ascii="仿宋" w:hAnsi="仿宋" w:eastAsia="仿宋" w:cs="仿宋"/>
          <w:bCs/>
          <w:sz w:val="32"/>
          <w:szCs w:val="32"/>
        </w:rPr>
      </w:pPr>
      <w:r>
        <w:rPr>
          <w:rFonts w:hint="eastAsia" w:ascii="仿宋" w:hAnsi="仿宋" w:eastAsia="仿宋" w:cs="仿宋"/>
          <w:bCs/>
          <w:sz w:val="32"/>
          <w:szCs w:val="32"/>
        </w:rPr>
        <w:t>（四）负责组织实施全省城乡统一的药品、医用耗材、医疗服务项目、医疗服务设施等医保目录和支付标准。</w:t>
      </w:r>
    </w:p>
    <w:p>
      <w:pPr>
        <w:spacing w:before="100" w:beforeAutospacing="1" w:after="100" w:afterAutospacing="1" w:line="600" w:lineRule="exact"/>
        <w:ind w:firstLine="640"/>
        <w:rPr>
          <w:rFonts w:ascii="仿宋" w:hAnsi="仿宋" w:eastAsia="仿宋" w:cs="仿宋"/>
          <w:bCs/>
          <w:sz w:val="32"/>
          <w:szCs w:val="32"/>
        </w:rPr>
      </w:pPr>
      <w:r>
        <w:rPr>
          <w:rFonts w:hint="eastAsia" w:ascii="仿宋" w:hAnsi="仿宋" w:eastAsia="仿宋" w:cs="仿宋"/>
          <w:bCs/>
          <w:sz w:val="32"/>
          <w:szCs w:val="32"/>
        </w:rPr>
        <w:t>（五）组织落实省市药品、医用耗材价格和医疗服务项目、医疗服务设施收费等政策。负责全县麻醉药品、第一类精神药品、医疗服务、医用耗材价格调控管理，按照价格管理权限研究拟订定价原则、办法并组织实施。建立医保支付医药服务价格合理确定和动态调整机制，依法管理药品、医用耗材和医疗服务价格政策执行情况。建立完善药品、医用耗材和医疗服务价格监测信息发布制度。</w:t>
      </w:r>
    </w:p>
    <w:p>
      <w:pPr>
        <w:spacing w:before="100" w:beforeAutospacing="1" w:after="100" w:afterAutospacing="1" w:line="600" w:lineRule="exact"/>
        <w:ind w:firstLine="640"/>
        <w:rPr>
          <w:rFonts w:ascii="仿宋" w:hAnsi="仿宋" w:eastAsia="仿宋" w:cs="仿宋"/>
          <w:bCs/>
          <w:sz w:val="32"/>
          <w:szCs w:val="32"/>
        </w:rPr>
      </w:pPr>
      <w:r>
        <w:rPr>
          <w:rFonts w:hint="eastAsia" w:ascii="仿宋" w:hAnsi="仿宋" w:eastAsia="仿宋" w:cs="仿宋"/>
          <w:bCs/>
          <w:sz w:val="32"/>
          <w:szCs w:val="32"/>
        </w:rPr>
        <w:t>（六）组织实施全县药品、医用耗材的采购。</w:t>
      </w:r>
    </w:p>
    <w:p>
      <w:pPr>
        <w:spacing w:before="100" w:beforeAutospacing="1" w:after="100" w:afterAutospacing="1" w:line="600" w:lineRule="exact"/>
        <w:ind w:firstLine="640"/>
        <w:rPr>
          <w:rFonts w:ascii="仿宋" w:hAnsi="仿宋" w:eastAsia="仿宋" w:cs="仿宋"/>
          <w:bCs/>
          <w:sz w:val="32"/>
          <w:szCs w:val="32"/>
        </w:rPr>
      </w:pPr>
      <w:r>
        <w:rPr>
          <w:rFonts w:hint="eastAsia" w:ascii="仿宋" w:hAnsi="仿宋" w:eastAsia="仿宋" w:cs="仿宋"/>
          <w:bCs/>
          <w:sz w:val="32"/>
          <w:szCs w:val="32"/>
        </w:rPr>
        <w:t>（七）签订全县定点医药机构协议并组织实施。建立健全医疗保障信用评价体系和信息披露制度，监督管理定点医疗机构的医疗服务行为、医疗费用和医药价格，依法查处医疗保障领域违法违规行为。</w:t>
      </w:r>
    </w:p>
    <w:p>
      <w:pPr>
        <w:spacing w:before="100" w:beforeAutospacing="1" w:after="100" w:afterAutospacing="1" w:line="600" w:lineRule="exact"/>
        <w:ind w:firstLine="640"/>
        <w:rPr>
          <w:rFonts w:ascii="仿宋" w:hAnsi="仿宋" w:eastAsia="仿宋" w:cs="仿宋"/>
          <w:bCs/>
          <w:sz w:val="32"/>
          <w:szCs w:val="32"/>
        </w:rPr>
      </w:pPr>
      <w:r>
        <w:rPr>
          <w:rFonts w:hint="eastAsia" w:ascii="仿宋" w:hAnsi="仿宋" w:eastAsia="仿宋" w:cs="仿宋"/>
          <w:bCs/>
          <w:sz w:val="32"/>
          <w:szCs w:val="32"/>
        </w:rPr>
        <w:t>（八）负责医疗保障经办管理、公共服务体系和信息化建设。落实医疗保障关系转移接续制度。</w:t>
      </w:r>
    </w:p>
    <w:p>
      <w:pPr>
        <w:spacing w:before="100" w:beforeAutospacing="1" w:after="100" w:afterAutospacing="1" w:line="600" w:lineRule="exact"/>
        <w:ind w:firstLine="640"/>
        <w:rPr>
          <w:rFonts w:ascii="仿宋" w:hAnsi="仿宋" w:eastAsia="仿宋" w:cs="仿宋"/>
          <w:bCs/>
          <w:sz w:val="32"/>
          <w:szCs w:val="32"/>
        </w:rPr>
      </w:pPr>
      <w:r>
        <w:rPr>
          <w:rFonts w:hint="eastAsia" w:ascii="仿宋" w:hAnsi="仿宋" w:eastAsia="仿宋" w:cs="仿宋"/>
          <w:bCs/>
          <w:sz w:val="32"/>
          <w:szCs w:val="32"/>
        </w:rPr>
        <w:t>（九）落实省、市公务员身心健康医疗保障制度和特殊人群的医疗保障待遇。</w:t>
      </w:r>
    </w:p>
    <w:p>
      <w:pPr>
        <w:spacing w:before="100" w:beforeAutospacing="1" w:after="100" w:afterAutospacing="1" w:line="600" w:lineRule="exact"/>
        <w:ind w:firstLine="640"/>
        <w:rPr>
          <w:rFonts w:ascii="仿宋" w:hAnsi="仿宋" w:eastAsia="仿宋" w:cs="仿宋"/>
          <w:bCs/>
          <w:sz w:val="32"/>
          <w:szCs w:val="32"/>
        </w:rPr>
      </w:pPr>
      <w:r>
        <w:rPr>
          <w:rFonts w:hint="eastAsia" w:ascii="仿宋" w:hAnsi="仿宋" w:eastAsia="仿宋" w:cs="仿宋"/>
          <w:bCs/>
          <w:sz w:val="32"/>
          <w:szCs w:val="32"/>
        </w:rPr>
        <w:t>（十）承办县委、县政府交办的其他事项。</w:t>
      </w:r>
    </w:p>
    <w:p>
      <w:pPr>
        <w:spacing w:line="600" w:lineRule="exact"/>
        <w:ind w:left="480" w:leftChars="200" w:firstLine="480" w:firstLineChars="150"/>
        <w:rPr>
          <w:rFonts w:ascii="仿宋" w:hAnsi="仿宋" w:eastAsia="仿宋" w:cs="仿宋"/>
          <w:bCs/>
          <w:sz w:val="32"/>
          <w:szCs w:val="32"/>
        </w:rPr>
      </w:pPr>
      <w:r>
        <w:rPr>
          <w:rFonts w:hint="eastAsia" w:ascii="仿宋" w:hAnsi="仿宋" w:eastAsia="仿宋" w:cs="仿宋"/>
          <w:bCs/>
          <w:sz w:val="32"/>
          <w:szCs w:val="32"/>
        </w:rPr>
        <w:t>（一）办公室</w:t>
      </w:r>
    </w:p>
    <w:p>
      <w:pPr>
        <w:spacing w:line="600" w:lineRule="exact"/>
        <w:rPr>
          <w:rFonts w:ascii="仿宋" w:hAnsi="仿宋" w:eastAsia="仿宋" w:cs="仿宋"/>
          <w:bCs/>
          <w:sz w:val="32"/>
          <w:szCs w:val="32"/>
        </w:rPr>
      </w:pPr>
      <w:r>
        <w:rPr>
          <w:rFonts w:hint="eastAsia" w:ascii="仿宋" w:hAnsi="仿宋" w:eastAsia="仿宋" w:cs="仿宋"/>
          <w:bCs/>
          <w:sz w:val="32"/>
          <w:szCs w:val="32"/>
        </w:rPr>
        <w:t xml:space="preserve">     主要负责：负责机关日常运转，承担机关公文审核、文电、机要、督办、保密、信访、档案、值班、标准化建设、安全保卫和局内应急管理。组织办理人大代表建设和政协提案。负责信息宣传，组织网络舆情监测及应对工作。制定政务公开规章制度并组织实施；负责窗口单位建设等工作。负责机关纪检工作。承担机关的干部人事、机构编制、考核奖励、教育培训及队伍建设等工作。负责机关离退休干部职工工作。</w:t>
      </w:r>
    </w:p>
    <w:p>
      <w:pPr>
        <w:spacing w:line="600" w:lineRule="exact"/>
        <w:ind w:firstLine="640" w:firstLineChars="200"/>
        <w:rPr>
          <w:rFonts w:ascii="仿宋" w:hAnsi="仿宋" w:eastAsia="仿宋" w:cs="仿宋"/>
          <w:bCs/>
          <w:sz w:val="32"/>
          <w:szCs w:val="32"/>
        </w:rPr>
      </w:pPr>
      <w:r>
        <w:rPr>
          <w:rFonts w:hint="eastAsia" w:ascii="仿宋" w:hAnsi="仿宋" w:eastAsia="仿宋" w:cs="仿宋"/>
          <w:bCs/>
          <w:sz w:val="32"/>
          <w:szCs w:val="32"/>
        </w:rPr>
        <w:t>落实医疗保障工作规划。负责全县医疗保障综合统计工作。推进医疗保障信息化建设。负责编制全县医疗保险、生育保险基金预决算草案和年度基金财务报告并对基金进行审核。承担机关和所属单位预决算、财务、资产管理、内部审计等工作。</w:t>
      </w:r>
    </w:p>
    <w:p>
      <w:pPr>
        <w:spacing w:line="600" w:lineRule="exact"/>
        <w:ind w:firstLine="640" w:firstLineChars="200"/>
        <w:rPr>
          <w:rFonts w:ascii="仿宋" w:hAnsi="仿宋" w:eastAsia="仿宋" w:cs="仿宋"/>
          <w:bCs/>
          <w:sz w:val="32"/>
          <w:szCs w:val="32"/>
        </w:rPr>
      </w:pPr>
      <w:r>
        <w:rPr>
          <w:rFonts w:hint="eastAsia" w:ascii="仿宋" w:hAnsi="仿宋" w:eastAsia="仿宋" w:cs="仿宋"/>
          <w:bCs/>
          <w:sz w:val="32"/>
          <w:szCs w:val="32"/>
        </w:rPr>
        <w:t>落实医疗保障筹资和待遇政策，统筹城乡医疗保险待遇标准。统筹推进医疗保险、生育保险、医疗救助等多层次医疗保障体系建设。建立健全医疗保障关系转移接续制度。落实省市长期护理保险制度改革方案。承担规范性文件的合法性审查工作，承担行政复议、行政应诉等法律事务工作，承担行政执法决定法制审核及案件审查工作。牵头组织全县性重大业务活动，对业务工作进行监督检查并负责考核评价。</w:t>
      </w:r>
    </w:p>
    <w:p>
      <w:pPr>
        <w:spacing w:line="600" w:lineRule="exact"/>
        <w:ind w:firstLine="640" w:firstLineChars="200"/>
        <w:rPr>
          <w:rFonts w:ascii="仿宋" w:hAnsi="仿宋" w:eastAsia="仿宋" w:cs="仿宋"/>
          <w:bCs/>
          <w:sz w:val="32"/>
          <w:szCs w:val="32"/>
        </w:rPr>
      </w:pPr>
      <w:r>
        <w:rPr>
          <w:rFonts w:hint="eastAsia" w:ascii="仿宋" w:hAnsi="仿宋" w:eastAsia="仿宋" w:cs="仿宋"/>
          <w:bCs/>
          <w:sz w:val="32"/>
          <w:szCs w:val="32"/>
        </w:rPr>
        <w:t>负责组织实施全省医保目录和支付标准。组织推进医保支付方式改革。签订定点医药机构医保协议并组织实施。落实省市公务员身心健康医疗保障制度和特殊人群的医疗保障待遇。</w:t>
      </w:r>
    </w:p>
    <w:p>
      <w:pPr>
        <w:numPr>
          <w:ilvl w:val="0"/>
          <w:numId w:val="1"/>
        </w:numPr>
        <w:tabs>
          <w:tab w:val="left" w:pos="1235"/>
        </w:tabs>
        <w:spacing w:line="600" w:lineRule="exact"/>
        <w:ind w:firstLine="640" w:firstLineChars="200"/>
        <w:rPr>
          <w:rFonts w:ascii="仿宋" w:hAnsi="仿宋" w:eastAsia="仿宋" w:cs="仿宋"/>
          <w:bCs/>
          <w:sz w:val="32"/>
          <w:szCs w:val="32"/>
        </w:rPr>
      </w:pPr>
      <w:r>
        <w:rPr>
          <w:rFonts w:hint="eastAsia" w:ascii="仿宋" w:hAnsi="仿宋" w:eastAsia="仿宋" w:cs="仿宋"/>
          <w:bCs/>
          <w:sz w:val="32"/>
          <w:szCs w:val="32"/>
        </w:rPr>
        <w:t>基金和医药监管股（成安县药品医用耗材招标采购办公室）</w:t>
      </w:r>
    </w:p>
    <w:p>
      <w:pPr>
        <w:spacing w:line="600" w:lineRule="exact"/>
        <w:ind w:firstLine="640"/>
        <w:rPr>
          <w:rFonts w:ascii="仿宋" w:hAnsi="仿宋" w:eastAsia="仿宋" w:cs="仿宋"/>
          <w:bCs/>
          <w:sz w:val="32"/>
          <w:szCs w:val="32"/>
        </w:rPr>
      </w:pPr>
      <w:r>
        <w:rPr>
          <w:rFonts w:hint="eastAsia" w:ascii="仿宋" w:hAnsi="仿宋" w:eastAsia="仿宋" w:cs="仿宋"/>
          <w:bCs/>
          <w:sz w:val="32"/>
          <w:szCs w:val="32"/>
        </w:rPr>
        <w:t>组织开药品、医用耗材、医疗技术的经济性评价。组织落实省、市药品、医用耗材、医疗服务价格政策和管理办法。负责全县麻醉药品、第一类精神药品、医疗服务、医用耗材价格调控管理，按照价格管理权限研究拟订定价原则、办法并组织实施。组织实施省医疗服务价格项目规范、一次性医用耗材目录。制定和调整乡镇公立医疗机构医疗服务价格。依法管理药品、医用耗材、医疗服务价格政策法规执行情况。依法管理药品、医用耗材、医疗服务价格政策法规执行情况。组织实施药品、医用耗材和医疗服务价格政策法规执行情况。组织实施药品、医用耗材和医疗服务价格监测信息发布工作。承担成安县药品医用耗材招标采购办公室日常工作。</w:t>
      </w:r>
    </w:p>
    <w:p>
      <w:pPr>
        <w:ind w:firstLine="640"/>
      </w:pPr>
      <w:r>
        <w:rPr>
          <w:rFonts w:hint="eastAsia" w:ascii="仿宋" w:hAnsi="仿宋" w:eastAsia="仿宋" w:cs="仿宋"/>
          <w:bCs/>
          <w:sz w:val="32"/>
          <w:szCs w:val="32"/>
        </w:rPr>
        <w:t>落实医疗保障基金监督管理办法。建立健全医疗保障基金安全防控机制，建立健全医疗保障信用评价体系和信息披露制度。监督管理纳入医保支付范围的医疗服务行为和医疗费用，规范医保经办业务，依法查处医疗保障领域违法违规行为。</w:t>
      </w:r>
    </w:p>
    <w:p>
      <w:pPr>
        <w:pStyle w:val="2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成安县医疗保障局机关本级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numPr>
          <w:ilvl w:val="0"/>
          <w:numId w:val="2"/>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单位预算安排的总体情况</w:t>
      </w:r>
    </w:p>
    <w:p>
      <w:pPr>
        <w:spacing w:before="10" w:after="10"/>
        <w:ind w:firstLine="960" w:firstLineChars="300"/>
        <w:outlineLvl w:val="5"/>
        <w:rPr>
          <w:rFonts w:ascii="黑体" w:hAnsi="黑体" w:eastAsia="黑体" w:cs="黑体"/>
          <w:color w:val="000000"/>
          <w:sz w:val="32"/>
        </w:rPr>
      </w:pPr>
      <w:r>
        <w:rPr>
          <w:rFonts w:hint="eastAsia" w:ascii="仿宋" w:hAnsi="仿宋" w:eastAsia="仿宋"/>
          <w:sz w:val="32"/>
          <w:szCs w:val="32"/>
        </w:rPr>
        <w:t>按照预算管理有关规定，目前我部门预算的编制实行综合预算制度，即全部收入和支出都反映在预算中。</w:t>
      </w:r>
    </w:p>
    <w:p>
      <w:pPr>
        <w:pStyle w:val="28"/>
      </w:pPr>
    </w:p>
    <w:p>
      <w:pPr>
        <w:numPr>
          <w:ilvl w:val="0"/>
          <w:numId w:val="2"/>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机关运行经费安排情况</w:t>
      </w:r>
    </w:p>
    <w:p>
      <w:pPr>
        <w:spacing w:line="360" w:lineRule="auto"/>
        <w:ind w:firstLine="640" w:firstLineChars="200"/>
        <w:rPr>
          <w:rFonts w:ascii="仿宋" w:hAnsi="仿宋" w:eastAsia="仿宋" w:cs="仿宋"/>
          <w:bCs/>
          <w:sz w:val="32"/>
          <w:szCs w:val="32"/>
        </w:rPr>
      </w:pPr>
      <w:r>
        <w:rPr>
          <w:rFonts w:hint="eastAsia" w:ascii="仿宋" w:hAnsi="仿宋" w:eastAsia="仿宋"/>
          <w:sz w:val="32"/>
          <w:szCs w:val="32"/>
        </w:rPr>
        <w:t>机关运行经费共计安排</w:t>
      </w:r>
      <w:r>
        <w:rPr>
          <w:rFonts w:hint="eastAsia" w:ascii="仿宋" w:hAnsi="仿宋" w:eastAsia="仿宋"/>
          <w:sz w:val="32"/>
          <w:szCs w:val="32"/>
          <w:lang w:eastAsia="zh-CN"/>
        </w:rPr>
        <w:t>81.2</w:t>
      </w:r>
      <w:r>
        <w:rPr>
          <w:rFonts w:hint="eastAsia" w:ascii="仿宋" w:hAnsi="仿宋" w:eastAsia="仿宋"/>
          <w:sz w:val="32"/>
          <w:szCs w:val="32"/>
        </w:rPr>
        <w:t>万元，主要用于办公区的日常维修、办公用房水电费、邮电费、办公用房物业管理费等日常运行支出。</w:t>
      </w:r>
    </w:p>
    <w:p>
      <w:pPr>
        <w:pStyle w:val="29"/>
        <w:ind w:firstLine="0"/>
      </w:pPr>
    </w:p>
    <w:p>
      <w:pPr>
        <w:numPr>
          <w:ilvl w:val="0"/>
          <w:numId w:val="2"/>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spacing w:line="360" w:lineRule="auto"/>
        <w:ind w:firstLine="800" w:firstLineChars="250"/>
        <w:rPr>
          <w:rFonts w:ascii="仿宋" w:hAnsi="仿宋" w:eastAsia="仿宋"/>
          <w:sz w:val="32"/>
          <w:szCs w:val="32"/>
        </w:rPr>
      </w:pPr>
      <w:r>
        <w:rPr>
          <w:rFonts w:hint="eastAsia" w:ascii="仿宋" w:hAnsi="仿宋" w:eastAsia="仿宋"/>
          <w:sz w:val="32"/>
          <w:szCs w:val="32"/>
          <w:lang w:eastAsia="zh-CN"/>
        </w:rPr>
        <w:t>2022</w:t>
      </w:r>
      <w:r>
        <w:rPr>
          <w:rFonts w:hint="eastAsia" w:ascii="仿宋" w:hAnsi="仿宋" w:eastAsia="仿宋"/>
          <w:sz w:val="32"/>
          <w:szCs w:val="32"/>
        </w:rPr>
        <w:t>年，我单位“三公”经费预算安排</w:t>
      </w:r>
      <w:r>
        <w:rPr>
          <w:rFonts w:hint="eastAsia" w:ascii="仿宋" w:hAnsi="仿宋" w:eastAsia="仿宋"/>
          <w:sz w:val="32"/>
          <w:szCs w:val="32"/>
          <w:lang w:eastAsia="zh-CN"/>
        </w:rPr>
        <w:t>4</w:t>
      </w:r>
      <w:r>
        <w:rPr>
          <w:rFonts w:hint="eastAsia" w:ascii="仿宋" w:hAnsi="仿宋" w:eastAsia="仿宋"/>
          <w:sz w:val="32"/>
          <w:szCs w:val="32"/>
        </w:rPr>
        <w:t>万元，其中因公出国（境）费</w:t>
      </w:r>
      <w:r>
        <w:rPr>
          <w:rFonts w:ascii="仿宋" w:hAnsi="仿宋" w:eastAsia="仿宋"/>
          <w:sz w:val="32"/>
          <w:szCs w:val="32"/>
        </w:rPr>
        <w:t>0</w:t>
      </w:r>
      <w:r>
        <w:rPr>
          <w:rFonts w:hint="eastAsia" w:ascii="仿宋" w:hAnsi="仿宋" w:eastAsia="仿宋"/>
          <w:sz w:val="32"/>
          <w:szCs w:val="32"/>
        </w:rPr>
        <w:t>万元；公务用车购置及运维费</w:t>
      </w:r>
      <w:r>
        <w:rPr>
          <w:rFonts w:hint="eastAsia" w:ascii="仿宋" w:hAnsi="仿宋" w:eastAsia="仿宋"/>
          <w:sz w:val="32"/>
          <w:szCs w:val="32"/>
          <w:lang w:eastAsia="zh-CN"/>
        </w:rPr>
        <w:t>4</w:t>
      </w:r>
      <w:r>
        <w:rPr>
          <w:rFonts w:hint="eastAsia" w:ascii="仿宋" w:hAnsi="仿宋" w:eastAsia="仿宋"/>
          <w:sz w:val="32"/>
          <w:szCs w:val="32"/>
        </w:rPr>
        <w:t>万元（其中：公务用车购置费为</w:t>
      </w:r>
      <w:r>
        <w:rPr>
          <w:rFonts w:ascii="仿宋" w:hAnsi="仿宋" w:eastAsia="仿宋"/>
          <w:sz w:val="32"/>
          <w:szCs w:val="32"/>
        </w:rPr>
        <w:t>0</w:t>
      </w:r>
      <w:r>
        <w:rPr>
          <w:rFonts w:hint="eastAsia" w:ascii="仿宋" w:hAnsi="仿宋" w:eastAsia="仿宋"/>
          <w:sz w:val="32"/>
          <w:szCs w:val="32"/>
        </w:rPr>
        <w:t>万元，公务用车运行费</w:t>
      </w:r>
      <w:r>
        <w:rPr>
          <w:rFonts w:hint="eastAsia" w:ascii="仿宋" w:hAnsi="仿宋" w:eastAsia="仿宋"/>
          <w:sz w:val="32"/>
          <w:szCs w:val="32"/>
          <w:lang w:eastAsia="zh-CN"/>
        </w:rPr>
        <w:t>4</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；公务接待费0万元。</w:t>
      </w:r>
    </w:p>
    <w:p>
      <w:pPr>
        <w:spacing w:line="360" w:lineRule="auto"/>
        <w:ind w:firstLine="800" w:firstLineChars="250"/>
        <w:rPr>
          <w:rFonts w:ascii="黑体" w:hAnsi="黑体" w:eastAsia="黑体" w:cs="黑体"/>
          <w:color w:val="000000"/>
          <w:sz w:val="32"/>
        </w:rPr>
      </w:pPr>
      <w:r>
        <w:rPr>
          <w:rFonts w:hint="eastAsia" w:ascii="仿宋" w:hAnsi="仿宋" w:eastAsia="仿宋"/>
          <w:sz w:val="32"/>
          <w:szCs w:val="32"/>
        </w:rPr>
        <w:t>与</w:t>
      </w:r>
      <w:r>
        <w:rPr>
          <w:rFonts w:hint="eastAsia" w:ascii="仿宋" w:hAnsi="仿宋" w:eastAsia="仿宋"/>
          <w:sz w:val="32"/>
          <w:szCs w:val="32"/>
          <w:lang w:eastAsia="zh-CN"/>
        </w:rPr>
        <w:t>2021</w:t>
      </w:r>
      <w:r>
        <w:rPr>
          <w:rFonts w:hint="eastAsia" w:ascii="仿宋" w:hAnsi="仿宋" w:eastAsia="仿宋"/>
          <w:sz w:val="32"/>
          <w:szCs w:val="32"/>
        </w:rPr>
        <w:t>年相比，严格执行公车制度管理制度，进行节能减排，</w:t>
      </w:r>
      <w:r>
        <w:rPr>
          <w:rFonts w:hint="eastAsia" w:ascii="仿宋" w:hAnsi="仿宋" w:eastAsia="仿宋"/>
          <w:sz w:val="32"/>
          <w:szCs w:val="32"/>
          <w:lang w:eastAsia="zh-CN"/>
        </w:rPr>
        <w:t>由于我单位新成立基金监察大队，下乡现场监察频率增加，</w:t>
      </w:r>
      <w:r>
        <w:rPr>
          <w:rFonts w:hint="eastAsia" w:ascii="仿宋" w:hAnsi="仿宋" w:eastAsia="仿宋"/>
          <w:sz w:val="32"/>
          <w:szCs w:val="32"/>
        </w:rPr>
        <w:t>公务用车运行费</w:t>
      </w:r>
      <w:r>
        <w:rPr>
          <w:rFonts w:hint="eastAsia" w:ascii="仿宋" w:hAnsi="仿宋" w:eastAsia="仿宋"/>
          <w:sz w:val="32"/>
          <w:szCs w:val="32"/>
          <w:lang w:eastAsia="zh-CN"/>
        </w:rPr>
        <w:t>上升</w:t>
      </w:r>
      <w:r>
        <w:rPr>
          <w:rFonts w:hint="eastAsia" w:ascii="仿宋" w:hAnsi="仿宋" w:eastAsia="仿宋"/>
          <w:sz w:val="32"/>
          <w:szCs w:val="32"/>
        </w:rPr>
        <w:t>了</w:t>
      </w:r>
      <w:r>
        <w:rPr>
          <w:rFonts w:hint="eastAsia" w:ascii="仿宋" w:hAnsi="仿宋" w:eastAsia="仿宋"/>
          <w:sz w:val="32"/>
          <w:szCs w:val="32"/>
          <w:lang w:eastAsia="zh-CN"/>
        </w:rPr>
        <w:t>14.28</w:t>
      </w:r>
      <w:r>
        <w:rPr>
          <w:rFonts w:hint="eastAsia" w:ascii="仿宋" w:hAnsi="仿宋" w:eastAsia="仿宋"/>
          <w:sz w:val="32"/>
          <w:szCs w:val="32"/>
        </w:rPr>
        <w:t>%。</w:t>
      </w:r>
      <w:r>
        <w:rPr>
          <w:rFonts w:hint="eastAsia" w:ascii="仿宋" w:hAnsi="仿宋" w:eastAsia="仿宋"/>
          <w:sz w:val="32"/>
          <w:szCs w:val="32"/>
          <w:lang w:eastAsia="zh-CN"/>
        </w:rPr>
        <w:t>2021</w:t>
      </w:r>
      <w:r>
        <w:rPr>
          <w:rFonts w:hint="eastAsia" w:ascii="仿宋" w:hAnsi="仿宋" w:eastAsia="仿宋"/>
          <w:sz w:val="32"/>
          <w:szCs w:val="32"/>
        </w:rPr>
        <w:t>年，我单位“三公”经费预算安排</w:t>
      </w:r>
      <w:r>
        <w:rPr>
          <w:rFonts w:hint="eastAsia" w:ascii="仿宋" w:hAnsi="仿宋" w:eastAsia="仿宋"/>
          <w:sz w:val="32"/>
          <w:szCs w:val="32"/>
          <w:lang w:eastAsia="zh-CN"/>
        </w:rPr>
        <w:t>3.5</w:t>
      </w:r>
      <w:r>
        <w:rPr>
          <w:rFonts w:hint="eastAsia" w:ascii="仿宋" w:hAnsi="仿宋" w:eastAsia="仿宋"/>
          <w:sz w:val="32"/>
          <w:szCs w:val="32"/>
        </w:rPr>
        <w:t>万元，</w:t>
      </w:r>
      <w:r>
        <w:rPr>
          <w:rFonts w:hint="eastAsia" w:ascii="仿宋" w:hAnsi="仿宋" w:eastAsia="仿宋"/>
          <w:sz w:val="32"/>
          <w:szCs w:val="32"/>
          <w:lang w:eastAsia="zh-CN"/>
        </w:rPr>
        <w:t>同比上升</w:t>
      </w:r>
      <w:r>
        <w:rPr>
          <w:rFonts w:hint="eastAsia" w:ascii="仿宋" w:hAnsi="仿宋" w:eastAsia="仿宋"/>
          <w:sz w:val="32"/>
          <w:szCs w:val="32"/>
        </w:rPr>
        <w:t>了</w:t>
      </w:r>
      <w:r>
        <w:rPr>
          <w:rFonts w:hint="eastAsia" w:ascii="仿宋" w:hAnsi="仿宋" w:eastAsia="仿宋"/>
          <w:sz w:val="32"/>
          <w:szCs w:val="32"/>
          <w:lang w:eastAsia="zh-CN"/>
        </w:rPr>
        <w:t>14.28</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其中因公出国（境）费</w:t>
      </w:r>
      <w:r>
        <w:rPr>
          <w:rFonts w:ascii="仿宋" w:hAnsi="仿宋" w:eastAsia="仿宋"/>
          <w:sz w:val="32"/>
          <w:szCs w:val="32"/>
        </w:rPr>
        <w:t>0</w:t>
      </w:r>
      <w:r>
        <w:rPr>
          <w:rFonts w:hint="eastAsia" w:ascii="仿宋" w:hAnsi="仿宋" w:eastAsia="仿宋"/>
          <w:sz w:val="32"/>
          <w:szCs w:val="32"/>
        </w:rPr>
        <w:t>万元；公务用车购置及运维费</w:t>
      </w:r>
      <w:r>
        <w:rPr>
          <w:rFonts w:hint="eastAsia" w:ascii="仿宋" w:hAnsi="仿宋" w:eastAsia="仿宋"/>
          <w:sz w:val="32"/>
          <w:szCs w:val="32"/>
          <w:lang w:eastAsia="zh-CN"/>
        </w:rPr>
        <w:t>3.5</w:t>
      </w:r>
      <w:r>
        <w:rPr>
          <w:rFonts w:hint="eastAsia" w:ascii="仿宋" w:hAnsi="仿宋" w:eastAsia="仿宋"/>
          <w:sz w:val="32"/>
          <w:szCs w:val="32"/>
        </w:rPr>
        <w:t>万元</w:t>
      </w:r>
      <w:r>
        <w:rPr>
          <w:rFonts w:hint="eastAsia" w:ascii="仿宋" w:hAnsi="仿宋" w:eastAsia="仿宋"/>
          <w:sz w:val="32"/>
          <w:szCs w:val="32"/>
          <w:lang w:eastAsia="zh-CN"/>
        </w:rPr>
        <w:t>同比上升14.28</w:t>
      </w:r>
      <w:r>
        <w:rPr>
          <w:rFonts w:hint="eastAsia" w:ascii="仿宋" w:hAnsi="仿宋" w:eastAsia="仿宋"/>
          <w:sz w:val="32"/>
          <w:szCs w:val="32"/>
        </w:rPr>
        <w:t>%（其中：公务用车购置费为</w:t>
      </w:r>
      <w:r>
        <w:rPr>
          <w:rFonts w:ascii="仿宋" w:hAnsi="仿宋" w:eastAsia="仿宋"/>
          <w:sz w:val="32"/>
          <w:szCs w:val="32"/>
        </w:rPr>
        <w:t>0</w:t>
      </w:r>
      <w:r>
        <w:rPr>
          <w:rFonts w:hint="eastAsia" w:ascii="仿宋" w:hAnsi="仿宋" w:eastAsia="仿宋"/>
          <w:sz w:val="32"/>
          <w:szCs w:val="32"/>
        </w:rPr>
        <w:t>万元，公务用车运行费</w:t>
      </w:r>
      <w:r>
        <w:rPr>
          <w:rFonts w:hint="eastAsia" w:ascii="仿宋" w:hAnsi="仿宋" w:eastAsia="仿宋"/>
          <w:sz w:val="32"/>
          <w:szCs w:val="32"/>
          <w:lang w:eastAsia="zh-CN"/>
        </w:rPr>
        <w:t>3.5</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；公务接待费0万元。</w:t>
      </w:r>
    </w:p>
    <w:p>
      <w:pPr>
        <w:pStyle w:val="30"/>
      </w:pPr>
    </w:p>
    <w:p>
      <w:pPr>
        <w:spacing w:before="10" w:after="10" w:line="360" w:lineRule="auto"/>
        <w:ind w:firstLine="640"/>
        <w:outlineLvl w:val="2"/>
      </w:pPr>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ind w:firstLine="640" w:firstLineChars="200"/>
        <w:rPr>
          <w:rFonts w:ascii="仿宋_GB2312" w:hAnsi="黑体" w:eastAsia="仿宋_GB2312"/>
          <w:sz w:val="32"/>
          <w:szCs w:val="32"/>
        </w:rPr>
      </w:pPr>
      <w:r>
        <w:rPr>
          <w:rFonts w:hint="eastAsia" w:ascii="仿宋_GB2312" w:hAnsi="黑体" w:eastAsia="仿宋_GB2312"/>
          <w:sz w:val="32"/>
          <w:szCs w:val="32"/>
        </w:rPr>
        <w:t>认真贯彻</w:t>
      </w:r>
      <w:r>
        <w:rPr>
          <w:rFonts w:hint="eastAsia" w:ascii="仿宋_GB2312" w:hAnsi="黑体" w:eastAsia="仿宋_GB2312"/>
          <w:sz w:val="32"/>
          <w:szCs w:val="32"/>
          <w:lang w:eastAsia="zh-CN"/>
        </w:rPr>
        <w:t>落实</w:t>
      </w:r>
      <w:r>
        <w:rPr>
          <w:rFonts w:hint="eastAsia" w:ascii="仿宋_GB2312" w:hAnsi="黑体" w:eastAsia="仿宋_GB2312"/>
          <w:sz w:val="32"/>
          <w:szCs w:val="32"/>
        </w:rPr>
        <w:t>党的十九大精神，以习近平新时代中国特色社会主义思想为指导，全面贯彻落实市委市政府的工作部署以及全省、全市医疗保障工作会议精神，围绕维护医保基金安全，破解百姓“看病难”、“看病贵”难题，提供高水平服务、建设高素质队伍，构筑全市医疗保障“四梁八柱”工作框架。开展打击欺诈骗保系列专项活动，全面落实习近平总书记“决不能让医保基金成为新的‘唐僧肉’，任由骗取”的批示，守牢医保基金安全底线。创建医药品集中采购使用管控新机制。以改革创新为主题，实施创制性改革，办好为民实事，通过一系列改革，释放出更多的医保改革红利惠及百姓。</w:t>
      </w:r>
    </w:p>
    <w:p>
      <w:pPr>
        <w:ind w:firstLine="640" w:firstLineChars="200"/>
        <w:rPr>
          <w:rFonts w:ascii="仿宋_GB2312" w:hAnsi="黑体" w:eastAsia="仿宋_GB2312"/>
          <w:sz w:val="32"/>
          <w:szCs w:val="32"/>
        </w:rPr>
      </w:pPr>
      <w:r>
        <w:rPr>
          <w:rFonts w:hint="eastAsia" w:ascii="仿宋_GB2312" w:eastAsia="仿宋_GB2312"/>
          <w:sz w:val="32"/>
          <w:szCs w:val="32"/>
        </w:rPr>
        <w:t>按照上述总体要求，</w:t>
      </w:r>
      <w:r>
        <w:rPr>
          <w:rFonts w:hint="eastAsia" w:ascii="仿宋_GB2312" w:eastAsia="仿宋_GB2312"/>
          <w:sz w:val="32"/>
          <w:szCs w:val="32"/>
          <w:lang w:eastAsia="zh-CN"/>
        </w:rPr>
        <w:t>2022</w:t>
      </w:r>
      <w:r>
        <w:rPr>
          <w:rFonts w:hint="eastAsia" w:ascii="仿宋_GB2312" w:eastAsia="仿宋_GB2312"/>
          <w:sz w:val="32"/>
          <w:szCs w:val="32"/>
        </w:rPr>
        <w:t>年医疗保障部门</w:t>
      </w:r>
      <w:r>
        <w:rPr>
          <w:rFonts w:hint="eastAsia" w:ascii="仿宋_GB2312" w:hAnsi="黑体" w:eastAsia="仿宋_GB2312"/>
          <w:sz w:val="32"/>
          <w:szCs w:val="32"/>
        </w:rPr>
        <w:t>具体要抓好以下几个方面工作。</w:t>
      </w:r>
    </w:p>
    <w:p>
      <w:pPr>
        <w:ind w:firstLine="640" w:firstLineChars="200"/>
        <w:rPr>
          <w:rFonts w:ascii="仿宋_GB2312" w:hAnsi="黑体" w:eastAsia="仿宋_GB2312"/>
          <w:sz w:val="32"/>
          <w:szCs w:val="32"/>
        </w:rPr>
      </w:pPr>
    </w:p>
    <w:p>
      <w:pPr>
        <w:numPr>
          <w:ilvl w:val="0"/>
          <w:numId w:val="3"/>
        </w:numPr>
        <w:ind w:firstLine="560"/>
        <w:rPr>
          <w:rFonts w:ascii="仿宋" w:hAnsi="仿宋" w:eastAsia="仿宋"/>
          <w:sz w:val="32"/>
          <w:szCs w:val="32"/>
        </w:rPr>
      </w:pPr>
      <w:r>
        <w:rPr>
          <w:rFonts w:hint="eastAsia" w:ascii="仿宋" w:hAnsi="仿宋" w:eastAsia="仿宋"/>
          <w:sz w:val="32"/>
          <w:szCs w:val="32"/>
        </w:rPr>
        <w:t>做好医保基金监督管理工作，采取多渠道、多形式的工作方式，保持对违法套取医保基金行为的高压态势。</w:t>
      </w:r>
    </w:p>
    <w:p>
      <w:pPr>
        <w:numPr>
          <w:ilvl w:val="0"/>
          <w:numId w:val="3"/>
        </w:numPr>
        <w:ind w:firstLine="560"/>
        <w:rPr>
          <w:rFonts w:ascii="仿宋" w:hAnsi="仿宋" w:eastAsia="仿宋"/>
          <w:sz w:val="32"/>
          <w:szCs w:val="32"/>
        </w:rPr>
      </w:pPr>
      <w:r>
        <w:rPr>
          <w:rFonts w:hint="eastAsia" w:ascii="仿宋" w:hAnsi="仿宋" w:eastAsia="仿宋"/>
          <w:sz w:val="32"/>
          <w:szCs w:val="32"/>
        </w:rPr>
        <w:t>完善药品集中采购使用管控机制。</w:t>
      </w:r>
    </w:p>
    <w:p>
      <w:pPr>
        <w:pStyle w:val="23"/>
      </w:pPr>
      <w:r>
        <w:rPr>
          <w:rFonts w:hint="eastAsia" w:ascii="仿宋" w:hAnsi="仿宋" w:eastAsia="仿宋"/>
          <w:sz w:val="32"/>
          <w:szCs w:val="32"/>
        </w:rPr>
        <w:t>加强医保政策宣传，强化宣传队伍素质，确保宣传工作不留死角。</w:t>
      </w:r>
    </w:p>
    <w:p>
      <w:pPr>
        <w:spacing w:line="500" w:lineRule="exact"/>
        <w:ind w:firstLine="560"/>
      </w:pPr>
      <w:r>
        <w:rPr>
          <w:rFonts w:eastAsia="方正仿宋_GBK" w:cs="Times New Roman"/>
          <w:color w:val="000000"/>
          <w:sz w:val="28"/>
        </w:rPr>
        <w:t>（二）分项绩效目标</w:t>
      </w:r>
    </w:p>
    <w:p>
      <w:pPr>
        <w:numPr>
          <w:ilvl w:val="0"/>
          <w:numId w:val="4"/>
        </w:numPr>
        <w:ind w:firstLine="640" w:firstLineChars="200"/>
        <w:rPr>
          <w:rFonts w:ascii="仿宋_GB2312" w:eastAsia="仿宋_GB2312"/>
          <w:sz w:val="32"/>
          <w:szCs w:val="32"/>
        </w:rPr>
      </w:pPr>
      <w:r>
        <w:rPr>
          <w:rFonts w:hint="eastAsia" w:ascii="仿宋_GB2312" w:eastAsia="仿宋_GB2312"/>
          <w:sz w:val="32"/>
          <w:szCs w:val="32"/>
        </w:rPr>
        <w:t>医疗保障事务职责绩效目标：</w:t>
      </w:r>
      <w:r>
        <w:rPr>
          <w:rFonts w:hint="eastAsia" w:ascii="仿宋_GB2312" w:eastAsia="仿宋_GB2312"/>
          <w:sz w:val="32"/>
          <w:szCs w:val="32"/>
          <w:lang w:eastAsia="zh-CN"/>
        </w:rPr>
        <w:t>落实保障上级</w:t>
      </w:r>
      <w:r>
        <w:rPr>
          <w:rFonts w:hint="eastAsia" w:ascii="仿宋_GB2312" w:eastAsia="仿宋_GB2312"/>
          <w:sz w:val="32"/>
          <w:szCs w:val="32"/>
        </w:rPr>
        <w:t>城镇职工、城乡居民参保筹资和保障待遇政策</w:t>
      </w:r>
      <w:r>
        <w:rPr>
          <w:rFonts w:hint="eastAsia" w:ascii="仿宋_GB2312" w:eastAsia="仿宋_GB2312"/>
          <w:sz w:val="32"/>
          <w:szCs w:val="32"/>
          <w:lang w:eastAsia="zh-CN"/>
        </w:rPr>
        <w:t>、</w:t>
      </w:r>
      <w:r>
        <w:rPr>
          <w:rFonts w:hint="eastAsia" w:ascii="仿宋_GB2312" w:eastAsia="仿宋_GB2312"/>
          <w:sz w:val="32"/>
          <w:szCs w:val="32"/>
        </w:rPr>
        <w:t>城乡医疗保障政策标准，</w:t>
      </w:r>
      <w:r>
        <w:rPr>
          <w:rFonts w:hint="eastAsia" w:ascii="仿宋_GB2312" w:eastAsia="仿宋_GB2312"/>
          <w:sz w:val="32"/>
          <w:szCs w:val="32"/>
          <w:lang w:eastAsia="zh-CN"/>
        </w:rPr>
        <w:t>完善</w:t>
      </w:r>
      <w:r>
        <w:rPr>
          <w:rFonts w:hint="eastAsia" w:ascii="仿宋_GB2312" w:eastAsia="仿宋_GB2312"/>
          <w:sz w:val="32"/>
          <w:szCs w:val="32"/>
        </w:rPr>
        <w:t>长期护理保险制度。</w:t>
      </w:r>
    </w:p>
    <w:p>
      <w:pPr>
        <w:rPr>
          <w:rFonts w:ascii="仿宋_GB2312" w:eastAsia="仿宋_GB2312"/>
          <w:sz w:val="32"/>
          <w:szCs w:val="32"/>
        </w:rPr>
      </w:pPr>
      <w:r>
        <w:rPr>
          <w:rFonts w:hint="eastAsia" w:ascii="仿宋_GB2312" w:eastAsia="仿宋_GB2312"/>
          <w:sz w:val="32"/>
          <w:szCs w:val="32"/>
          <w:lang w:eastAsia="zh-CN"/>
        </w:rPr>
        <w:t xml:space="preserve">    </w:t>
      </w:r>
      <w:r>
        <w:rPr>
          <w:rFonts w:hint="eastAsia" w:ascii="仿宋_GB2312" w:eastAsia="仿宋_GB2312"/>
          <w:sz w:val="32"/>
          <w:szCs w:val="32"/>
        </w:rPr>
        <w:t>（二）医保基金安全管理职责绩效目标：</w:t>
      </w:r>
      <w:r>
        <w:rPr>
          <w:rFonts w:hint="eastAsia" w:ascii="仿宋_GB2312" w:eastAsia="仿宋_GB2312"/>
          <w:sz w:val="32"/>
          <w:szCs w:val="32"/>
          <w:lang w:eastAsia="zh-CN"/>
        </w:rPr>
        <w:t>保障基金安全，推进</w:t>
      </w:r>
      <w:r>
        <w:rPr>
          <w:rFonts w:hint="eastAsia" w:ascii="仿宋_GB2312" w:eastAsia="仿宋_GB2312"/>
          <w:sz w:val="32"/>
          <w:szCs w:val="32"/>
        </w:rPr>
        <w:t>智能监控平台</w:t>
      </w:r>
      <w:r>
        <w:rPr>
          <w:rFonts w:hint="eastAsia" w:ascii="仿宋_GB2312" w:eastAsia="仿宋_GB2312"/>
          <w:sz w:val="32"/>
          <w:szCs w:val="32"/>
          <w:lang w:eastAsia="zh-CN"/>
        </w:rPr>
        <w:t>建设</w:t>
      </w:r>
      <w:r>
        <w:rPr>
          <w:rFonts w:hint="eastAsia" w:ascii="仿宋_GB2312" w:eastAsia="仿宋_GB2312"/>
          <w:sz w:val="32"/>
          <w:szCs w:val="32"/>
        </w:rPr>
        <w:t>，推进医疗保障基金支付方式改革。</w:t>
      </w:r>
    </w:p>
    <w:p>
      <w:pPr>
        <w:ind w:firstLine="640" w:firstLineChars="200"/>
        <w:rPr>
          <w:rFonts w:ascii="仿宋_GB2312" w:eastAsia="仿宋_GB2312"/>
          <w:sz w:val="32"/>
          <w:szCs w:val="32"/>
        </w:rPr>
      </w:pPr>
      <w:r>
        <w:rPr>
          <w:rFonts w:hint="eastAsia" w:ascii="仿宋_GB2312" w:eastAsia="仿宋_GB2312"/>
          <w:sz w:val="32"/>
          <w:szCs w:val="32"/>
        </w:rPr>
        <w:t>（三）医药服务管理职责绩效目标：监督管理定点医药机构的医疗服务行为、医疗费用和医药价格，落实省药品、医用耗材价格和医疗服务项目、医疗服务设施收费等政策。依法管理药品、医用耗材、医疗服务价格政策执行情况。建立完善药品、医用耗材和医疗服务价格监测信息发布制度。</w:t>
      </w:r>
    </w:p>
    <w:p>
      <w:pPr>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四）服务群众职责绩效目标：组织实施异地就医管理</w:t>
      </w:r>
      <w:r>
        <w:rPr>
          <w:rFonts w:hint="eastAsia" w:ascii="仿宋_GB2312" w:eastAsia="仿宋_GB2312"/>
          <w:sz w:val="32"/>
          <w:szCs w:val="32"/>
          <w:lang w:eastAsia="zh-CN"/>
        </w:rPr>
        <w:t>制度，提高费用结算效率，</w:t>
      </w:r>
      <w:r>
        <w:rPr>
          <w:rFonts w:hint="eastAsia" w:ascii="仿宋_GB2312" w:eastAsia="仿宋_GB2312"/>
          <w:sz w:val="32"/>
          <w:szCs w:val="32"/>
        </w:rPr>
        <w:t>提高群众办事效率和满意度。</w:t>
      </w:r>
    </w:p>
    <w:p>
      <w:pPr>
        <w:pStyle w:val="24"/>
      </w:pPr>
    </w:p>
    <w:p>
      <w:pPr>
        <w:spacing w:line="500" w:lineRule="exact"/>
        <w:ind w:firstLine="560"/>
      </w:pPr>
      <w:r>
        <w:rPr>
          <w:rFonts w:eastAsia="方正仿宋_GBK" w:cs="Times New Roman"/>
          <w:color w:val="000000"/>
          <w:sz w:val="28"/>
        </w:rPr>
        <w:t>（三）工作保障措施</w:t>
      </w:r>
    </w:p>
    <w:p>
      <w:pPr>
        <w:ind w:firstLine="640" w:firstLineChars="200"/>
        <w:rPr>
          <w:rFonts w:ascii="仿宋_GB2312" w:eastAsia="仿宋_GB2312"/>
          <w:sz w:val="32"/>
          <w:szCs w:val="32"/>
        </w:rPr>
      </w:pPr>
      <w:r>
        <w:rPr>
          <w:rFonts w:hint="eastAsia" w:ascii="仿宋_GB2312" w:eastAsia="仿宋_GB2312"/>
          <w:sz w:val="32"/>
          <w:szCs w:val="32"/>
        </w:rPr>
        <w:t>（一）</w:t>
      </w:r>
      <w:r>
        <w:rPr>
          <w:rFonts w:hint="eastAsia" w:ascii="仿宋" w:hAnsi="仿宋" w:eastAsia="仿宋"/>
          <w:sz w:val="32"/>
          <w:szCs w:val="32"/>
        </w:rPr>
        <w:t>提高办事效率，提升服务体验。</w:t>
      </w:r>
    </w:p>
    <w:p>
      <w:pPr>
        <w:ind w:firstLine="640" w:firstLineChars="200"/>
        <w:rPr>
          <w:rFonts w:ascii="仿宋_GB2312" w:eastAsia="仿宋_GB2312"/>
          <w:sz w:val="32"/>
          <w:szCs w:val="32"/>
          <w:lang w:eastAsia="zh-CN"/>
        </w:rPr>
      </w:pPr>
      <w:r>
        <w:rPr>
          <w:rFonts w:hint="eastAsia" w:ascii="仿宋_GB2312" w:eastAsia="仿宋_GB2312"/>
          <w:sz w:val="32"/>
          <w:szCs w:val="32"/>
        </w:rPr>
        <w:t>1、</w:t>
      </w:r>
      <w:r>
        <w:rPr>
          <w:rFonts w:hint="eastAsia" w:ascii="仿宋_GB2312" w:eastAsia="仿宋_GB2312"/>
          <w:sz w:val="32"/>
          <w:szCs w:val="32"/>
          <w:lang w:eastAsia="zh-CN"/>
        </w:rPr>
        <w:t>建立健全医疗保障服务体系。</w:t>
      </w:r>
    </w:p>
    <w:p>
      <w:pPr>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深入落实异地就医备案政策智能化。</w:t>
      </w:r>
    </w:p>
    <w:p>
      <w:pPr>
        <w:ind w:firstLine="640" w:firstLineChars="200"/>
        <w:rPr>
          <w:rFonts w:ascii="仿宋_GB2312" w:eastAsia="仿宋_GB2312"/>
          <w:sz w:val="32"/>
          <w:szCs w:val="32"/>
        </w:rPr>
      </w:pPr>
      <w:r>
        <w:rPr>
          <w:rFonts w:hint="eastAsia" w:ascii="仿宋_GB2312" w:eastAsia="仿宋_GB2312"/>
          <w:sz w:val="32"/>
          <w:szCs w:val="32"/>
        </w:rPr>
        <w:t>3、技术支撑体系，</w:t>
      </w:r>
      <w:r>
        <w:rPr>
          <w:rFonts w:hint="eastAsia" w:ascii="仿宋_GB2312" w:eastAsia="仿宋_GB2312"/>
          <w:sz w:val="32"/>
          <w:szCs w:val="32"/>
          <w:lang w:eastAsia="zh-CN"/>
        </w:rPr>
        <w:t>提高医疗保障政策宣传，实现服务项目快捷办理。</w:t>
      </w:r>
    </w:p>
    <w:p>
      <w:pPr>
        <w:ind w:firstLine="640" w:firstLineChars="200"/>
        <w:rPr>
          <w:rFonts w:ascii="仿宋_GB2312" w:eastAsia="仿宋_GB2312"/>
          <w:sz w:val="32"/>
          <w:szCs w:val="32"/>
        </w:rPr>
      </w:pPr>
      <w:r>
        <w:rPr>
          <w:rFonts w:hint="eastAsia" w:ascii="仿宋_GB2312" w:eastAsia="仿宋_GB2312"/>
          <w:sz w:val="32"/>
          <w:szCs w:val="32"/>
        </w:rPr>
        <w:t>4、明责问责体系，包含创建权责一致的明责机制和公正严明的问责机制。</w:t>
      </w:r>
    </w:p>
    <w:p>
      <w:pPr>
        <w:ind w:firstLine="640" w:firstLineChars="200"/>
        <w:rPr>
          <w:rFonts w:ascii="仿宋_GB2312" w:eastAsia="仿宋_GB2312"/>
          <w:sz w:val="32"/>
          <w:szCs w:val="32"/>
        </w:rPr>
      </w:pPr>
      <w:r>
        <w:rPr>
          <w:rFonts w:hint="eastAsia" w:ascii="仿宋_GB2312" w:eastAsia="仿宋_GB2312"/>
          <w:sz w:val="32"/>
          <w:szCs w:val="32"/>
        </w:rPr>
        <w:t>（二）全面加强医保基金监管，维护基金安全。</w:t>
      </w:r>
    </w:p>
    <w:p>
      <w:pPr>
        <w:ind w:firstLine="640" w:firstLineChars="200"/>
        <w:rPr>
          <w:rFonts w:ascii="仿宋_GB2312" w:eastAsia="仿宋_GB2312"/>
          <w:sz w:val="32"/>
          <w:szCs w:val="32"/>
        </w:rPr>
      </w:pPr>
      <w:r>
        <w:rPr>
          <w:rFonts w:hint="eastAsia" w:ascii="仿宋_GB2312" w:eastAsia="仿宋_GB2312"/>
          <w:sz w:val="32"/>
          <w:szCs w:val="32"/>
        </w:rPr>
        <w:t>1、强化稽核稽查工作。</w:t>
      </w:r>
    </w:p>
    <w:p>
      <w:pPr>
        <w:ind w:firstLine="640" w:firstLineChars="200"/>
        <w:rPr>
          <w:rFonts w:ascii="仿宋_GB2312" w:eastAsia="仿宋_GB2312"/>
          <w:sz w:val="32"/>
          <w:szCs w:val="32"/>
        </w:rPr>
      </w:pPr>
      <w:r>
        <w:rPr>
          <w:rFonts w:hint="eastAsia" w:ascii="仿宋_GB2312" w:eastAsia="仿宋_GB2312"/>
          <w:sz w:val="32"/>
          <w:szCs w:val="32"/>
        </w:rPr>
        <w:t>2、加大欺诈骗保案件查办力度。</w:t>
      </w:r>
    </w:p>
    <w:p>
      <w:pPr>
        <w:ind w:firstLine="640" w:firstLineChars="200"/>
        <w:rPr>
          <w:rFonts w:ascii="仿宋_GB2312" w:eastAsia="仿宋_GB2312"/>
          <w:sz w:val="32"/>
          <w:szCs w:val="32"/>
        </w:rPr>
      </w:pPr>
      <w:r>
        <w:rPr>
          <w:rFonts w:hint="eastAsia" w:ascii="仿宋_GB2312" w:eastAsia="仿宋_GB2312"/>
          <w:sz w:val="32"/>
          <w:szCs w:val="32"/>
        </w:rPr>
        <w:t>3、加强重点医药机构监管。</w:t>
      </w:r>
    </w:p>
    <w:p>
      <w:pPr>
        <w:ind w:firstLine="640" w:firstLineChars="200"/>
        <w:rPr>
          <w:rFonts w:ascii="仿宋_GB2312" w:eastAsia="仿宋_GB2312"/>
          <w:sz w:val="32"/>
          <w:szCs w:val="32"/>
        </w:rPr>
      </w:pPr>
      <w:r>
        <w:rPr>
          <w:rFonts w:hint="eastAsia" w:ascii="仿宋_GB2312" w:eastAsia="仿宋_GB2312"/>
          <w:sz w:val="32"/>
          <w:szCs w:val="32"/>
        </w:rPr>
        <w:t>（三）全面加强党的建设，打造高素质专业化干部队伍。</w:t>
      </w:r>
    </w:p>
    <w:p>
      <w:pPr>
        <w:ind w:firstLine="640" w:firstLineChars="200"/>
        <w:rPr>
          <w:rFonts w:ascii="仿宋_GB2312" w:eastAsia="仿宋_GB2312"/>
          <w:sz w:val="32"/>
          <w:szCs w:val="32"/>
        </w:rPr>
      </w:pPr>
      <w:r>
        <w:rPr>
          <w:rFonts w:hint="eastAsia" w:ascii="仿宋_GB2312" w:eastAsia="仿宋_GB2312"/>
          <w:sz w:val="32"/>
          <w:szCs w:val="32"/>
        </w:rPr>
        <w:t>1、全面</w:t>
      </w:r>
      <w:r>
        <w:rPr>
          <w:rFonts w:hint="eastAsia" w:ascii="仿宋_GB2312" w:eastAsia="仿宋_GB2312"/>
          <w:sz w:val="32"/>
          <w:szCs w:val="32"/>
          <w:lang w:eastAsia="zh-CN"/>
        </w:rPr>
        <w:t>贯彻</w:t>
      </w:r>
      <w:r>
        <w:rPr>
          <w:rFonts w:hint="eastAsia" w:ascii="仿宋_GB2312" w:eastAsia="仿宋_GB2312"/>
          <w:sz w:val="32"/>
          <w:szCs w:val="32"/>
        </w:rPr>
        <w:t>落实</w:t>
      </w:r>
      <w:r>
        <w:rPr>
          <w:rFonts w:hint="eastAsia" w:ascii="仿宋_GB2312" w:eastAsia="仿宋_GB2312"/>
          <w:sz w:val="32"/>
          <w:szCs w:val="32"/>
          <w:lang w:eastAsia="zh-CN"/>
        </w:rPr>
        <w:t>党的</w:t>
      </w:r>
      <w:r>
        <w:rPr>
          <w:rFonts w:hint="eastAsia" w:ascii="仿宋_GB2312" w:eastAsia="仿宋_GB2312"/>
          <w:sz w:val="32"/>
          <w:szCs w:val="32"/>
        </w:rPr>
        <w:t>十九大精神。</w:t>
      </w:r>
    </w:p>
    <w:p>
      <w:pPr>
        <w:ind w:firstLine="640" w:firstLineChars="200"/>
        <w:rPr>
          <w:rFonts w:ascii="仿宋_GB2312" w:eastAsia="仿宋_GB2312"/>
          <w:sz w:val="32"/>
          <w:szCs w:val="32"/>
        </w:rPr>
      </w:pPr>
      <w:r>
        <w:rPr>
          <w:rFonts w:hint="eastAsia" w:ascii="仿宋_GB2312" w:eastAsia="仿宋_GB2312"/>
          <w:sz w:val="32"/>
          <w:szCs w:val="32"/>
        </w:rPr>
        <w:t>2、全面加强党的政治建设。</w:t>
      </w:r>
    </w:p>
    <w:p>
      <w:pPr>
        <w:ind w:firstLine="640" w:firstLineChars="200"/>
        <w:rPr>
          <w:rFonts w:ascii="仿宋_GB2312" w:eastAsia="仿宋_GB2312"/>
          <w:sz w:val="32"/>
          <w:szCs w:val="32"/>
        </w:rPr>
      </w:pPr>
      <w:r>
        <w:rPr>
          <w:rFonts w:hint="eastAsia" w:ascii="仿宋_GB2312" w:eastAsia="仿宋_GB2312"/>
          <w:sz w:val="32"/>
          <w:szCs w:val="32"/>
        </w:rPr>
        <w:t>3、全面加强党风廉政建设。</w:t>
      </w:r>
    </w:p>
    <w:p>
      <w:pPr>
        <w:ind w:firstLine="640" w:firstLineChars="200"/>
        <w:rPr>
          <w:rFonts w:ascii="仿宋_GB2312" w:eastAsia="仿宋_GB2312"/>
          <w:sz w:val="32"/>
          <w:szCs w:val="32"/>
        </w:rPr>
      </w:pPr>
      <w:r>
        <w:rPr>
          <w:rFonts w:hint="eastAsia" w:ascii="仿宋_GB2312" w:eastAsia="仿宋_GB2312"/>
          <w:sz w:val="32"/>
          <w:szCs w:val="32"/>
        </w:rPr>
        <w:t>4、全面加强法治建设。</w:t>
      </w:r>
    </w:p>
    <w:p>
      <w:pPr>
        <w:ind w:firstLine="640" w:firstLineChars="200"/>
        <w:rPr>
          <w:rFonts w:ascii="仿宋_GB2312" w:eastAsia="仿宋_GB2312"/>
          <w:sz w:val="32"/>
          <w:szCs w:val="32"/>
        </w:rPr>
      </w:pPr>
      <w:r>
        <w:rPr>
          <w:rFonts w:hint="eastAsia" w:ascii="仿宋_GB2312" w:eastAsia="仿宋_GB2312"/>
          <w:sz w:val="32"/>
          <w:szCs w:val="32"/>
        </w:rPr>
        <w:t>5、全面加强信息化建设。</w:t>
      </w:r>
    </w:p>
    <w:p>
      <w:pPr>
        <w:ind w:firstLine="640" w:firstLineChars="200"/>
        <w:rPr>
          <w:rFonts w:ascii="仿宋" w:hAnsi="仿宋" w:eastAsia="仿宋"/>
          <w:sz w:val="32"/>
          <w:szCs w:val="32"/>
        </w:rPr>
      </w:pPr>
      <w:r>
        <w:rPr>
          <w:rFonts w:hint="eastAsia" w:ascii="仿宋_GB2312" w:eastAsia="仿宋_GB2312"/>
          <w:sz w:val="32"/>
          <w:szCs w:val="32"/>
        </w:rPr>
        <w:t>6、全面加强队伍能力建设。</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bookmarkStart w:id="1" w:name="_GoBack"/>
      <w:bookmarkEnd w:id="1"/>
    </w:p>
    <w:p>
      <w:pPr>
        <w:ind w:firstLine="640" w:firstLineChars="200"/>
        <w:rPr>
          <w:rFonts w:ascii="仿宋_GB2312" w:eastAsia="仿宋_GB2312"/>
          <w:sz w:val="32"/>
          <w:szCs w:val="32"/>
        </w:rPr>
      </w:pPr>
      <w:r>
        <w:rPr>
          <w:rFonts w:hint="eastAsia" w:ascii="仿宋_GB2312" w:eastAsia="仿宋_GB2312"/>
          <w:sz w:val="32"/>
          <w:szCs w:val="32"/>
          <w:lang w:eastAsia="zh-CN"/>
        </w:rPr>
        <w:t>保障基金安全，推进</w:t>
      </w:r>
      <w:r>
        <w:rPr>
          <w:rFonts w:hint="eastAsia" w:ascii="仿宋_GB2312" w:eastAsia="仿宋_GB2312"/>
          <w:sz w:val="32"/>
          <w:szCs w:val="32"/>
        </w:rPr>
        <w:t>智能监控平台</w:t>
      </w:r>
      <w:r>
        <w:rPr>
          <w:rFonts w:hint="eastAsia" w:ascii="仿宋_GB2312" w:eastAsia="仿宋_GB2312"/>
          <w:sz w:val="32"/>
          <w:szCs w:val="32"/>
          <w:lang w:eastAsia="zh-CN"/>
        </w:rPr>
        <w:t>建设</w:t>
      </w:r>
      <w:r>
        <w:rPr>
          <w:rFonts w:hint="eastAsia" w:ascii="仿宋_GB2312" w:eastAsia="仿宋_GB2312"/>
          <w:sz w:val="32"/>
          <w:szCs w:val="32"/>
        </w:rPr>
        <w:t>，推进医疗保障基金支付方式改革。</w:t>
      </w:r>
    </w:p>
    <w:p>
      <w:pPr>
        <w:numPr>
          <w:ilvl w:val="0"/>
          <w:numId w:val="5"/>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ind w:firstLine="640" w:firstLineChars="200"/>
        <w:rPr>
          <w:rFonts w:ascii="仿宋_GB2312" w:eastAsia="仿宋_GB2312"/>
          <w:sz w:val="32"/>
          <w:szCs w:val="32"/>
        </w:rPr>
      </w:pPr>
      <w:r>
        <w:rPr>
          <w:rFonts w:hint="eastAsia" w:ascii="仿宋_GB2312" w:eastAsia="仿宋_GB2312"/>
          <w:sz w:val="32"/>
          <w:szCs w:val="32"/>
        </w:rPr>
        <w:t>监督管理定点医药机构的医疗服务行为、医疗费用和医药价格，落实省药品、医用耗材价格和医疗服务项目、医疗服务设施收费等政策。依法管理药品、医用耗材、医疗服务价格政策执行情况。建立完善药品、医用耗材和医疗服务价格监测信息发布制度。</w:t>
      </w:r>
    </w:p>
    <w:p>
      <w:pPr>
        <w:spacing w:before="10" w:after="10"/>
        <w:ind w:firstLine="640"/>
        <w:outlineLvl w:val="5"/>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1、2022年城乡居民县级配套资金绩效目标表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资助参保人数</w:t>
            </w:r>
          </w:p>
        </w:tc>
        <w:tc>
          <w:tcPr>
            <w:tcW w:w="2835" w:type="dxa"/>
            <w:vAlign w:val="center"/>
          </w:tcPr>
          <w:p>
            <w:pPr>
              <w:pStyle w:val="14"/>
            </w:pPr>
            <w:r>
              <w:t>本项目补助参加城乡居民医疗保险人数</w:t>
            </w:r>
          </w:p>
        </w:tc>
        <w:tc>
          <w:tcPr>
            <w:tcW w:w="2551" w:type="dxa"/>
            <w:vAlign w:val="center"/>
          </w:tcPr>
          <w:p>
            <w:pPr>
              <w:pStyle w:val="14"/>
            </w:pPr>
            <w:r>
              <w:t>≥350000人</w:t>
            </w:r>
          </w:p>
        </w:tc>
        <w:tc>
          <w:tcPr>
            <w:tcW w:w="2268" w:type="dxa"/>
            <w:vAlign w:val="center"/>
          </w:tcPr>
          <w:p>
            <w:pPr>
              <w:pStyle w:val="14"/>
            </w:pPr>
            <w:r>
              <w:t>按照最终税务和医保系统提取的参保人数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城乡居民医保参保率</w:t>
            </w:r>
          </w:p>
        </w:tc>
        <w:tc>
          <w:tcPr>
            <w:tcW w:w="2835" w:type="dxa"/>
            <w:vAlign w:val="center"/>
          </w:tcPr>
          <w:p>
            <w:pPr>
              <w:pStyle w:val="14"/>
            </w:pPr>
            <w:r>
              <w:t>县域内参加城乡居民医保人数与县域内需要参加的城乡居民医保的人数比例（%）</w:t>
            </w:r>
          </w:p>
        </w:tc>
        <w:tc>
          <w:tcPr>
            <w:tcW w:w="2551" w:type="dxa"/>
            <w:vAlign w:val="center"/>
          </w:tcPr>
          <w:p>
            <w:pPr>
              <w:pStyle w:val="14"/>
            </w:pPr>
            <w:r>
              <w:t>≥98%</w:t>
            </w:r>
          </w:p>
        </w:tc>
        <w:tc>
          <w:tcPr>
            <w:tcW w:w="2268" w:type="dxa"/>
            <w:vAlign w:val="center"/>
          </w:tcPr>
          <w:p>
            <w:pPr>
              <w:pStyle w:val="14"/>
            </w:pPr>
            <w:r>
              <w:t>按照医保信息提供的参保数据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“一站式”即时结算覆盖率</w:t>
            </w:r>
          </w:p>
        </w:tc>
        <w:tc>
          <w:tcPr>
            <w:tcW w:w="2835" w:type="dxa"/>
            <w:vAlign w:val="center"/>
          </w:tcPr>
          <w:p>
            <w:pPr>
              <w:pStyle w:val="14"/>
            </w:pPr>
            <w:r>
              <w:t>县域内“一站式”即时结算的医疗机构覆盖率（%）</w:t>
            </w:r>
          </w:p>
        </w:tc>
        <w:tc>
          <w:tcPr>
            <w:tcW w:w="2551" w:type="dxa"/>
            <w:vAlign w:val="center"/>
          </w:tcPr>
          <w:p>
            <w:pPr>
              <w:pStyle w:val="14"/>
            </w:pPr>
            <w:r>
              <w:t>不低于上年</w:t>
            </w:r>
          </w:p>
        </w:tc>
        <w:tc>
          <w:tcPr>
            <w:tcW w:w="2268" w:type="dxa"/>
            <w:vAlign w:val="center"/>
          </w:tcPr>
          <w:p>
            <w:pPr>
              <w:pStyle w:val="14"/>
            </w:pPr>
            <w:r>
              <w:t>按照定点医疗机构反馈的数据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平均资助参保金额</w:t>
            </w:r>
          </w:p>
        </w:tc>
        <w:tc>
          <w:tcPr>
            <w:tcW w:w="2835" w:type="dxa"/>
            <w:vAlign w:val="center"/>
          </w:tcPr>
          <w:p>
            <w:pPr>
              <w:pStyle w:val="14"/>
            </w:pPr>
            <w:r>
              <w:t>项目用于补助的城乡居民医保参保人员平均金额</w:t>
            </w:r>
          </w:p>
        </w:tc>
        <w:tc>
          <w:tcPr>
            <w:tcW w:w="2551" w:type="dxa"/>
            <w:vAlign w:val="center"/>
          </w:tcPr>
          <w:p>
            <w:pPr>
              <w:pStyle w:val="14"/>
            </w:pPr>
            <w:r>
              <w:t>≥122元</w:t>
            </w:r>
          </w:p>
        </w:tc>
        <w:tc>
          <w:tcPr>
            <w:tcW w:w="2268" w:type="dxa"/>
            <w:vAlign w:val="center"/>
          </w:tcPr>
          <w:p>
            <w:pPr>
              <w:pStyle w:val="14"/>
            </w:pPr>
            <w:r>
              <w:t>按照上级执行文件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参保群众看病就医方便程度</w:t>
            </w:r>
          </w:p>
        </w:tc>
        <w:tc>
          <w:tcPr>
            <w:tcW w:w="2835" w:type="dxa"/>
            <w:vAlign w:val="center"/>
          </w:tcPr>
          <w:p>
            <w:pPr>
              <w:pStyle w:val="14"/>
            </w:pPr>
            <w:r>
              <w:t>县域内参保群众看病就医报销过程中办理手续方便程度</w:t>
            </w:r>
          </w:p>
        </w:tc>
        <w:tc>
          <w:tcPr>
            <w:tcW w:w="2551" w:type="dxa"/>
            <w:vAlign w:val="center"/>
          </w:tcPr>
          <w:p>
            <w:pPr>
              <w:pStyle w:val="14"/>
            </w:pPr>
            <w:r>
              <w:t>明显提高</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对健全医疗保障制度体系的影响</w:t>
            </w:r>
          </w:p>
        </w:tc>
        <w:tc>
          <w:tcPr>
            <w:tcW w:w="2835" w:type="dxa"/>
            <w:vAlign w:val="center"/>
          </w:tcPr>
          <w:p>
            <w:pPr>
              <w:pStyle w:val="14"/>
            </w:pPr>
            <w:r>
              <w:t>项目实施以后对健全医疗保障制度体系的影响</w:t>
            </w:r>
          </w:p>
        </w:tc>
        <w:tc>
          <w:tcPr>
            <w:tcW w:w="2551" w:type="dxa"/>
            <w:vAlign w:val="center"/>
          </w:tcPr>
          <w:p>
            <w:pPr>
              <w:pStyle w:val="14"/>
            </w:pPr>
            <w:r>
              <w:t>成效明显</w:t>
            </w:r>
          </w:p>
        </w:tc>
        <w:tc>
          <w:tcPr>
            <w:tcW w:w="2268" w:type="dxa"/>
            <w:vAlign w:val="center"/>
          </w:tcPr>
          <w:p>
            <w:pPr>
              <w:pStyle w:val="14"/>
            </w:pPr>
            <w:r>
              <w:t>由各定点医疗机构反馈数据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暂未涉及</w:t>
            </w:r>
          </w:p>
        </w:tc>
        <w:tc>
          <w:tcPr>
            <w:tcW w:w="2835" w:type="dxa"/>
            <w:vAlign w:val="center"/>
          </w:tcPr>
          <w:p>
            <w:pPr>
              <w:pStyle w:val="14"/>
            </w:pPr>
            <w:r>
              <w:t>暂未涉及</w:t>
            </w:r>
          </w:p>
        </w:tc>
        <w:tc>
          <w:tcPr>
            <w:tcW w:w="2551" w:type="dxa"/>
            <w:vAlign w:val="center"/>
          </w:tcPr>
          <w:p>
            <w:pPr>
              <w:pStyle w:val="14"/>
            </w:pPr>
            <w:r>
              <w:t>暂未涉及</w:t>
            </w:r>
          </w:p>
        </w:tc>
        <w:tc>
          <w:tcPr>
            <w:tcW w:w="2268" w:type="dxa"/>
            <w:vAlign w:val="center"/>
          </w:tcPr>
          <w:p>
            <w:pPr>
              <w:pStyle w:val="14"/>
            </w:pPr>
            <w:r>
              <w:t>暂未涉及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暂未涉及</w:t>
            </w:r>
          </w:p>
        </w:tc>
        <w:tc>
          <w:tcPr>
            <w:tcW w:w="2835" w:type="dxa"/>
            <w:vAlign w:val="center"/>
          </w:tcPr>
          <w:p>
            <w:pPr>
              <w:pStyle w:val="14"/>
            </w:pPr>
            <w:r>
              <w:t>暂未涉及</w:t>
            </w:r>
          </w:p>
        </w:tc>
        <w:tc>
          <w:tcPr>
            <w:tcW w:w="2551" w:type="dxa"/>
            <w:vAlign w:val="center"/>
          </w:tcPr>
          <w:p>
            <w:pPr>
              <w:pStyle w:val="14"/>
            </w:pPr>
            <w:r>
              <w:t>暂未涉及</w:t>
            </w:r>
          </w:p>
        </w:tc>
        <w:tc>
          <w:tcPr>
            <w:tcW w:w="2268" w:type="dxa"/>
            <w:vAlign w:val="center"/>
          </w:tcPr>
          <w:p>
            <w:pPr>
              <w:pStyle w:val="14"/>
            </w:pPr>
            <w:r>
              <w:t>暂未涉及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参保群众享受医保待遇满意率（%）</w:t>
            </w:r>
          </w:p>
        </w:tc>
        <w:tc>
          <w:tcPr>
            <w:tcW w:w="2835" w:type="dxa"/>
            <w:vAlign w:val="center"/>
          </w:tcPr>
          <w:p>
            <w:pPr>
              <w:pStyle w:val="14"/>
            </w:pPr>
            <w:r>
              <w:t>项目实施后参保群众享受医保待遇满意率</w:t>
            </w:r>
          </w:p>
        </w:tc>
        <w:tc>
          <w:tcPr>
            <w:tcW w:w="2551" w:type="dxa"/>
            <w:vAlign w:val="center"/>
          </w:tcPr>
          <w:p>
            <w:pPr>
              <w:pStyle w:val="14"/>
            </w:pPr>
            <w:r>
              <w:t>≥85%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2、2022年自收自支人员参加城镇职工医保绩效目标表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1.提升城镇职工参保率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资助参保人数</w:t>
            </w:r>
          </w:p>
        </w:tc>
        <w:tc>
          <w:tcPr>
            <w:tcW w:w="2835" w:type="dxa"/>
            <w:vAlign w:val="center"/>
          </w:tcPr>
          <w:p>
            <w:pPr>
              <w:pStyle w:val="14"/>
            </w:pPr>
            <w:r>
              <w:t>本项目资助的自收自支人员参加城镇职工医保人数</w:t>
            </w:r>
          </w:p>
        </w:tc>
        <w:tc>
          <w:tcPr>
            <w:tcW w:w="2551" w:type="dxa"/>
            <w:vAlign w:val="center"/>
          </w:tcPr>
          <w:p>
            <w:pPr>
              <w:pStyle w:val="14"/>
            </w:pPr>
            <w:r>
              <w:t>≥4000人</w:t>
            </w:r>
          </w:p>
        </w:tc>
        <w:tc>
          <w:tcPr>
            <w:tcW w:w="2268" w:type="dxa"/>
            <w:vAlign w:val="center"/>
          </w:tcPr>
          <w:p>
            <w:pPr>
              <w:pStyle w:val="14"/>
            </w:pPr>
            <w:r>
              <w:t>根据自收自支人员参保实施办法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综合参保率</w:t>
            </w:r>
          </w:p>
        </w:tc>
        <w:tc>
          <w:tcPr>
            <w:tcW w:w="2835" w:type="dxa"/>
            <w:vAlign w:val="center"/>
          </w:tcPr>
          <w:p>
            <w:pPr>
              <w:pStyle w:val="14"/>
            </w:pPr>
            <w:r>
              <w:t>县域内自收自支人员参加职工医保比例（%）</w:t>
            </w:r>
          </w:p>
        </w:tc>
        <w:tc>
          <w:tcPr>
            <w:tcW w:w="2551" w:type="dxa"/>
            <w:vAlign w:val="center"/>
          </w:tcPr>
          <w:p>
            <w:pPr>
              <w:pStyle w:val="14"/>
            </w:pPr>
            <w:r>
              <w:t>≥90%</w:t>
            </w:r>
          </w:p>
        </w:tc>
        <w:tc>
          <w:tcPr>
            <w:tcW w:w="2268" w:type="dxa"/>
            <w:vAlign w:val="center"/>
          </w:tcPr>
          <w:p>
            <w:pPr>
              <w:pStyle w:val="14"/>
            </w:pPr>
            <w:r>
              <w:t>根据职工医保参保数据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资金拨付时限</w:t>
            </w:r>
          </w:p>
        </w:tc>
        <w:tc>
          <w:tcPr>
            <w:tcW w:w="2835" w:type="dxa"/>
            <w:vAlign w:val="center"/>
          </w:tcPr>
          <w:p>
            <w:pPr>
              <w:pStyle w:val="14"/>
            </w:pPr>
            <w:r>
              <w:t>资金到位后按比例对参保人员单位部分资金予以拨付</w:t>
            </w:r>
          </w:p>
        </w:tc>
        <w:tc>
          <w:tcPr>
            <w:tcW w:w="2551" w:type="dxa"/>
            <w:vAlign w:val="center"/>
          </w:tcPr>
          <w:p>
            <w:pPr>
              <w:pStyle w:val="14"/>
            </w:pPr>
            <w:r>
              <w:t>按季度到账</w:t>
            </w:r>
          </w:p>
        </w:tc>
        <w:tc>
          <w:tcPr>
            <w:tcW w:w="2268" w:type="dxa"/>
            <w:vAlign w:val="center"/>
          </w:tcPr>
          <w:p>
            <w:pPr>
              <w:pStyle w:val="14"/>
            </w:pPr>
            <w:r>
              <w:t>根据银行回单和税务到账数据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资助参保资金</w:t>
            </w:r>
          </w:p>
        </w:tc>
        <w:tc>
          <w:tcPr>
            <w:tcW w:w="2835" w:type="dxa"/>
            <w:vAlign w:val="center"/>
          </w:tcPr>
          <w:p>
            <w:pPr>
              <w:pStyle w:val="14"/>
            </w:pPr>
            <w:r>
              <w:t>本项目平均补助城镇职工医保单位部分资金（人/元）</w:t>
            </w:r>
          </w:p>
        </w:tc>
        <w:tc>
          <w:tcPr>
            <w:tcW w:w="2551" w:type="dxa"/>
            <w:vAlign w:val="center"/>
          </w:tcPr>
          <w:p>
            <w:pPr>
              <w:pStyle w:val="14"/>
            </w:pPr>
            <w:r>
              <w:t>≥4000元</w:t>
            </w:r>
          </w:p>
        </w:tc>
        <w:tc>
          <w:tcPr>
            <w:tcW w:w="2268" w:type="dxa"/>
            <w:vAlign w:val="center"/>
          </w:tcPr>
          <w:p>
            <w:pPr>
              <w:pStyle w:val="14"/>
            </w:pPr>
            <w:r>
              <w:t>根据职工医保征缴比例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暂未涉及</w:t>
            </w:r>
          </w:p>
        </w:tc>
        <w:tc>
          <w:tcPr>
            <w:tcW w:w="2835" w:type="dxa"/>
            <w:vAlign w:val="center"/>
          </w:tcPr>
          <w:p>
            <w:pPr>
              <w:pStyle w:val="14"/>
            </w:pPr>
            <w:r>
              <w:t>暂未涉及</w:t>
            </w:r>
          </w:p>
        </w:tc>
        <w:tc>
          <w:tcPr>
            <w:tcW w:w="2551" w:type="dxa"/>
            <w:vAlign w:val="center"/>
          </w:tcPr>
          <w:p>
            <w:pPr>
              <w:pStyle w:val="14"/>
            </w:pPr>
            <w:r>
              <w:t>暂未涉及</w:t>
            </w:r>
          </w:p>
        </w:tc>
        <w:tc>
          <w:tcPr>
            <w:tcW w:w="2268" w:type="dxa"/>
            <w:vAlign w:val="center"/>
          </w:tcPr>
          <w:p>
            <w:pPr>
              <w:pStyle w:val="14"/>
            </w:pPr>
            <w:r>
              <w:t>暂未涉及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政策知晓率</w:t>
            </w:r>
          </w:p>
        </w:tc>
        <w:tc>
          <w:tcPr>
            <w:tcW w:w="2835" w:type="dxa"/>
            <w:vAlign w:val="center"/>
          </w:tcPr>
          <w:p>
            <w:pPr>
              <w:pStyle w:val="14"/>
            </w:pPr>
            <w:r>
              <w:t>本项目参保人员对职工医保的政策知晓率(%)</w:t>
            </w:r>
          </w:p>
        </w:tc>
        <w:tc>
          <w:tcPr>
            <w:tcW w:w="2551" w:type="dxa"/>
            <w:vAlign w:val="center"/>
          </w:tcPr>
          <w:p>
            <w:pPr>
              <w:pStyle w:val="14"/>
            </w:pPr>
            <w:r>
              <w:t>≥90%</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暂未涉及</w:t>
            </w:r>
          </w:p>
        </w:tc>
        <w:tc>
          <w:tcPr>
            <w:tcW w:w="2835" w:type="dxa"/>
            <w:vAlign w:val="center"/>
          </w:tcPr>
          <w:p>
            <w:pPr>
              <w:pStyle w:val="14"/>
            </w:pPr>
            <w:r>
              <w:t>暂未涉及</w:t>
            </w:r>
          </w:p>
        </w:tc>
        <w:tc>
          <w:tcPr>
            <w:tcW w:w="2551" w:type="dxa"/>
            <w:vAlign w:val="center"/>
          </w:tcPr>
          <w:p>
            <w:pPr>
              <w:pStyle w:val="14"/>
            </w:pPr>
            <w:r>
              <w:t>暂未涉及</w:t>
            </w:r>
          </w:p>
        </w:tc>
        <w:tc>
          <w:tcPr>
            <w:tcW w:w="2268" w:type="dxa"/>
            <w:vAlign w:val="center"/>
          </w:tcPr>
          <w:p>
            <w:pPr>
              <w:pStyle w:val="14"/>
            </w:pPr>
            <w:r>
              <w:t>暂未涉及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对健全医疗保障制度体系的作用</w:t>
            </w:r>
          </w:p>
        </w:tc>
        <w:tc>
          <w:tcPr>
            <w:tcW w:w="2835" w:type="dxa"/>
            <w:vAlign w:val="center"/>
          </w:tcPr>
          <w:p>
            <w:pPr>
              <w:pStyle w:val="14"/>
            </w:pPr>
            <w:r>
              <w:t>项目实施以后对县域内健全医疗保障制度体系有无提升作用</w:t>
            </w:r>
          </w:p>
        </w:tc>
        <w:tc>
          <w:tcPr>
            <w:tcW w:w="2551" w:type="dxa"/>
            <w:vAlign w:val="center"/>
          </w:tcPr>
          <w:p>
            <w:pPr>
              <w:pStyle w:val="14"/>
            </w:pPr>
            <w:r>
              <w:t>成效明显</w:t>
            </w:r>
          </w:p>
        </w:tc>
        <w:tc>
          <w:tcPr>
            <w:tcW w:w="2268" w:type="dxa"/>
            <w:vAlign w:val="center"/>
          </w:tcPr>
          <w:p>
            <w:pPr>
              <w:pStyle w:val="14"/>
            </w:pPr>
            <w:r>
              <w:t>根据职工医保统计数据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工作满意度</w:t>
            </w:r>
          </w:p>
        </w:tc>
        <w:tc>
          <w:tcPr>
            <w:tcW w:w="2835" w:type="dxa"/>
            <w:vAlign w:val="center"/>
          </w:tcPr>
          <w:p>
            <w:pPr>
              <w:pStyle w:val="14"/>
            </w:pPr>
            <w:r>
              <w:t>参保群众对享受医保待遇的满意率（%）</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3、冀财社【2021】159号 提前下达2022年中央财政医疗救助补助资金绩效目标表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资助参保人次数</w:t>
            </w:r>
          </w:p>
        </w:tc>
        <w:tc>
          <w:tcPr>
            <w:tcW w:w="2835" w:type="dxa"/>
            <w:vAlign w:val="center"/>
          </w:tcPr>
          <w:p>
            <w:pPr>
              <w:pStyle w:val="14"/>
            </w:pPr>
            <w:r>
              <w:t>本项目资助参保的困难群众人次数</w:t>
            </w:r>
          </w:p>
        </w:tc>
        <w:tc>
          <w:tcPr>
            <w:tcW w:w="2551" w:type="dxa"/>
            <w:vAlign w:val="center"/>
          </w:tcPr>
          <w:p>
            <w:pPr>
              <w:pStyle w:val="14"/>
            </w:pPr>
            <w:r>
              <w:t>≥8281人</w:t>
            </w:r>
          </w:p>
        </w:tc>
        <w:tc>
          <w:tcPr>
            <w:tcW w:w="2268" w:type="dxa"/>
            <w:vAlign w:val="center"/>
          </w:tcPr>
          <w:p>
            <w:pPr>
              <w:pStyle w:val="14"/>
            </w:pPr>
            <w:r>
              <w:t>根据医保系统提前困难人员名单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住院医疗费用救助比例</w:t>
            </w:r>
          </w:p>
        </w:tc>
        <w:tc>
          <w:tcPr>
            <w:tcW w:w="2835" w:type="dxa"/>
            <w:vAlign w:val="center"/>
          </w:tcPr>
          <w:p>
            <w:pPr>
              <w:pStyle w:val="14"/>
            </w:pPr>
            <w:r>
              <w:t>对于困难人员负担的城乡居民医疗待遇后享受的医疗救助补助比例</w:t>
            </w:r>
          </w:p>
        </w:tc>
        <w:tc>
          <w:tcPr>
            <w:tcW w:w="2551" w:type="dxa"/>
            <w:vAlign w:val="center"/>
          </w:tcPr>
          <w:p>
            <w:pPr>
              <w:pStyle w:val="14"/>
            </w:pPr>
            <w:r>
              <w:t>≥80%</w:t>
            </w:r>
          </w:p>
        </w:tc>
        <w:tc>
          <w:tcPr>
            <w:tcW w:w="2268" w:type="dxa"/>
            <w:vAlign w:val="center"/>
          </w:tcPr>
          <w:p>
            <w:pPr>
              <w:pStyle w:val="14"/>
            </w:pPr>
            <w:r>
              <w:t>根据医保系统提取的救助比例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“一站式”即时结算覆盖率</w:t>
            </w:r>
          </w:p>
        </w:tc>
        <w:tc>
          <w:tcPr>
            <w:tcW w:w="2835" w:type="dxa"/>
            <w:vAlign w:val="center"/>
          </w:tcPr>
          <w:p>
            <w:pPr>
              <w:pStyle w:val="14"/>
            </w:pPr>
            <w:r>
              <w:t>县区内“一站式”即时结算的医疗机构覆盖率</w:t>
            </w:r>
          </w:p>
        </w:tc>
        <w:tc>
          <w:tcPr>
            <w:tcW w:w="2551" w:type="dxa"/>
            <w:vAlign w:val="center"/>
          </w:tcPr>
          <w:p>
            <w:pPr>
              <w:pStyle w:val="14"/>
            </w:pPr>
            <w:r>
              <w:t>不低于上年</w:t>
            </w:r>
          </w:p>
        </w:tc>
        <w:tc>
          <w:tcPr>
            <w:tcW w:w="2268" w:type="dxa"/>
            <w:vAlign w:val="center"/>
          </w:tcPr>
          <w:p>
            <w:pPr>
              <w:pStyle w:val="14"/>
            </w:pPr>
            <w:r>
              <w:t>根据去年提取的即时结算定点医疗机构数据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资助参保金额</w:t>
            </w:r>
          </w:p>
        </w:tc>
        <w:tc>
          <w:tcPr>
            <w:tcW w:w="2835" w:type="dxa"/>
            <w:vAlign w:val="center"/>
          </w:tcPr>
          <w:p>
            <w:pPr>
              <w:pStyle w:val="14"/>
            </w:pPr>
            <w:r>
              <w:t>本项目中用于资助困难群众参保的平均资助参保金额</w:t>
            </w:r>
          </w:p>
        </w:tc>
        <w:tc>
          <w:tcPr>
            <w:tcW w:w="2551" w:type="dxa"/>
            <w:vAlign w:val="center"/>
          </w:tcPr>
          <w:p>
            <w:pPr>
              <w:pStyle w:val="14"/>
            </w:pPr>
            <w:r>
              <w:t>≥320元</w:t>
            </w:r>
          </w:p>
        </w:tc>
        <w:tc>
          <w:tcPr>
            <w:tcW w:w="2268" w:type="dxa"/>
            <w:vAlign w:val="center"/>
          </w:tcPr>
          <w:p>
            <w:pPr>
              <w:pStyle w:val="14"/>
            </w:pPr>
            <w:r>
              <w:t xml:space="preserve">根据最新的参保收费政策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困难群众看病就医方便程度</w:t>
            </w:r>
          </w:p>
        </w:tc>
        <w:tc>
          <w:tcPr>
            <w:tcW w:w="2835" w:type="dxa"/>
            <w:vAlign w:val="center"/>
          </w:tcPr>
          <w:p>
            <w:pPr>
              <w:pStyle w:val="14"/>
            </w:pPr>
            <w:r>
              <w:t>县域内困难群众看病就医过程中办理手续方便程度</w:t>
            </w:r>
          </w:p>
        </w:tc>
        <w:tc>
          <w:tcPr>
            <w:tcW w:w="2551" w:type="dxa"/>
            <w:vAlign w:val="center"/>
          </w:tcPr>
          <w:p>
            <w:pPr>
              <w:pStyle w:val="14"/>
            </w:pPr>
            <w:r>
              <w:t>明显提高</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对健全医疗保障制度体系的作用</w:t>
            </w:r>
          </w:p>
        </w:tc>
        <w:tc>
          <w:tcPr>
            <w:tcW w:w="2835" w:type="dxa"/>
            <w:vAlign w:val="center"/>
          </w:tcPr>
          <w:p>
            <w:pPr>
              <w:pStyle w:val="14"/>
            </w:pPr>
            <w:r>
              <w:t>项目实施后对健全医疗保障制度体系的作用</w:t>
            </w:r>
          </w:p>
        </w:tc>
        <w:tc>
          <w:tcPr>
            <w:tcW w:w="2551" w:type="dxa"/>
            <w:vAlign w:val="center"/>
          </w:tcPr>
          <w:p>
            <w:pPr>
              <w:pStyle w:val="14"/>
            </w:pPr>
            <w:r>
              <w:t>成效明显</w:t>
            </w:r>
          </w:p>
        </w:tc>
        <w:tc>
          <w:tcPr>
            <w:tcW w:w="2268" w:type="dxa"/>
            <w:vAlign w:val="center"/>
          </w:tcPr>
          <w:p>
            <w:pPr>
              <w:pStyle w:val="14"/>
            </w:pPr>
            <w:r>
              <w:t>由各定点医疗机构反馈数据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暂未涉及</w:t>
            </w:r>
          </w:p>
        </w:tc>
        <w:tc>
          <w:tcPr>
            <w:tcW w:w="2835" w:type="dxa"/>
            <w:vAlign w:val="center"/>
          </w:tcPr>
          <w:p>
            <w:pPr>
              <w:pStyle w:val="14"/>
            </w:pPr>
            <w:r>
              <w:t>暂未涉及</w:t>
            </w:r>
          </w:p>
        </w:tc>
        <w:tc>
          <w:tcPr>
            <w:tcW w:w="2551" w:type="dxa"/>
            <w:vAlign w:val="center"/>
          </w:tcPr>
          <w:p>
            <w:pPr>
              <w:pStyle w:val="14"/>
            </w:pPr>
            <w:r>
              <w:t>暂未涉及</w:t>
            </w:r>
          </w:p>
        </w:tc>
        <w:tc>
          <w:tcPr>
            <w:tcW w:w="2268" w:type="dxa"/>
            <w:vAlign w:val="center"/>
          </w:tcPr>
          <w:p>
            <w:pPr>
              <w:pStyle w:val="14"/>
            </w:pPr>
            <w:r>
              <w:t>暂未涉及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暂未涉及</w:t>
            </w:r>
          </w:p>
        </w:tc>
        <w:tc>
          <w:tcPr>
            <w:tcW w:w="2835" w:type="dxa"/>
            <w:vAlign w:val="center"/>
          </w:tcPr>
          <w:p>
            <w:pPr>
              <w:pStyle w:val="14"/>
            </w:pPr>
            <w:r>
              <w:t>暂未涉及</w:t>
            </w:r>
          </w:p>
        </w:tc>
        <w:tc>
          <w:tcPr>
            <w:tcW w:w="2551" w:type="dxa"/>
            <w:vAlign w:val="center"/>
          </w:tcPr>
          <w:p>
            <w:pPr>
              <w:pStyle w:val="14"/>
            </w:pPr>
            <w:r>
              <w:t>暂未涉及</w:t>
            </w:r>
          </w:p>
        </w:tc>
        <w:tc>
          <w:tcPr>
            <w:tcW w:w="2268" w:type="dxa"/>
            <w:vAlign w:val="center"/>
          </w:tcPr>
          <w:p>
            <w:pPr>
              <w:pStyle w:val="14"/>
            </w:pPr>
            <w:r>
              <w:t>暂未涉及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工作满意度</w:t>
            </w:r>
          </w:p>
        </w:tc>
        <w:tc>
          <w:tcPr>
            <w:tcW w:w="2835" w:type="dxa"/>
            <w:vAlign w:val="center"/>
          </w:tcPr>
          <w:p>
            <w:pPr>
              <w:pStyle w:val="14"/>
            </w:pPr>
            <w:r>
              <w:t>困难群众对工作服务情况的满意度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4、冀财社【2021】164号 提前下达2022年中央财政医疗服务与保障能力提升补助资金绩效目标表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1.国家统一医保信息平台正常运行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召开医保工作新闻发布会、政策吹风会次数</w:t>
            </w:r>
          </w:p>
        </w:tc>
        <w:tc>
          <w:tcPr>
            <w:tcW w:w="2835" w:type="dxa"/>
            <w:vAlign w:val="center"/>
          </w:tcPr>
          <w:p>
            <w:pPr>
              <w:pStyle w:val="14"/>
            </w:pPr>
            <w:r>
              <w:t>年度召开关于医保工作的新闻发布会、政策吹风会次数</w:t>
            </w:r>
          </w:p>
        </w:tc>
        <w:tc>
          <w:tcPr>
            <w:tcW w:w="2551" w:type="dxa"/>
            <w:vAlign w:val="center"/>
          </w:tcPr>
          <w:p>
            <w:pPr>
              <w:pStyle w:val="14"/>
            </w:pPr>
            <w:r>
              <w:t>≥2次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定点医药机构监督检查覆盖率</w:t>
            </w:r>
          </w:p>
        </w:tc>
        <w:tc>
          <w:tcPr>
            <w:tcW w:w="2835" w:type="dxa"/>
            <w:vAlign w:val="center"/>
          </w:tcPr>
          <w:p>
            <w:pPr>
              <w:pStyle w:val="14"/>
            </w:pPr>
            <w:r>
              <w:t>定点医药机构监督检查覆盖率</w:t>
            </w:r>
          </w:p>
        </w:tc>
        <w:tc>
          <w:tcPr>
            <w:tcW w:w="2551" w:type="dxa"/>
            <w:vAlign w:val="center"/>
          </w:tcPr>
          <w:p>
            <w:pPr>
              <w:pStyle w:val="14"/>
            </w:pPr>
            <w:r>
              <w:t>100%</w:t>
            </w:r>
          </w:p>
        </w:tc>
        <w:tc>
          <w:tcPr>
            <w:tcW w:w="2268" w:type="dxa"/>
            <w:vAlign w:val="center"/>
          </w:tcPr>
          <w:p>
            <w:pPr>
              <w:pStyle w:val="14"/>
            </w:pPr>
            <w:r>
              <w:t>监察工作报告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电子医疗凭证运行时间</w:t>
            </w:r>
          </w:p>
        </w:tc>
        <w:tc>
          <w:tcPr>
            <w:tcW w:w="2835" w:type="dxa"/>
            <w:vAlign w:val="center"/>
          </w:tcPr>
          <w:p>
            <w:pPr>
              <w:pStyle w:val="14"/>
            </w:pPr>
            <w:r>
              <w:t>电子医疗凭证运行时间</w:t>
            </w:r>
          </w:p>
        </w:tc>
        <w:tc>
          <w:tcPr>
            <w:tcW w:w="2551" w:type="dxa"/>
            <w:vAlign w:val="center"/>
          </w:tcPr>
          <w:p>
            <w:pPr>
              <w:pStyle w:val="14"/>
            </w:pPr>
            <w:r>
              <w:t>不晚于12月低</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暂未涉及</w:t>
            </w:r>
          </w:p>
        </w:tc>
        <w:tc>
          <w:tcPr>
            <w:tcW w:w="2835" w:type="dxa"/>
            <w:vAlign w:val="center"/>
          </w:tcPr>
          <w:p>
            <w:pPr>
              <w:pStyle w:val="14"/>
            </w:pPr>
            <w:r>
              <w:t>暂未涉及</w:t>
            </w:r>
          </w:p>
        </w:tc>
        <w:tc>
          <w:tcPr>
            <w:tcW w:w="2551" w:type="dxa"/>
            <w:vAlign w:val="center"/>
          </w:tcPr>
          <w:p>
            <w:pPr>
              <w:pStyle w:val="14"/>
            </w:pPr>
            <w:r>
              <w:t>暂未涉及</w:t>
            </w:r>
          </w:p>
        </w:tc>
        <w:tc>
          <w:tcPr>
            <w:tcW w:w="2268" w:type="dxa"/>
            <w:vAlign w:val="center"/>
          </w:tcPr>
          <w:p>
            <w:pPr>
              <w:pStyle w:val="14"/>
            </w:pPr>
            <w:r>
              <w:t>暂未涉及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医保政策知晓率</w:t>
            </w:r>
          </w:p>
        </w:tc>
        <w:tc>
          <w:tcPr>
            <w:tcW w:w="2835" w:type="dxa"/>
            <w:vAlign w:val="center"/>
          </w:tcPr>
          <w:p>
            <w:pPr>
              <w:pStyle w:val="14"/>
            </w:pPr>
            <w:r>
              <w:t>县域内参保人员对基本医保政策知晓率</w:t>
            </w:r>
          </w:p>
        </w:tc>
        <w:tc>
          <w:tcPr>
            <w:tcW w:w="2551" w:type="dxa"/>
            <w:vAlign w:val="center"/>
          </w:tcPr>
          <w:p>
            <w:pPr>
              <w:pStyle w:val="14"/>
            </w:pPr>
            <w:r>
              <w:t>≥80%</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跨省异地就医直接结算率</w:t>
            </w:r>
          </w:p>
        </w:tc>
        <w:tc>
          <w:tcPr>
            <w:tcW w:w="2835" w:type="dxa"/>
            <w:vAlign w:val="center"/>
          </w:tcPr>
          <w:p>
            <w:pPr>
              <w:pStyle w:val="14"/>
            </w:pPr>
            <w:r>
              <w:t>县域内参保人员在异地就医过程中直接结算率</w:t>
            </w:r>
          </w:p>
        </w:tc>
        <w:tc>
          <w:tcPr>
            <w:tcW w:w="2551" w:type="dxa"/>
            <w:vAlign w:val="center"/>
          </w:tcPr>
          <w:p>
            <w:pPr>
              <w:pStyle w:val="14"/>
            </w:pPr>
            <w:r>
              <w:t>≥80%</w:t>
            </w:r>
          </w:p>
        </w:tc>
        <w:tc>
          <w:tcPr>
            <w:tcW w:w="2268" w:type="dxa"/>
            <w:vAlign w:val="center"/>
          </w:tcPr>
          <w:p>
            <w:pPr>
              <w:pStyle w:val="14"/>
            </w:pPr>
            <w:r>
              <w:t>系统提取数据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暂未涉及</w:t>
            </w:r>
          </w:p>
        </w:tc>
        <w:tc>
          <w:tcPr>
            <w:tcW w:w="2835" w:type="dxa"/>
            <w:vAlign w:val="center"/>
          </w:tcPr>
          <w:p>
            <w:pPr>
              <w:pStyle w:val="14"/>
            </w:pPr>
            <w:r>
              <w:t>暂未涉及</w:t>
            </w:r>
          </w:p>
        </w:tc>
        <w:tc>
          <w:tcPr>
            <w:tcW w:w="2551" w:type="dxa"/>
            <w:vAlign w:val="center"/>
          </w:tcPr>
          <w:p>
            <w:pPr>
              <w:pStyle w:val="14"/>
            </w:pPr>
            <w:r>
              <w:t>暂未涉及</w:t>
            </w:r>
          </w:p>
        </w:tc>
        <w:tc>
          <w:tcPr>
            <w:tcW w:w="2268" w:type="dxa"/>
            <w:vAlign w:val="center"/>
          </w:tcPr>
          <w:p>
            <w:pPr>
              <w:pStyle w:val="14"/>
            </w:pPr>
            <w:r>
              <w:t>暂未涉及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暂未涉及</w:t>
            </w:r>
          </w:p>
        </w:tc>
        <w:tc>
          <w:tcPr>
            <w:tcW w:w="2835" w:type="dxa"/>
            <w:vAlign w:val="center"/>
          </w:tcPr>
          <w:p>
            <w:pPr>
              <w:pStyle w:val="14"/>
            </w:pPr>
            <w:r>
              <w:t>暂未涉及</w:t>
            </w:r>
          </w:p>
        </w:tc>
        <w:tc>
          <w:tcPr>
            <w:tcW w:w="2551" w:type="dxa"/>
            <w:vAlign w:val="center"/>
          </w:tcPr>
          <w:p>
            <w:pPr>
              <w:pStyle w:val="14"/>
            </w:pPr>
            <w:r>
              <w:t>暂未涉及</w:t>
            </w:r>
          </w:p>
        </w:tc>
        <w:tc>
          <w:tcPr>
            <w:tcW w:w="2268" w:type="dxa"/>
            <w:vAlign w:val="center"/>
          </w:tcPr>
          <w:p>
            <w:pPr>
              <w:pStyle w:val="14"/>
            </w:pPr>
            <w:r>
              <w:t>暂未涉及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参保人员对医保服务的满意度</w:t>
            </w:r>
          </w:p>
        </w:tc>
        <w:tc>
          <w:tcPr>
            <w:tcW w:w="2551" w:type="dxa"/>
            <w:vAlign w:val="center"/>
          </w:tcPr>
          <w:p>
            <w:pPr>
              <w:pStyle w:val="14"/>
            </w:pPr>
            <w:r>
              <w:t>≥85%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5、冀财社【2021】179号 提前下达2022年省级财政医疗救助补助资金绩效目标表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1.保障困难群众享受救助待遇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住院救助人次数</w:t>
            </w:r>
          </w:p>
        </w:tc>
        <w:tc>
          <w:tcPr>
            <w:tcW w:w="2835" w:type="dxa"/>
            <w:vAlign w:val="center"/>
          </w:tcPr>
          <w:p>
            <w:pPr>
              <w:pStyle w:val="14"/>
            </w:pPr>
            <w:r>
              <w:t>本单位资助住院的困难群众人次数</w:t>
            </w:r>
          </w:p>
        </w:tc>
        <w:tc>
          <w:tcPr>
            <w:tcW w:w="2551" w:type="dxa"/>
            <w:vAlign w:val="center"/>
          </w:tcPr>
          <w:p>
            <w:pPr>
              <w:pStyle w:val="14"/>
            </w:pPr>
            <w:r>
              <w:t>≥1000人</w:t>
            </w:r>
          </w:p>
        </w:tc>
        <w:tc>
          <w:tcPr>
            <w:tcW w:w="2268" w:type="dxa"/>
            <w:vAlign w:val="center"/>
          </w:tcPr>
          <w:p>
            <w:pPr>
              <w:pStyle w:val="14"/>
            </w:pPr>
            <w:r>
              <w:t>医保医疗救助的反馈数据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住院医疗费用救助比例</w:t>
            </w:r>
          </w:p>
        </w:tc>
        <w:tc>
          <w:tcPr>
            <w:tcW w:w="2835" w:type="dxa"/>
            <w:vAlign w:val="center"/>
          </w:tcPr>
          <w:p>
            <w:pPr>
              <w:pStyle w:val="14"/>
            </w:pPr>
            <w:r>
              <w:t>对于困难人员负担的城乡居民医保待遇后医疗救助比例</w:t>
            </w:r>
          </w:p>
        </w:tc>
        <w:tc>
          <w:tcPr>
            <w:tcW w:w="2551" w:type="dxa"/>
            <w:vAlign w:val="center"/>
          </w:tcPr>
          <w:p>
            <w:pPr>
              <w:pStyle w:val="14"/>
            </w:pPr>
            <w:r>
              <w:t>≥80%</w:t>
            </w:r>
          </w:p>
        </w:tc>
        <w:tc>
          <w:tcPr>
            <w:tcW w:w="2268" w:type="dxa"/>
            <w:vAlign w:val="center"/>
          </w:tcPr>
          <w:p>
            <w:pPr>
              <w:pStyle w:val="14"/>
            </w:pPr>
            <w:r>
              <w:t>医保提供的医疗救助比例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“一站式”即时结算覆盖地区</w:t>
            </w:r>
          </w:p>
        </w:tc>
        <w:tc>
          <w:tcPr>
            <w:tcW w:w="2835" w:type="dxa"/>
            <w:vAlign w:val="center"/>
          </w:tcPr>
          <w:p>
            <w:pPr>
              <w:pStyle w:val="14"/>
            </w:pPr>
            <w:r>
              <w:t>县域内“一站式”即时结算的医疗机构覆盖率</w:t>
            </w:r>
          </w:p>
        </w:tc>
        <w:tc>
          <w:tcPr>
            <w:tcW w:w="2551" w:type="dxa"/>
            <w:vAlign w:val="center"/>
          </w:tcPr>
          <w:p>
            <w:pPr>
              <w:pStyle w:val="14"/>
            </w:pPr>
            <w:r>
              <w:t>不低于上年</w:t>
            </w:r>
          </w:p>
        </w:tc>
        <w:tc>
          <w:tcPr>
            <w:tcW w:w="2268" w:type="dxa"/>
            <w:vAlign w:val="center"/>
          </w:tcPr>
          <w:p>
            <w:pPr>
              <w:pStyle w:val="14"/>
            </w:pPr>
            <w:r>
              <w:t>根据去年提供的医疗机构名单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平均资助参保金额</w:t>
            </w:r>
          </w:p>
        </w:tc>
        <w:tc>
          <w:tcPr>
            <w:tcW w:w="2835" w:type="dxa"/>
            <w:vAlign w:val="center"/>
          </w:tcPr>
          <w:p>
            <w:pPr>
              <w:pStyle w:val="14"/>
            </w:pPr>
            <w:r>
              <w:t>项目用于资助困难人员参保时，平均人员的参保金额</w:t>
            </w:r>
          </w:p>
        </w:tc>
        <w:tc>
          <w:tcPr>
            <w:tcW w:w="2551" w:type="dxa"/>
            <w:vAlign w:val="center"/>
          </w:tcPr>
          <w:p>
            <w:pPr>
              <w:pStyle w:val="14"/>
            </w:pPr>
            <w:r>
              <w:t>≥320元</w:t>
            </w:r>
          </w:p>
        </w:tc>
        <w:tc>
          <w:tcPr>
            <w:tcW w:w="2268" w:type="dxa"/>
            <w:vAlign w:val="center"/>
          </w:tcPr>
          <w:p>
            <w:pPr>
              <w:pStyle w:val="14"/>
            </w:pPr>
            <w:r>
              <w:t>历年上级政策文件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困难群众看病就医方便程度</w:t>
            </w:r>
          </w:p>
        </w:tc>
        <w:tc>
          <w:tcPr>
            <w:tcW w:w="2835" w:type="dxa"/>
            <w:vAlign w:val="center"/>
          </w:tcPr>
          <w:p>
            <w:pPr>
              <w:pStyle w:val="14"/>
            </w:pPr>
            <w:r>
              <w:t>县域内困难群众看病就医报销过程中办理手续方便程度</w:t>
            </w:r>
          </w:p>
        </w:tc>
        <w:tc>
          <w:tcPr>
            <w:tcW w:w="2551" w:type="dxa"/>
            <w:vAlign w:val="center"/>
          </w:tcPr>
          <w:p>
            <w:pPr>
              <w:pStyle w:val="14"/>
            </w:pPr>
            <w:r>
              <w:t>明显提高</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对健全医疗保障制度体系的作用</w:t>
            </w:r>
          </w:p>
        </w:tc>
        <w:tc>
          <w:tcPr>
            <w:tcW w:w="2835" w:type="dxa"/>
            <w:vAlign w:val="center"/>
          </w:tcPr>
          <w:p>
            <w:pPr>
              <w:pStyle w:val="14"/>
            </w:pPr>
            <w:r>
              <w:t>项目实施以后对健全医疗保障制度体系的作用</w:t>
            </w:r>
          </w:p>
        </w:tc>
        <w:tc>
          <w:tcPr>
            <w:tcW w:w="2551" w:type="dxa"/>
            <w:vAlign w:val="center"/>
          </w:tcPr>
          <w:p>
            <w:pPr>
              <w:pStyle w:val="14"/>
            </w:pPr>
            <w:r>
              <w:t>成效明显</w:t>
            </w:r>
          </w:p>
        </w:tc>
        <w:tc>
          <w:tcPr>
            <w:tcW w:w="2268" w:type="dxa"/>
            <w:vAlign w:val="center"/>
          </w:tcPr>
          <w:p>
            <w:pPr>
              <w:pStyle w:val="14"/>
            </w:pPr>
            <w:r>
              <w:t>由各定点医疗机构反馈数据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暂未涉及</w:t>
            </w:r>
          </w:p>
        </w:tc>
        <w:tc>
          <w:tcPr>
            <w:tcW w:w="2835" w:type="dxa"/>
            <w:vAlign w:val="center"/>
          </w:tcPr>
          <w:p>
            <w:pPr>
              <w:pStyle w:val="14"/>
            </w:pPr>
            <w:r>
              <w:t>暂未涉及</w:t>
            </w:r>
          </w:p>
        </w:tc>
        <w:tc>
          <w:tcPr>
            <w:tcW w:w="2551" w:type="dxa"/>
            <w:vAlign w:val="center"/>
          </w:tcPr>
          <w:p>
            <w:pPr>
              <w:pStyle w:val="14"/>
            </w:pPr>
            <w:r>
              <w:t>暂未涉及</w:t>
            </w:r>
          </w:p>
        </w:tc>
        <w:tc>
          <w:tcPr>
            <w:tcW w:w="2268" w:type="dxa"/>
            <w:vAlign w:val="center"/>
          </w:tcPr>
          <w:p>
            <w:pPr>
              <w:pStyle w:val="14"/>
            </w:pPr>
            <w:r>
              <w:t>暂未涉及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暂未涉及</w:t>
            </w:r>
          </w:p>
        </w:tc>
        <w:tc>
          <w:tcPr>
            <w:tcW w:w="2835" w:type="dxa"/>
            <w:vAlign w:val="center"/>
          </w:tcPr>
          <w:p>
            <w:pPr>
              <w:pStyle w:val="14"/>
            </w:pPr>
            <w:r>
              <w:t>暂未涉及</w:t>
            </w:r>
          </w:p>
        </w:tc>
        <w:tc>
          <w:tcPr>
            <w:tcW w:w="2551" w:type="dxa"/>
            <w:vAlign w:val="center"/>
          </w:tcPr>
          <w:p>
            <w:pPr>
              <w:pStyle w:val="14"/>
            </w:pPr>
            <w:r>
              <w:t>暂未涉及</w:t>
            </w:r>
          </w:p>
        </w:tc>
        <w:tc>
          <w:tcPr>
            <w:tcW w:w="2268" w:type="dxa"/>
            <w:vAlign w:val="center"/>
          </w:tcPr>
          <w:p>
            <w:pPr>
              <w:pStyle w:val="14"/>
            </w:pPr>
            <w:r>
              <w:t>暂未涉及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群众政策知晓率</w:t>
            </w:r>
          </w:p>
        </w:tc>
        <w:tc>
          <w:tcPr>
            <w:tcW w:w="2835" w:type="dxa"/>
            <w:vAlign w:val="center"/>
          </w:tcPr>
          <w:p>
            <w:pPr>
              <w:pStyle w:val="14"/>
            </w:pPr>
            <w:r>
              <w:t>项目实施后参保群众政策知晓率</w:t>
            </w:r>
          </w:p>
        </w:tc>
        <w:tc>
          <w:tcPr>
            <w:tcW w:w="2551" w:type="dxa"/>
            <w:vAlign w:val="center"/>
          </w:tcPr>
          <w:p>
            <w:pPr>
              <w:pStyle w:val="14"/>
            </w:pPr>
            <w:r>
              <w:t>≥85%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6、冀财社【2021】182号 提前下达2022年省级财政城乡居民医保村级代办员补助资金绩效目标表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1.提高医保政策知晓率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乡镇数量</w:t>
            </w:r>
          </w:p>
        </w:tc>
        <w:tc>
          <w:tcPr>
            <w:tcW w:w="2835" w:type="dxa"/>
            <w:vAlign w:val="center"/>
          </w:tcPr>
          <w:p>
            <w:pPr>
              <w:pStyle w:val="14"/>
            </w:pPr>
            <w:r>
              <w:t>本项目覆盖的县域内乡镇数量（个）</w:t>
            </w:r>
          </w:p>
        </w:tc>
        <w:tc>
          <w:tcPr>
            <w:tcW w:w="2551" w:type="dxa"/>
            <w:vAlign w:val="center"/>
          </w:tcPr>
          <w:p>
            <w:pPr>
              <w:pStyle w:val="14"/>
            </w:pPr>
            <w:r>
              <w:t>≥10个</w:t>
            </w:r>
          </w:p>
        </w:tc>
        <w:tc>
          <w:tcPr>
            <w:tcW w:w="2268" w:type="dxa"/>
            <w:vAlign w:val="center"/>
          </w:tcPr>
          <w:p>
            <w:pPr>
              <w:pStyle w:val="14"/>
            </w:pPr>
            <w:r>
              <w:t>各乡镇反馈数据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政策知晓率</w:t>
            </w:r>
          </w:p>
        </w:tc>
        <w:tc>
          <w:tcPr>
            <w:tcW w:w="2835" w:type="dxa"/>
            <w:vAlign w:val="center"/>
          </w:tcPr>
          <w:p>
            <w:pPr>
              <w:pStyle w:val="14"/>
            </w:pPr>
            <w:r>
              <w:t>参保人员对医保政策知晓率（%）</w:t>
            </w:r>
          </w:p>
        </w:tc>
        <w:tc>
          <w:tcPr>
            <w:tcW w:w="2551" w:type="dxa"/>
            <w:vAlign w:val="center"/>
          </w:tcPr>
          <w:p>
            <w:pPr>
              <w:pStyle w:val="14"/>
            </w:pPr>
            <w:r>
              <w:t>≥85%</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征缴时限（月）</w:t>
            </w:r>
          </w:p>
        </w:tc>
        <w:tc>
          <w:tcPr>
            <w:tcW w:w="2835" w:type="dxa"/>
            <w:vAlign w:val="center"/>
          </w:tcPr>
          <w:p>
            <w:pPr>
              <w:pStyle w:val="14"/>
            </w:pPr>
            <w:r>
              <w:t>城乡居民医疗保险征缴时限</w:t>
            </w:r>
          </w:p>
        </w:tc>
        <w:tc>
          <w:tcPr>
            <w:tcW w:w="2551" w:type="dxa"/>
            <w:vAlign w:val="center"/>
          </w:tcPr>
          <w:p>
            <w:pPr>
              <w:pStyle w:val="14"/>
            </w:pPr>
            <w:r>
              <w:t>≥2月</w:t>
            </w:r>
          </w:p>
        </w:tc>
        <w:tc>
          <w:tcPr>
            <w:tcW w:w="2268" w:type="dxa"/>
            <w:vAlign w:val="center"/>
          </w:tcPr>
          <w:p>
            <w:pPr>
              <w:pStyle w:val="14"/>
            </w:pPr>
            <w:r>
              <w:t>历年上级文件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平均每个乡镇补助金额</w:t>
            </w:r>
          </w:p>
        </w:tc>
        <w:tc>
          <w:tcPr>
            <w:tcW w:w="2835" w:type="dxa"/>
            <w:vAlign w:val="center"/>
          </w:tcPr>
          <w:p>
            <w:pPr>
              <w:pStyle w:val="14"/>
            </w:pPr>
            <w:r>
              <w:t>总金额/乡镇数量</w:t>
            </w:r>
          </w:p>
        </w:tc>
        <w:tc>
          <w:tcPr>
            <w:tcW w:w="2551" w:type="dxa"/>
            <w:vAlign w:val="center"/>
          </w:tcPr>
          <w:p>
            <w:pPr>
              <w:pStyle w:val="14"/>
            </w:pPr>
            <w:r>
              <w:t>≥4500元</w:t>
            </w:r>
          </w:p>
        </w:tc>
        <w:tc>
          <w:tcPr>
            <w:tcW w:w="2268" w:type="dxa"/>
            <w:vAlign w:val="center"/>
          </w:tcPr>
          <w:p>
            <w:pPr>
              <w:pStyle w:val="14"/>
            </w:pPr>
            <w:r>
              <w:t>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提高居民对政策知晓率</w:t>
            </w:r>
          </w:p>
        </w:tc>
        <w:tc>
          <w:tcPr>
            <w:tcW w:w="2835" w:type="dxa"/>
            <w:vAlign w:val="center"/>
          </w:tcPr>
          <w:p>
            <w:pPr>
              <w:pStyle w:val="14"/>
            </w:pPr>
            <w:r>
              <w:t>提高居民对政策的知晓率，确保更好服务群众</w:t>
            </w:r>
          </w:p>
        </w:tc>
        <w:tc>
          <w:tcPr>
            <w:tcW w:w="2551" w:type="dxa"/>
            <w:vAlign w:val="center"/>
          </w:tcPr>
          <w:p>
            <w:pPr>
              <w:pStyle w:val="14"/>
            </w:pPr>
            <w:r>
              <w:t>有效提高</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医保征缴工作的持续性</w:t>
            </w:r>
          </w:p>
        </w:tc>
        <w:tc>
          <w:tcPr>
            <w:tcW w:w="2835" w:type="dxa"/>
            <w:vAlign w:val="center"/>
          </w:tcPr>
          <w:p>
            <w:pPr>
              <w:pStyle w:val="14"/>
            </w:pPr>
            <w:r>
              <w:t>持续发动群众参保，保障参保群众应享受的待遇</w:t>
            </w:r>
          </w:p>
        </w:tc>
        <w:tc>
          <w:tcPr>
            <w:tcW w:w="2551" w:type="dxa"/>
            <w:vAlign w:val="center"/>
          </w:tcPr>
          <w:p>
            <w:pPr>
              <w:pStyle w:val="14"/>
            </w:pPr>
            <w:r>
              <w:t>是/否</w:t>
            </w:r>
          </w:p>
        </w:tc>
        <w:tc>
          <w:tcPr>
            <w:tcW w:w="2268" w:type="dxa"/>
            <w:vAlign w:val="center"/>
          </w:tcPr>
          <w:p>
            <w:pPr>
              <w:pStyle w:val="14"/>
            </w:pPr>
            <w:r>
              <w:t>医保行业政策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暂未涉及</w:t>
            </w:r>
          </w:p>
        </w:tc>
        <w:tc>
          <w:tcPr>
            <w:tcW w:w="2835" w:type="dxa"/>
            <w:vAlign w:val="center"/>
          </w:tcPr>
          <w:p>
            <w:pPr>
              <w:pStyle w:val="14"/>
            </w:pPr>
            <w:r>
              <w:t>暂未涉及</w:t>
            </w:r>
          </w:p>
        </w:tc>
        <w:tc>
          <w:tcPr>
            <w:tcW w:w="2551" w:type="dxa"/>
            <w:vAlign w:val="center"/>
          </w:tcPr>
          <w:p>
            <w:pPr>
              <w:pStyle w:val="14"/>
            </w:pPr>
            <w:r>
              <w:t>暂未涉及</w:t>
            </w:r>
          </w:p>
        </w:tc>
        <w:tc>
          <w:tcPr>
            <w:tcW w:w="2268" w:type="dxa"/>
            <w:vAlign w:val="center"/>
          </w:tcPr>
          <w:p>
            <w:pPr>
              <w:pStyle w:val="14"/>
            </w:pPr>
            <w:r>
              <w:t>暂未涉及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暂未涉及</w:t>
            </w:r>
          </w:p>
        </w:tc>
        <w:tc>
          <w:tcPr>
            <w:tcW w:w="2835" w:type="dxa"/>
            <w:vAlign w:val="center"/>
          </w:tcPr>
          <w:p>
            <w:pPr>
              <w:pStyle w:val="14"/>
            </w:pPr>
            <w:r>
              <w:t>暂未涉及</w:t>
            </w:r>
          </w:p>
        </w:tc>
        <w:tc>
          <w:tcPr>
            <w:tcW w:w="2551" w:type="dxa"/>
            <w:vAlign w:val="center"/>
          </w:tcPr>
          <w:p>
            <w:pPr>
              <w:pStyle w:val="14"/>
            </w:pPr>
            <w:r>
              <w:t>暂未涉及</w:t>
            </w:r>
          </w:p>
        </w:tc>
        <w:tc>
          <w:tcPr>
            <w:tcW w:w="2268" w:type="dxa"/>
            <w:vAlign w:val="center"/>
          </w:tcPr>
          <w:p>
            <w:pPr>
              <w:pStyle w:val="14"/>
            </w:pPr>
            <w:r>
              <w:t>暂未涉及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服务群众满意度达到（%）</w:t>
            </w:r>
          </w:p>
        </w:tc>
        <w:tc>
          <w:tcPr>
            <w:tcW w:w="2835" w:type="dxa"/>
            <w:vAlign w:val="center"/>
          </w:tcPr>
          <w:p>
            <w:pPr>
              <w:pStyle w:val="14"/>
            </w:pPr>
            <w:r>
              <w:t>参保服务人</w:t>
            </w:r>
            <w:r>
              <w:rPr>
                <w:rFonts w:hint="eastAsia"/>
                <w:lang w:eastAsia="zh-CN"/>
              </w:rPr>
              <w:t>民</w:t>
            </w:r>
            <w:r>
              <w:t>群众满意度</w:t>
            </w:r>
          </w:p>
        </w:tc>
        <w:tc>
          <w:tcPr>
            <w:tcW w:w="2551" w:type="dxa"/>
            <w:vAlign w:val="center"/>
          </w:tcPr>
          <w:p>
            <w:pPr>
              <w:pStyle w:val="14"/>
            </w:pPr>
            <w:r>
              <w:t>≥85%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2022年，成安县医疗保障局机关本级安排政府采购预算</w:t>
      </w:r>
      <w:r>
        <w:rPr>
          <w:rFonts w:hint="eastAsia" w:cs="Times New Roman" w:eastAsiaTheme="minorEastAsia"/>
          <w:color w:val="000000"/>
          <w:sz w:val="28"/>
          <w:lang w:eastAsia="zh-CN"/>
        </w:rPr>
        <w:t>5</w:t>
      </w:r>
      <w:r>
        <w:rPr>
          <w:rFonts w:eastAsia="方正仿宋_GBK" w:cs="Times New Roman"/>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320001成安县医疗保障局机关本级</w:t>
            </w:r>
          </w:p>
        </w:tc>
        <w:tc>
          <w:tcPr>
            <w:tcW w:w="867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jc w:val="center"/>
              <w:rPr>
                <w:lang w:eastAsia="zh-CN"/>
              </w:rPr>
            </w:pPr>
            <w:r>
              <w:rPr>
                <w:rFonts w:hint="eastAsia"/>
                <w:lang w:eastAsia="zh-CN"/>
              </w:rPr>
              <w:t>合计</w:t>
            </w:r>
          </w:p>
        </w:tc>
        <w:tc>
          <w:tcPr>
            <w:tcW w:w="964" w:type="dxa"/>
            <w:vAlign w:val="center"/>
          </w:tcPr>
          <w:p>
            <w:pPr>
              <w:pStyle w:val="13"/>
              <w:jc w:val="center"/>
              <w:rPr>
                <w:lang w:eastAsia="zh-CN"/>
              </w:rPr>
            </w:pPr>
            <w:r>
              <w:rPr>
                <w:rFonts w:hint="eastAsia"/>
                <w:lang w:eastAsia="zh-CN"/>
              </w:rPr>
              <w:t>5</w:t>
            </w:r>
          </w:p>
        </w:tc>
        <w:tc>
          <w:tcPr>
            <w:tcW w:w="1134" w:type="dxa"/>
            <w:vAlign w:val="center"/>
          </w:tcPr>
          <w:p>
            <w:pPr>
              <w:pStyle w:val="14"/>
              <w:jc w:val="center"/>
              <w:rPr>
                <w:lang w:eastAsia="zh-CN"/>
              </w:rPr>
            </w:pPr>
          </w:p>
        </w:tc>
        <w:tc>
          <w:tcPr>
            <w:tcW w:w="1134" w:type="dxa"/>
            <w:vAlign w:val="center"/>
          </w:tcPr>
          <w:p>
            <w:pPr>
              <w:pStyle w:val="14"/>
              <w:jc w:val="center"/>
              <w:rPr>
                <w:lang w:eastAsia="zh-CN"/>
              </w:rPr>
            </w:pPr>
          </w:p>
        </w:tc>
        <w:tc>
          <w:tcPr>
            <w:tcW w:w="709" w:type="dxa"/>
            <w:vAlign w:val="center"/>
          </w:tcPr>
          <w:p>
            <w:pPr>
              <w:pStyle w:val="15"/>
              <w:rPr>
                <w:lang w:eastAsia="zh-CN"/>
              </w:rPr>
            </w:pPr>
          </w:p>
        </w:tc>
        <w:tc>
          <w:tcPr>
            <w:tcW w:w="850" w:type="dxa"/>
            <w:vAlign w:val="center"/>
          </w:tcPr>
          <w:p>
            <w:pPr>
              <w:pStyle w:val="13"/>
              <w:jc w:val="center"/>
              <w:rPr>
                <w:lang w:eastAsia="zh-CN"/>
              </w:rPr>
            </w:pPr>
            <w:r>
              <w:rPr>
                <w:rFonts w:hint="eastAsia"/>
                <w:lang w:eastAsia="zh-CN"/>
              </w:rPr>
              <w:t>23</w:t>
            </w:r>
          </w:p>
        </w:tc>
        <w:tc>
          <w:tcPr>
            <w:tcW w:w="850" w:type="dxa"/>
            <w:vAlign w:val="center"/>
          </w:tcPr>
          <w:p>
            <w:pPr>
              <w:pStyle w:val="13"/>
              <w:jc w:val="center"/>
              <w:rPr>
                <w:lang w:eastAsia="zh-CN"/>
              </w:rPr>
            </w:pPr>
            <w:r>
              <w:rPr>
                <w:rFonts w:hint="eastAsia"/>
                <w:lang w:eastAsia="zh-CN"/>
              </w:rPr>
              <w:t>0.75</w:t>
            </w:r>
          </w:p>
        </w:tc>
        <w:tc>
          <w:tcPr>
            <w:tcW w:w="964" w:type="dxa"/>
            <w:vAlign w:val="center"/>
          </w:tcPr>
          <w:p>
            <w:pPr>
              <w:pStyle w:val="13"/>
              <w:jc w:val="center"/>
              <w:rPr>
                <w:lang w:eastAsia="zh-CN"/>
              </w:rPr>
            </w:pPr>
            <w:r>
              <w:rPr>
                <w:rFonts w:hint="eastAsia"/>
                <w:lang w:eastAsia="zh-CN"/>
              </w:rPr>
              <w:t>5</w:t>
            </w:r>
          </w:p>
        </w:tc>
        <w:tc>
          <w:tcPr>
            <w:tcW w:w="964" w:type="dxa"/>
            <w:vAlign w:val="center"/>
          </w:tcPr>
          <w:p>
            <w:pPr>
              <w:pStyle w:val="13"/>
              <w:jc w:val="center"/>
              <w:rPr>
                <w:lang w:eastAsia="zh-CN"/>
              </w:rPr>
            </w:pPr>
            <w:r>
              <w:rPr>
                <w:rFonts w:hint="eastAsia"/>
                <w:lang w:eastAsia="zh-CN"/>
              </w:rPr>
              <w:t>5</w:t>
            </w:r>
          </w:p>
        </w:tc>
        <w:tc>
          <w:tcPr>
            <w:tcW w:w="964" w:type="dxa"/>
            <w:vAlign w:val="center"/>
          </w:tcPr>
          <w:p>
            <w:pPr>
              <w:pStyle w:val="13"/>
              <w:jc w:val="center"/>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spacing w:line="280" w:lineRule="exact"/>
              <w:jc w:val="center"/>
              <w:rPr>
                <w:rFonts w:ascii="仿宋" w:hAnsi="仿宋" w:eastAsia="仿宋"/>
              </w:rPr>
            </w:pPr>
            <w:r>
              <w:rPr>
                <w:rFonts w:hint="eastAsia" w:ascii="仿宋" w:hAnsi="仿宋" w:eastAsia="仿宋"/>
              </w:rPr>
              <w:t>电脑耗材</w:t>
            </w:r>
          </w:p>
        </w:tc>
        <w:tc>
          <w:tcPr>
            <w:tcW w:w="964" w:type="dxa"/>
            <w:vAlign w:val="center"/>
          </w:tcPr>
          <w:p>
            <w:pPr>
              <w:spacing w:line="280" w:lineRule="exact"/>
              <w:jc w:val="center"/>
              <w:rPr>
                <w:rFonts w:ascii="仿宋" w:hAnsi="仿宋" w:eastAsia="仿宋"/>
              </w:rPr>
            </w:pPr>
            <w:r>
              <w:rPr>
                <w:rFonts w:hint="eastAsia" w:ascii="仿宋" w:hAnsi="仿宋" w:eastAsia="仿宋"/>
              </w:rPr>
              <w:t>2.7</w:t>
            </w:r>
          </w:p>
        </w:tc>
        <w:tc>
          <w:tcPr>
            <w:tcW w:w="1134" w:type="dxa"/>
            <w:vAlign w:val="center"/>
          </w:tcPr>
          <w:p>
            <w:pPr>
              <w:spacing w:line="280" w:lineRule="exact"/>
              <w:jc w:val="center"/>
              <w:rPr>
                <w:rFonts w:ascii="仿宋" w:hAnsi="仿宋" w:eastAsia="仿宋"/>
              </w:rPr>
            </w:pPr>
            <w:r>
              <w:rPr>
                <w:rFonts w:hint="eastAsia" w:ascii="仿宋" w:hAnsi="仿宋" w:eastAsia="仿宋"/>
              </w:rPr>
              <w:t>台式电脑</w:t>
            </w:r>
          </w:p>
        </w:tc>
        <w:tc>
          <w:tcPr>
            <w:tcW w:w="1134" w:type="dxa"/>
            <w:vAlign w:val="center"/>
          </w:tcPr>
          <w:p>
            <w:pPr>
              <w:pStyle w:val="14"/>
              <w:rPr>
                <w:lang w:eastAsia="zh-CN"/>
              </w:rPr>
            </w:pPr>
          </w:p>
        </w:tc>
        <w:tc>
          <w:tcPr>
            <w:tcW w:w="709" w:type="dxa"/>
            <w:vAlign w:val="center"/>
          </w:tcPr>
          <w:p>
            <w:pPr>
              <w:spacing w:line="280" w:lineRule="exact"/>
              <w:jc w:val="center"/>
              <w:rPr>
                <w:rFonts w:ascii="仿宋" w:hAnsi="仿宋" w:eastAsia="仿宋"/>
              </w:rPr>
            </w:pPr>
            <w:r>
              <w:rPr>
                <w:rFonts w:hint="eastAsia" w:ascii="仿宋" w:hAnsi="仿宋" w:eastAsia="仿宋"/>
              </w:rPr>
              <w:t>台</w:t>
            </w:r>
          </w:p>
        </w:tc>
        <w:tc>
          <w:tcPr>
            <w:tcW w:w="850" w:type="dxa"/>
            <w:vAlign w:val="center"/>
          </w:tcPr>
          <w:p>
            <w:pPr>
              <w:spacing w:line="280" w:lineRule="exact"/>
              <w:jc w:val="center"/>
              <w:rPr>
                <w:rFonts w:ascii="仿宋" w:hAnsi="仿宋" w:eastAsia="仿宋"/>
              </w:rPr>
            </w:pPr>
            <w:r>
              <w:rPr>
                <w:rFonts w:hint="eastAsia" w:ascii="仿宋" w:hAnsi="仿宋" w:eastAsia="仿宋"/>
              </w:rPr>
              <w:t>6</w:t>
            </w:r>
          </w:p>
        </w:tc>
        <w:tc>
          <w:tcPr>
            <w:tcW w:w="850" w:type="dxa"/>
            <w:vAlign w:val="center"/>
          </w:tcPr>
          <w:p>
            <w:pPr>
              <w:spacing w:line="280" w:lineRule="exact"/>
              <w:jc w:val="center"/>
              <w:rPr>
                <w:rFonts w:ascii="仿宋" w:hAnsi="仿宋" w:eastAsia="仿宋"/>
              </w:rPr>
            </w:pPr>
            <w:r>
              <w:rPr>
                <w:rFonts w:hint="eastAsia" w:ascii="仿宋" w:hAnsi="仿宋" w:eastAsia="仿宋"/>
              </w:rPr>
              <w:t>0.45</w:t>
            </w:r>
          </w:p>
        </w:tc>
        <w:tc>
          <w:tcPr>
            <w:tcW w:w="964" w:type="dxa"/>
            <w:vAlign w:val="center"/>
          </w:tcPr>
          <w:p>
            <w:pPr>
              <w:spacing w:line="280" w:lineRule="exact"/>
              <w:jc w:val="center"/>
              <w:rPr>
                <w:rFonts w:ascii="仿宋" w:hAnsi="仿宋" w:eastAsia="仿宋"/>
              </w:rPr>
            </w:pPr>
            <w:r>
              <w:rPr>
                <w:rFonts w:hint="eastAsia" w:ascii="仿宋" w:hAnsi="仿宋" w:eastAsia="仿宋"/>
              </w:rPr>
              <w:t>2.7</w:t>
            </w:r>
          </w:p>
        </w:tc>
        <w:tc>
          <w:tcPr>
            <w:tcW w:w="964" w:type="dxa"/>
            <w:vAlign w:val="center"/>
          </w:tcPr>
          <w:p>
            <w:pPr>
              <w:spacing w:line="280" w:lineRule="exact"/>
              <w:jc w:val="center"/>
              <w:rPr>
                <w:rFonts w:ascii="仿宋" w:hAnsi="仿宋" w:eastAsia="仿宋"/>
              </w:rPr>
            </w:pPr>
            <w:r>
              <w:rPr>
                <w:rFonts w:hint="eastAsia" w:ascii="仿宋" w:hAnsi="仿宋" w:eastAsia="仿宋"/>
              </w:rPr>
              <w:t>2.7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spacing w:line="280" w:lineRule="exact"/>
              <w:jc w:val="center"/>
              <w:rPr>
                <w:rFonts w:ascii="仿宋" w:hAnsi="仿宋" w:eastAsia="仿宋"/>
              </w:rPr>
            </w:pPr>
            <w:r>
              <w:rPr>
                <w:rFonts w:hint="eastAsia" w:ascii="仿宋" w:hAnsi="仿宋" w:eastAsia="仿宋"/>
              </w:rPr>
              <w:t>电脑耗材</w:t>
            </w:r>
          </w:p>
        </w:tc>
        <w:tc>
          <w:tcPr>
            <w:tcW w:w="964" w:type="dxa"/>
            <w:vAlign w:val="center"/>
          </w:tcPr>
          <w:p>
            <w:pPr>
              <w:spacing w:line="280" w:lineRule="exact"/>
              <w:jc w:val="center"/>
              <w:rPr>
                <w:rFonts w:ascii="仿宋" w:hAnsi="仿宋" w:eastAsia="仿宋"/>
              </w:rPr>
            </w:pPr>
            <w:r>
              <w:rPr>
                <w:rFonts w:hint="eastAsia" w:ascii="仿宋" w:hAnsi="仿宋" w:eastAsia="仿宋"/>
              </w:rPr>
              <w:t>1.2</w:t>
            </w:r>
          </w:p>
        </w:tc>
        <w:tc>
          <w:tcPr>
            <w:tcW w:w="1134" w:type="dxa"/>
            <w:vAlign w:val="center"/>
          </w:tcPr>
          <w:p>
            <w:pPr>
              <w:spacing w:line="280" w:lineRule="exact"/>
              <w:jc w:val="center"/>
              <w:rPr>
                <w:rFonts w:ascii="仿宋" w:hAnsi="仿宋" w:eastAsia="仿宋"/>
              </w:rPr>
            </w:pPr>
            <w:r>
              <w:rPr>
                <w:rFonts w:hint="eastAsia" w:ascii="仿宋" w:hAnsi="仿宋" w:eastAsia="仿宋"/>
              </w:rPr>
              <w:t>A4打印机</w:t>
            </w:r>
          </w:p>
        </w:tc>
        <w:tc>
          <w:tcPr>
            <w:tcW w:w="1134" w:type="dxa"/>
            <w:vAlign w:val="center"/>
          </w:tcPr>
          <w:p>
            <w:pPr>
              <w:pStyle w:val="14"/>
              <w:rPr>
                <w:lang w:eastAsia="zh-CN"/>
              </w:rPr>
            </w:pPr>
          </w:p>
        </w:tc>
        <w:tc>
          <w:tcPr>
            <w:tcW w:w="709" w:type="dxa"/>
            <w:vAlign w:val="center"/>
          </w:tcPr>
          <w:p>
            <w:pPr>
              <w:spacing w:line="280" w:lineRule="exact"/>
              <w:jc w:val="center"/>
              <w:rPr>
                <w:rFonts w:ascii="仿宋" w:hAnsi="仿宋" w:eastAsia="仿宋"/>
              </w:rPr>
            </w:pPr>
            <w:r>
              <w:rPr>
                <w:rFonts w:hint="eastAsia" w:ascii="仿宋" w:hAnsi="仿宋" w:eastAsia="仿宋"/>
              </w:rPr>
              <w:t>台</w:t>
            </w:r>
          </w:p>
        </w:tc>
        <w:tc>
          <w:tcPr>
            <w:tcW w:w="850" w:type="dxa"/>
            <w:vAlign w:val="center"/>
          </w:tcPr>
          <w:p>
            <w:pPr>
              <w:spacing w:line="280" w:lineRule="exact"/>
              <w:jc w:val="center"/>
              <w:rPr>
                <w:rFonts w:ascii="仿宋" w:hAnsi="仿宋" w:eastAsia="仿宋"/>
              </w:rPr>
            </w:pPr>
            <w:r>
              <w:rPr>
                <w:rFonts w:hint="eastAsia" w:ascii="仿宋" w:hAnsi="仿宋" w:eastAsia="仿宋"/>
              </w:rPr>
              <w:t>6</w:t>
            </w:r>
          </w:p>
        </w:tc>
        <w:tc>
          <w:tcPr>
            <w:tcW w:w="850" w:type="dxa"/>
            <w:vAlign w:val="center"/>
          </w:tcPr>
          <w:p>
            <w:pPr>
              <w:spacing w:line="280" w:lineRule="exact"/>
              <w:jc w:val="center"/>
              <w:rPr>
                <w:rFonts w:ascii="仿宋" w:hAnsi="仿宋" w:eastAsia="仿宋"/>
              </w:rPr>
            </w:pPr>
            <w:r>
              <w:rPr>
                <w:rFonts w:hint="eastAsia" w:ascii="仿宋" w:hAnsi="仿宋" w:eastAsia="仿宋"/>
              </w:rPr>
              <w:t>0.2</w:t>
            </w:r>
          </w:p>
        </w:tc>
        <w:tc>
          <w:tcPr>
            <w:tcW w:w="964" w:type="dxa"/>
            <w:vAlign w:val="center"/>
          </w:tcPr>
          <w:p>
            <w:pPr>
              <w:spacing w:line="280" w:lineRule="exact"/>
              <w:jc w:val="center"/>
              <w:rPr>
                <w:rFonts w:ascii="仿宋" w:hAnsi="仿宋" w:eastAsia="仿宋"/>
              </w:rPr>
            </w:pPr>
            <w:r>
              <w:rPr>
                <w:rFonts w:hint="eastAsia" w:ascii="仿宋" w:hAnsi="仿宋" w:eastAsia="仿宋"/>
              </w:rPr>
              <w:t>1.2</w:t>
            </w:r>
          </w:p>
        </w:tc>
        <w:tc>
          <w:tcPr>
            <w:tcW w:w="964" w:type="dxa"/>
            <w:vAlign w:val="center"/>
          </w:tcPr>
          <w:p>
            <w:pPr>
              <w:spacing w:line="280" w:lineRule="exact"/>
              <w:jc w:val="center"/>
              <w:rPr>
                <w:rFonts w:ascii="仿宋" w:hAnsi="仿宋" w:eastAsia="仿宋"/>
              </w:rPr>
            </w:pPr>
            <w:r>
              <w:rPr>
                <w:rFonts w:hint="eastAsia" w:ascii="仿宋" w:hAnsi="仿宋" w:eastAsia="仿宋"/>
              </w:rPr>
              <w:t>1.2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spacing w:line="280" w:lineRule="exact"/>
              <w:jc w:val="center"/>
              <w:rPr>
                <w:rFonts w:ascii="仿宋" w:hAnsi="仿宋" w:eastAsia="仿宋"/>
              </w:rPr>
            </w:pPr>
            <w:r>
              <w:rPr>
                <w:rFonts w:hint="eastAsia" w:ascii="仿宋" w:hAnsi="仿宋" w:eastAsia="仿宋"/>
              </w:rPr>
              <w:t>办公桌椅</w:t>
            </w:r>
          </w:p>
        </w:tc>
        <w:tc>
          <w:tcPr>
            <w:tcW w:w="964" w:type="dxa"/>
            <w:vAlign w:val="center"/>
          </w:tcPr>
          <w:p>
            <w:pPr>
              <w:spacing w:line="280" w:lineRule="exact"/>
              <w:jc w:val="center"/>
              <w:rPr>
                <w:rFonts w:ascii="仿宋" w:hAnsi="仿宋" w:eastAsia="仿宋"/>
              </w:rPr>
            </w:pPr>
            <w:r>
              <w:rPr>
                <w:rFonts w:hint="eastAsia" w:ascii="仿宋" w:hAnsi="仿宋" w:eastAsia="仿宋"/>
              </w:rPr>
              <w:t>1.1</w:t>
            </w:r>
          </w:p>
        </w:tc>
        <w:tc>
          <w:tcPr>
            <w:tcW w:w="1134" w:type="dxa"/>
            <w:vAlign w:val="center"/>
          </w:tcPr>
          <w:p>
            <w:pPr>
              <w:spacing w:line="280" w:lineRule="exact"/>
              <w:jc w:val="center"/>
              <w:rPr>
                <w:rFonts w:ascii="仿宋" w:hAnsi="仿宋" w:eastAsia="仿宋"/>
              </w:rPr>
            </w:pPr>
            <w:r>
              <w:rPr>
                <w:rFonts w:hint="eastAsia" w:ascii="仿宋" w:hAnsi="仿宋" w:eastAsia="仿宋"/>
              </w:rPr>
              <w:t>文件柜</w:t>
            </w:r>
          </w:p>
        </w:tc>
        <w:tc>
          <w:tcPr>
            <w:tcW w:w="1134" w:type="dxa"/>
            <w:vAlign w:val="center"/>
          </w:tcPr>
          <w:p>
            <w:pPr>
              <w:pStyle w:val="14"/>
              <w:rPr>
                <w:lang w:eastAsia="zh-CN"/>
              </w:rPr>
            </w:pPr>
          </w:p>
        </w:tc>
        <w:tc>
          <w:tcPr>
            <w:tcW w:w="709" w:type="dxa"/>
            <w:vAlign w:val="center"/>
          </w:tcPr>
          <w:p>
            <w:pPr>
              <w:spacing w:line="280" w:lineRule="exact"/>
              <w:jc w:val="center"/>
              <w:rPr>
                <w:rFonts w:ascii="仿宋" w:hAnsi="仿宋" w:eastAsia="仿宋"/>
              </w:rPr>
            </w:pPr>
            <w:r>
              <w:rPr>
                <w:rFonts w:hint="eastAsia" w:ascii="仿宋" w:hAnsi="仿宋" w:eastAsia="仿宋"/>
              </w:rPr>
              <w:t>组</w:t>
            </w:r>
          </w:p>
        </w:tc>
        <w:tc>
          <w:tcPr>
            <w:tcW w:w="850" w:type="dxa"/>
            <w:vAlign w:val="center"/>
          </w:tcPr>
          <w:p>
            <w:pPr>
              <w:spacing w:line="280" w:lineRule="exact"/>
              <w:jc w:val="center"/>
              <w:rPr>
                <w:rFonts w:ascii="仿宋" w:hAnsi="仿宋" w:eastAsia="仿宋"/>
              </w:rPr>
            </w:pPr>
            <w:r>
              <w:rPr>
                <w:rFonts w:hint="eastAsia" w:ascii="仿宋" w:hAnsi="仿宋" w:eastAsia="仿宋"/>
              </w:rPr>
              <w:t>11</w:t>
            </w:r>
          </w:p>
        </w:tc>
        <w:tc>
          <w:tcPr>
            <w:tcW w:w="850" w:type="dxa"/>
            <w:vAlign w:val="center"/>
          </w:tcPr>
          <w:p>
            <w:pPr>
              <w:spacing w:line="280" w:lineRule="exact"/>
              <w:jc w:val="center"/>
              <w:rPr>
                <w:rFonts w:ascii="仿宋" w:hAnsi="仿宋" w:eastAsia="仿宋"/>
              </w:rPr>
            </w:pPr>
            <w:r>
              <w:rPr>
                <w:rFonts w:hint="eastAsia" w:ascii="仿宋" w:hAnsi="仿宋" w:eastAsia="仿宋"/>
              </w:rPr>
              <w:t>0.1</w:t>
            </w:r>
          </w:p>
        </w:tc>
        <w:tc>
          <w:tcPr>
            <w:tcW w:w="964" w:type="dxa"/>
            <w:vAlign w:val="center"/>
          </w:tcPr>
          <w:p>
            <w:pPr>
              <w:spacing w:line="280" w:lineRule="exact"/>
              <w:jc w:val="center"/>
              <w:rPr>
                <w:rFonts w:ascii="仿宋" w:hAnsi="仿宋" w:eastAsia="仿宋"/>
              </w:rPr>
            </w:pPr>
            <w:r>
              <w:rPr>
                <w:rFonts w:hint="eastAsia" w:ascii="仿宋" w:hAnsi="仿宋" w:eastAsia="仿宋"/>
              </w:rPr>
              <w:t>1.1</w:t>
            </w:r>
          </w:p>
        </w:tc>
        <w:tc>
          <w:tcPr>
            <w:tcW w:w="964" w:type="dxa"/>
            <w:vAlign w:val="center"/>
          </w:tcPr>
          <w:p>
            <w:pPr>
              <w:spacing w:line="280" w:lineRule="exact"/>
              <w:jc w:val="center"/>
              <w:rPr>
                <w:rFonts w:ascii="仿宋" w:hAnsi="仿宋" w:eastAsia="仿宋"/>
              </w:rPr>
            </w:pPr>
            <w:r>
              <w:rPr>
                <w:rFonts w:hint="eastAsia" w:ascii="仿宋" w:hAnsi="仿宋" w:eastAsia="仿宋"/>
              </w:rPr>
              <w:t>1.1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成安县医疗保障局机关本级上年末固定资产金额为</w:t>
      </w:r>
      <w:r>
        <w:rPr>
          <w:rFonts w:hint="eastAsia" w:eastAsia="方正仿宋_GBK" w:cs="Times New Roman"/>
          <w:color w:val="000000"/>
          <w:sz w:val="28"/>
          <w:lang w:eastAsia="zh-CN"/>
        </w:rPr>
        <w:t>42.89</w:t>
      </w:r>
      <w:r>
        <w:rPr>
          <w:rFonts w:eastAsia="方正仿宋_GBK" w:cs="Times New Roman"/>
          <w:color w:val="000000"/>
          <w:sz w:val="28"/>
        </w:rPr>
        <w:t>万元（详见下表）。本年度拟购置固定资产总额为</w:t>
      </w:r>
      <w:r>
        <w:rPr>
          <w:rFonts w:hint="eastAsia" w:cs="Times New Roman" w:eastAsiaTheme="minorEastAsia"/>
          <w:color w:val="000000"/>
          <w:sz w:val="28"/>
          <w:lang w:eastAsia="zh-CN"/>
        </w:rPr>
        <w:t>5</w:t>
      </w:r>
      <w:r>
        <w:rPr>
          <w:rFonts w:eastAsia="方正仿宋_GBK" w:cs="Times New Roman"/>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320001成安县医疗保障局机关本级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rPr>
                <w:lang w:eastAsia="zh-CN"/>
              </w:rPr>
            </w:pPr>
            <w:r>
              <w:rPr>
                <w:rFonts w:hint="eastAsia"/>
                <w:lang w:eastAsia="zh-CN"/>
              </w:rPr>
              <w:t>资产总额</w:t>
            </w:r>
          </w:p>
        </w:tc>
        <w:tc>
          <w:tcPr>
            <w:tcW w:w="2835" w:type="dxa"/>
            <w:vAlign w:val="center"/>
          </w:tcPr>
          <w:p>
            <w:pPr>
              <w:pStyle w:val="12"/>
            </w:pPr>
          </w:p>
        </w:tc>
        <w:tc>
          <w:tcPr>
            <w:tcW w:w="2835" w:type="dxa"/>
            <w:vAlign w:val="center"/>
          </w:tcPr>
          <w:p>
            <w:pPr>
              <w:pStyle w:val="12"/>
            </w:pPr>
            <w:r>
              <w:rPr>
                <w:rFonts w:hint="eastAsia" w:ascii="仿宋" w:hAnsi="仿宋" w:eastAsia="仿宋" w:cs="宋体"/>
                <w:sz w:val="32"/>
                <w:szCs w:val="32"/>
              </w:rPr>
              <w:t>42.89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ascii="仿宋" w:hAnsi="仿宋" w:eastAsia="仿宋" w:cs="宋体"/>
                <w:sz w:val="32"/>
                <w:szCs w:val="32"/>
              </w:rPr>
              <w:t>1</w:t>
            </w:r>
            <w:r>
              <w:rPr>
                <w:rFonts w:hint="eastAsia" w:ascii="仿宋" w:hAnsi="仿宋" w:eastAsia="仿宋" w:cs="宋体"/>
                <w:sz w:val="32"/>
                <w:szCs w:val="32"/>
              </w:rPr>
              <w:t>、房屋（平方米）</w:t>
            </w:r>
          </w:p>
        </w:tc>
        <w:tc>
          <w:tcPr>
            <w:tcW w:w="2835" w:type="dxa"/>
            <w:vAlign w:val="center"/>
          </w:tcPr>
          <w:p>
            <w:pPr>
              <w:pStyle w:val="15"/>
            </w:pPr>
            <w:r>
              <w:rPr>
                <w:rFonts w:hint="eastAsia" w:ascii="仿宋" w:hAnsi="仿宋" w:eastAsia="仿宋"/>
                <w:sz w:val="32"/>
                <w:szCs w:val="32"/>
              </w:rPr>
              <w:t>181</w:t>
            </w:r>
          </w:p>
        </w:tc>
        <w:tc>
          <w:tcPr>
            <w:tcW w:w="2835" w:type="dxa"/>
            <w:vAlign w:val="center"/>
          </w:tcPr>
          <w:p>
            <w:pPr>
              <w:pStyle w:val="13"/>
            </w:pPr>
            <w:r>
              <w:rPr>
                <w:rFonts w:hint="eastAsia" w:ascii="仿宋" w:hAnsi="仿宋" w:eastAsia="仿宋"/>
                <w:sz w:val="32"/>
                <w:szCs w:val="32"/>
              </w:rPr>
              <w:t>占用人社局房屋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ascii="仿宋" w:hAnsi="仿宋" w:eastAsia="仿宋" w:cs="宋体"/>
                <w:sz w:val="32"/>
                <w:szCs w:val="32"/>
              </w:rPr>
              <w:t>其中：办公用房（平方米）</w:t>
            </w:r>
          </w:p>
        </w:tc>
        <w:tc>
          <w:tcPr>
            <w:tcW w:w="2835" w:type="dxa"/>
            <w:vAlign w:val="center"/>
          </w:tcPr>
          <w:p>
            <w:pPr>
              <w:pStyle w:val="15"/>
            </w:pPr>
            <w:r>
              <w:rPr>
                <w:rFonts w:hint="eastAsia" w:ascii="仿宋" w:hAnsi="仿宋" w:eastAsia="仿宋"/>
                <w:sz w:val="32"/>
                <w:szCs w:val="32"/>
              </w:rPr>
              <w:t>181</w:t>
            </w:r>
          </w:p>
        </w:tc>
        <w:tc>
          <w:tcPr>
            <w:tcW w:w="2835" w:type="dxa"/>
            <w:vAlign w:val="center"/>
          </w:tcPr>
          <w:p>
            <w:pPr>
              <w:pStyle w:val="13"/>
            </w:pPr>
            <w:r>
              <w:rPr>
                <w:rFonts w:hint="eastAsia" w:ascii="仿宋" w:hAnsi="仿宋" w:eastAsia="仿宋"/>
                <w:sz w:val="32"/>
                <w:szCs w:val="32"/>
              </w:rPr>
              <w:t>占用人社局房屋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ascii="仿宋" w:hAnsi="仿宋" w:eastAsia="仿宋" w:cs="宋体"/>
                <w:sz w:val="32"/>
                <w:szCs w:val="32"/>
              </w:rPr>
              <w:t>2</w:t>
            </w:r>
            <w:r>
              <w:rPr>
                <w:rFonts w:hint="eastAsia" w:ascii="仿宋" w:hAnsi="仿宋" w:eastAsia="仿宋" w:cs="宋体"/>
                <w:sz w:val="32"/>
                <w:szCs w:val="32"/>
              </w:rPr>
              <w:t>、车辆（台、辆）</w:t>
            </w:r>
          </w:p>
        </w:tc>
        <w:tc>
          <w:tcPr>
            <w:tcW w:w="2835" w:type="dxa"/>
            <w:vAlign w:val="center"/>
          </w:tcPr>
          <w:p>
            <w:pPr>
              <w:pStyle w:val="15"/>
              <w:rPr>
                <w:lang w:eastAsia="zh-CN"/>
              </w:rPr>
            </w:pPr>
            <w:r>
              <w:rPr>
                <w:rFonts w:hint="eastAsia"/>
                <w:lang w:eastAsia="zh-CN"/>
              </w:rPr>
              <w:t>3</w:t>
            </w:r>
          </w:p>
        </w:tc>
        <w:tc>
          <w:tcPr>
            <w:tcW w:w="2835" w:type="dxa"/>
            <w:vAlign w:val="center"/>
          </w:tcPr>
          <w:p>
            <w:pPr>
              <w:pStyle w:val="13"/>
              <w:rPr>
                <w:lang w:eastAsia="zh-CN"/>
              </w:rPr>
            </w:pPr>
            <w:r>
              <w:rPr>
                <w:rFonts w:hint="eastAsia"/>
                <w:lang w:eastAsia="zh-CN"/>
              </w:rPr>
              <w:t>17.23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ascii="仿宋" w:hAnsi="仿宋" w:eastAsia="仿宋" w:cs="宋体"/>
                <w:sz w:val="32"/>
                <w:szCs w:val="32"/>
              </w:rPr>
              <w:t>3</w:t>
            </w:r>
            <w:r>
              <w:rPr>
                <w:rFonts w:hint="eastAsia" w:ascii="仿宋" w:hAnsi="仿宋" w:eastAsia="仿宋" w:cs="宋体"/>
                <w:sz w:val="32"/>
                <w:szCs w:val="32"/>
              </w:rPr>
              <w:t>、单价在</w:t>
            </w:r>
            <w:r>
              <w:rPr>
                <w:rFonts w:ascii="仿宋" w:hAnsi="仿宋" w:eastAsia="仿宋" w:cs="宋体"/>
                <w:sz w:val="32"/>
                <w:szCs w:val="32"/>
              </w:rPr>
              <w:t>50</w:t>
            </w:r>
            <w:r>
              <w:rPr>
                <w:rFonts w:hint="eastAsia" w:ascii="仿宋" w:hAnsi="仿宋" w:eastAsia="仿宋" w:cs="宋体"/>
                <w:sz w:val="32"/>
                <w:szCs w:val="32"/>
              </w:rPr>
              <w:t>万元以上的设备</w:t>
            </w:r>
          </w:p>
        </w:tc>
        <w:tc>
          <w:tcPr>
            <w:tcW w:w="2835" w:type="dxa"/>
            <w:vAlign w:val="center"/>
          </w:tcPr>
          <w:p>
            <w:pPr>
              <w:pStyle w:val="15"/>
              <w:rPr>
                <w:lang w:eastAsia="zh-CN"/>
              </w:rPr>
            </w:pPr>
            <w:r>
              <w:rPr>
                <w:rFonts w:hint="eastAsia"/>
                <w:lang w:eastAsia="zh-CN"/>
              </w:rPr>
              <w:t>0</w:t>
            </w:r>
          </w:p>
        </w:tc>
        <w:tc>
          <w:tcPr>
            <w:tcW w:w="2835" w:type="dxa"/>
            <w:vAlign w:val="center"/>
          </w:tcPr>
          <w:p>
            <w:pPr>
              <w:pStyle w:val="13"/>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ascii="仿宋" w:hAnsi="仿宋" w:eastAsia="仿宋" w:cs="宋体"/>
                <w:sz w:val="32"/>
                <w:szCs w:val="32"/>
              </w:rPr>
              <w:t>4</w:t>
            </w:r>
            <w:r>
              <w:rPr>
                <w:rFonts w:hint="eastAsia" w:ascii="仿宋" w:hAnsi="仿宋" w:eastAsia="仿宋" w:cs="宋体"/>
                <w:sz w:val="32"/>
                <w:szCs w:val="32"/>
              </w:rPr>
              <w:t>、其他固定资产</w:t>
            </w:r>
          </w:p>
        </w:tc>
        <w:tc>
          <w:tcPr>
            <w:tcW w:w="2835" w:type="dxa"/>
            <w:vAlign w:val="center"/>
          </w:tcPr>
          <w:p>
            <w:pPr>
              <w:pStyle w:val="15"/>
              <w:rPr>
                <w:lang w:eastAsia="zh-CN"/>
              </w:rPr>
            </w:pPr>
            <w:r>
              <w:rPr>
                <w:rFonts w:hint="eastAsia"/>
                <w:lang w:eastAsia="zh-CN"/>
              </w:rPr>
              <w:t>64</w:t>
            </w:r>
          </w:p>
        </w:tc>
        <w:tc>
          <w:tcPr>
            <w:tcW w:w="2835" w:type="dxa"/>
            <w:vAlign w:val="center"/>
          </w:tcPr>
          <w:p>
            <w:pPr>
              <w:pStyle w:val="13"/>
              <w:rPr>
                <w:lang w:eastAsia="zh-CN"/>
              </w:rPr>
            </w:pPr>
            <w:r>
              <w:rPr>
                <w:rFonts w:hint="eastAsia"/>
                <w:lang w:eastAsia="zh-CN"/>
              </w:rPr>
              <w:t>25.66</w:t>
            </w:r>
          </w:p>
        </w:tc>
      </w:tr>
    </w:tbl>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指本级财政当年拨付的资金。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本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39E5CD"/>
    <w:multiLevelType w:val="singleLevel"/>
    <w:tmpl w:val="A339E5CD"/>
    <w:lvl w:ilvl="0" w:tentative="0">
      <w:start w:val="2"/>
      <w:numFmt w:val="chineseCounting"/>
      <w:suff w:val="nothing"/>
      <w:lvlText w:val="%1、"/>
      <w:lvlJc w:val="left"/>
      <w:rPr>
        <w:rFonts w:hint="eastAsia"/>
      </w:rPr>
    </w:lvl>
  </w:abstractNum>
  <w:abstractNum w:abstractNumId="1">
    <w:nsid w:val="D0225940"/>
    <w:multiLevelType w:val="singleLevel"/>
    <w:tmpl w:val="D0225940"/>
    <w:lvl w:ilvl="0" w:tentative="0">
      <w:start w:val="2"/>
      <w:numFmt w:val="chineseCounting"/>
      <w:suff w:val="nothing"/>
      <w:lvlText w:val="（%1）"/>
      <w:lvlJc w:val="left"/>
      <w:rPr>
        <w:rFonts w:hint="eastAsia"/>
      </w:rPr>
    </w:lvl>
  </w:abstractNum>
  <w:abstractNum w:abstractNumId="2">
    <w:nsid w:val="DB0BC2A1"/>
    <w:multiLevelType w:val="singleLevel"/>
    <w:tmpl w:val="DB0BC2A1"/>
    <w:lvl w:ilvl="0" w:tentative="0">
      <w:start w:val="3"/>
      <w:numFmt w:val="chineseCounting"/>
      <w:suff w:val="space"/>
      <w:lvlText w:val="第%1部分"/>
      <w:lvlJc w:val="left"/>
      <w:rPr>
        <w:rFonts w:hint="eastAsia"/>
      </w:rPr>
    </w:lvl>
  </w:abstractNum>
  <w:abstractNum w:abstractNumId="3">
    <w:nsid w:val="10F27B52"/>
    <w:multiLevelType w:val="singleLevel"/>
    <w:tmpl w:val="10F27B52"/>
    <w:lvl w:ilvl="0" w:tentative="0">
      <w:start w:val="1"/>
      <w:numFmt w:val="chineseCounting"/>
      <w:suff w:val="nothing"/>
      <w:lvlText w:val="（%1）"/>
      <w:lvlJc w:val="left"/>
      <w:rPr>
        <w:rFonts w:hint="eastAsia"/>
      </w:rPr>
    </w:lvl>
  </w:abstractNum>
  <w:abstractNum w:abstractNumId="4">
    <w:nsid w:val="60A5CF89"/>
    <w:multiLevelType w:val="singleLevel"/>
    <w:tmpl w:val="60A5CF89"/>
    <w:lvl w:ilvl="0" w:tentative="0">
      <w:start w:val="1"/>
      <w:numFmt w:val="chineseCounting"/>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Tg5OTE4M2NmYWZhNjI2NDlhYTlhMjBkMGViM2MyYzAifQ=="/>
  </w:docVars>
  <w:rsids>
    <w:rsidRoot w:val="00EE3F60"/>
    <w:rsid w:val="002722BC"/>
    <w:rsid w:val="00537FB2"/>
    <w:rsid w:val="005906CB"/>
    <w:rsid w:val="006A3894"/>
    <w:rsid w:val="007772BF"/>
    <w:rsid w:val="007F0A2A"/>
    <w:rsid w:val="00C70F7A"/>
    <w:rsid w:val="00EE3F60"/>
    <w:rsid w:val="2C652CC2"/>
    <w:rsid w:val="30412533"/>
    <w:rsid w:val="353D1864"/>
    <w:rsid w:val="447C0D10"/>
    <w:rsid w:val="64E717EB"/>
    <w:rsid w:val="66C05784"/>
    <w:rsid w:val="6E7317D4"/>
    <w:rsid w:val="6ED502A0"/>
    <w:rsid w:val="6EF74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2022-03-17T16:23:33Z</dcterms:created>
  <dcterms:modified xsi:type="dcterms:W3CDTF">2022-03-17T08:23:33Z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2022-03-17T16:23:28Z</dcterms:created>
  <dcterms:modified xsi:type="dcterms:W3CDTF">2022-03-17T08:23:28Z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2022-03-17T16:23:32Z</dcterms:created>
  <dcterms:modified xsi:type="dcterms:W3CDTF">2022-03-17T08:23:32Z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2022-03-17T16:23:28Z</dcterms:created>
  <dcterms:modified xsi:type="dcterms:W3CDTF">2022-03-17T08:23:28Z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2022-03-17T16:23:33Z</dcterms:created>
  <dcterms:modified xsi:type="dcterms:W3CDTF">2022-03-17T08:23:33Z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2022-03-17T16:23:32Z</dcterms:created>
  <dcterms:modified xsi:type="dcterms:W3CDTF">2022-03-17T08:23:32Z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2022-03-17T16:23:29Z</dcterms:created>
  <dcterms:modified xsi:type="dcterms:W3CDTF">2022-03-17T08:23:29Z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2022-03-17T16:23:27Z</dcterms:created>
  <dcterms:modified xsi:type="dcterms:W3CDTF">2022-03-17T08:23:27Z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2022-03-17T16:23:28Z</dcterms:created>
  <dcterms:modified xsi:type="dcterms:W3CDTF">2022-03-17T08:23:28Z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2022-03-17T16:23:28Z</dcterms:created>
  <dcterms:modified xsi:type="dcterms:W3CDTF">2022-03-17T08:23:28Z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2022-03-17T16:23:28Z</dcterms:created>
  <dcterms:modified xsi:type="dcterms:W3CDTF">2022-03-17T08:23:28Z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2022-03-17T16:23:28Z</dcterms:created>
  <dcterms:modified xsi:type="dcterms:W3CDTF">2022-03-17T08:23:28Z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2022-03-17T16:23:29Z</dcterms:created>
  <dcterms:modified xsi:type="dcterms:W3CDTF">2022-03-17T08:23:28Z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2022-03-17T16:23:32Z</dcterms:created>
  <dcterms:modified xsi:type="dcterms:W3CDTF">2022-03-17T08:23:32Z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2022-03-17T16:23:32Z</dcterms:created>
  <dcterms:modified xsi:type="dcterms:W3CDTF">2022-03-17T08:23:32Z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2022-03-17T16:23:32Z</dcterms:created>
  <dcterms:modified xsi:type="dcterms:W3CDTF">2022-03-17T08:23:32Z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2022-03-17T16:23:31Z</dcterms:created>
  <dcterms:modified xsi:type="dcterms:W3CDTF">2022-03-17T08:23:31Z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A8F215D-822E-4860-8377-AF32E4719727}">
  <ds:schemaRefs/>
</ds:datastoreItem>
</file>

<file path=customXml/itemProps10.xml><?xml version="1.0" encoding="utf-8"?>
<ds:datastoreItem xmlns:ds="http://schemas.openxmlformats.org/officeDocument/2006/customXml" ds:itemID="{159672F3-C0AF-4494-92F2-A1746D736728}">
  <ds:schemaRefs/>
</ds:datastoreItem>
</file>

<file path=customXml/itemProps11.xml><?xml version="1.0" encoding="utf-8"?>
<ds:datastoreItem xmlns:ds="http://schemas.openxmlformats.org/officeDocument/2006/customXml" ds:itemID="{431A9E69-750F-4271-B3C5-074B681DCFF9}">
  <ds:schemaRefs/>
</ds:datastoreItem>
</file>

<file path=customXml/itemProps12.xml><?xml version="1.0" encoding="utf-8"?>
<ds:datastoreItem xmlns:ds="http://schemas.openxmlformats.org/officeDocument/2006/customXml" ds:itemID="{5F6ABE3C-B9BF-4936-B497-90A330437329}">
  <ds:schemaRefs/>
</ds:datastoreItem>
</file>

<file path=customXml/itemProps13.xml><?xml version="1.0" encoding="utf-8"?>
<ds:datastoreItem xmlns:ds="http://schemas.openxmlformats.org/officeDocument/2006/customXml" ds:itemID="{C02C867E-9686-4FE5-ADEB-8FC48D776639}">
  <ds:schemaRefs/>
</ds:datastoreItem>
</file>

<file path=customXml/itemProps14.xml><?xml version="1.0" encoding="utf-8"?>
<ds:datastoreItem xmlns:ds="http://schemas.openxmlformats.org/officeDocument/2006/customXml" ds:itemID="{6F66F82C-367A-4A81-AE57-12E7A70B2883}">
  <ds:schemaRefs/>
</ds:datastoreItem>
</file>

<file path=customXml/itemProps15.xml><?xml version="1.0" encoding="utf-8"?>
<ds:datastoreItem xmlns:ds="http://schemas.openxmlformats.org/officeDocument/2006/customXml" ds:itemID="{CDAC2543-7144-46C4-B23E-38987828E355}">
  <ds:schemaRefs/>
</ds:datastoreItem>
</file>

<file path=customXml/itemProps16.xml><?xml version="1.0" encoding="utf-8"?>
<ds:datastoreItem xmlns:ds="http://schemas.openxmlformats.org/officeDocument/2006/customXml" ds:itemID="{551B8AFF-1CE8-4CEA-A430-88B871FB8ED5}">
  <ds:schemaRefs/>
</ds:datastoreItem>
</file>

<file path=customXml/itemProps17.xml><?xml version="1.0" encoding="utf-8"?>
<ds:datastoreItem xmlns:ds="http://schemas.openxmlformats.org/officeDocument/2006/customXml" ds:itemID="{24E9C847-87B3-480F-9131-BCDA68505C91}">
  <ds:schemaRefs/>
</ds:datastoreItem>
</file>

<file path=customXml/itemProps18.xml><?xml version="1.0" encoding="utf-8"?>
<ds:datastoreItem xmlns:ds="http://schemas.openxmlformats.org/officeDocument/2006/customXml" ds:itemID="{53CDC181-DCA1-47C7-B27C-B6BB98FDFB74}">
  <ds:schemaRefs/>
</ds:datastoreItem>
</file>

<file path=customXml/itemProps19.xml><?xml version="1.0" encoding="utf-8"?>
<ds:datastoreItem xmlns:ds="http://schemas.openxmlformats.org/officeDocument/2006/customXml" ds:itemID="{6764C891-9467-413E-90F8-30EBE694D5FB}">
  <ds:schemaRefs/>
</ds:datastoreItem>
</file>

<file path=customXml/itemProps2.xml><?xml version="1.0" encoding="utf-8"?>
<ds:datastoreItem xmlns:ds="http://schemas.openxmlformats.org/officeDocument/2006/customXml" ds:itemID="{5B892C74-7ED5-4015-851A-6BF01CB4A645}">
  <ds:schemaRefs/>
</ds:datastoreItem>
</file>

<file path=customXml/itemProps20.xml><?xml version="1.0" encoding="utf-8"?>
<ds:datastoreItem xmlns:ds="http://schemas.openxmlformats.org/officeDocument/2006/customXml" ds:itemID="{F998B176-144C-477C-8697-866C72D6195C}">
  <ds:schemaRefs/>
</ds:datastoreItem>
</file>

<file path=customXml/itemProps21.xml><?xml version="1.0" encoding="utf-8"?>
<ds:datastoreItem xmlns:ds="http://schemas.openxmlformats.org/officeDocument/2006/customXml" ds:itemID="{7AAF7CDB-6A8C-4A1C-9A2E-4CD595F7F3D4}">
  <ds:schemaRefs/>
</ds:datastoreItem>
</file>

<file path=customXml/itemProps22.xml><?xml version="1.0" encoding="utf-8"?>
<ds:datastoreItem xmlns:ds="http://schemas.openxmlformats.org/officeDocument/2006/customXml" ds:itemID="{E64CCF3F-1B93-4771-84FC-EAA4461BFB21}">
  <ds:schemaRefs/>
</ds:datastoreItem>
</file>

<file path=customXml/itemProps23.xml><?xml version="1.0" encoding="utf-8"?>
<ds:datastoreItem xmlns:ds="http://schemas.openxmlformats.org/officeDocument/2006/customXml" ds:itemID="{809DC30F-F16A-498D-9B10-B61B06D6770D}">
  <ds:schemaRefs/>
</ds:datastoreItem>
</file>

<file path=customXml/itemProps24.xml><?xml version="1.0" encoding="utf-8"?>
<ds:datastoreItem xmlns:ds="http://schemas.openxmlformats.org/officeDocument/2006/customXml" ds:itemID="{A33E1C5A-9427-4F9A-8E3C-32A8725360E3}">
  <ds:schemaRefs/>
</ds:datastoreItem>
</file>

<file path=customXml/itemProps25.xml><?xml version="1.0" encoding="utf-8"?>
<ds:datastoreItem xmlns:ds="http://schemas.openxmlformats.org/officeDocument/2006/customXml" ds:itemID="{CAA7FC3D-80C4-48B0-986A-BD2143A1AAF2}">
  <ds:schemaRefs/>
</ds:datastoreItem>
</file>

<file path=customXml/itemProps26.xml><?xml version="1.0" encoding="utf-8"?>
<ds:datastoreItem xmlns:ds="http://schemas.openxmlformats.org/officeDocument/2006/customXml" ds:itemID="{5D33249E-DC9B-495A-A4A6-870DF09CC0C3}">
  <ds:schemaRefs/>
</ds:datastoreItem>
</file>

<file path=customXml/itemProps27.xml><?xml version="1.0" encoding="utf-8"?>
<ds:datastoreItem xmlns:ds="http://schemas.openxmlformats.org/officeDocument/2006/customXml" ds:itemID="{8C19DE2A-C351-4438-A908-AAD9E1CFDB2C}">
  <ds:schemaRefs/>
</ds:datastoreItem>
</file>

<file path=customXml/itemProps28.xml><?xml version="1.0" encoding="utf-8"?>
<ds:datastoreItem xmlns:ds="http://schemas.openxmlformats.org/officeDocument/2006/customXml" ds:itemID="{4214B4C7-E035-4FEB-A59E-32FFF9F519D5}">
  <ds:schemaRefs/>
</ds:datastoreItem>
</file>

<file path=customXml/itemProps29.xml><?xml version="1.0" encoding="utf-8"?>
<ds:datastoreItem xmlns:ds="http://schemas.openxmlformats.org/officeDocument/2006/customXml" ds:itemID="{89153D50-56BB-4BB9-913D-95C47B02558F}">
  <ds:schemaRefs/>
</ds:datastoreItem>
</file>

<file path=customXml/itemProps3.xml><?xml version="1.0" encoding="utf-8"?>
<ds:datastoreItem xmlns:ds="http://schemas.openxmlformats.org/officeDocument/2006/customXml" ds:itemID="{F5E2D9C2-F811-4135-AF3A-6D0002B942B2}">
  <ds:schemaRefs/>
</ds:datastoreItem>
</file>

<file path=customXml/itemProps30.xml><?xml version="1.0" encoding="utf-8"?>
<ds:datastoreItem xmlns:ds="http://schemas.openxmlformats.org/officeDocument/2006/customXml" ds:itemID="{E5FEFECF-D76D-4625-AE55-603595C03DE8}">
  <ds:schemaRefs/>
</ds:datastoreItem>
</file>

<file path=customXml/itemProps31.xml><?xml version="1.0" encoding="utf-8"?>
<ds:datastoreItem xmlns:ds="http://schemas.openxmlformats.org/officeDocument/2006/customXml" ds:itemID="{90A30486-0EFA-4C17-B78A-A82B99EB935C}">
  <ds:schemaRefs/>
</ds:datastoreItem>
</file>

<file path=customXml/itemProps32.xml><?xml version="1.0" encoding="utf-8"?>
<ds:datastoreItem xmlns:ds="http://schemas.openxmlformats.org/officeDocument/2006/customXml" ds:itemID="{7B5818C9-AD3A-44A4-98DD-3627C6B69DE6}">
  <ds:schemaRefs/>
</ds:datastoreItem>
</file>

<file path=customXml/itemProps33.xml><?xml version="1.0" encoding="utf-8"?>
<ds:datastoreItem xmlns:ds="http://schemas.openxmlformats.org/officeDocument/2006/customXml" ds:itemID="{7B32D9A6-6520-4623-AD01-65266E9F50D5}">
  <ds:schemaRefs/>
</ds:datastoreItem>
</file>

<file path=customXml/itemProps34.xml><?xml version="1.0" encoding="utf-8"?>
<ds:datastoreItem xmlns:ds="http://schemas.openxmlformats.org/officeDocument/2006/customXml" ds:itemID="{4A312367-AF72-4A36-9480-CF7AFDB72DC9}">
  <ds:schemaRefs/>
</ds:datastoreItem>
</file>

<file path=customXml/itemProps4.xml><?xml version="1.0" encoding="utf-8"?>
<ds:datastoreItem xmlns:ds="http://schemas.openxmlformats.org/officeDocument/2006/customXml" ds:itemID="{08A0E0F9-C1F3-4B1A-9CF1-E5AFA79D3621}">
  <ds:schemaRefs/>
</ds:datastoreItem>
</file>

<file path=customXml/itemProps5.xml><?xml version="1.0" encoding="utf-8"?>
<ds:datastoreItem xmlns:ds="http://schemas.openxmlformats.org/officeDocument/2006/customXml" ds:itemID="{6AF31B7A-606F-4676-BD4E-382C1F864513}">
  <ds:schemaRefs/>
</ds:datastoreItem>
</file>

<file path=customXml/itemProps6.xml><?xml version="1.0" encoding="utf-8"?>
<ds:datastoreItem xmlns:ds="http://schemas.openxmlformats.org/officeDocument/2006/customXml" ds:itemID="{56E1A46F-E2BB-4E7E-A642-AF7BC89735F0}">
  <ds:schemaRefs/>
</ds:datastoreItem>
</file>

<file path=customXml/itemProps7.xml><?xml version="1.0" encoding="utf-8"?>
<ds:datastoreItem xmlns:ds="http://schemas.openxmlformats.org/officeDocument/2006/customXml" ds:itemID="{E0DB2FBB-ABB1-428A-A848-6654047D29DE}">
  <ds:schemaRefs/>
</ds:datastoreItem>
</file>

<file path=customXml/itemProps8.xml><?xml version="1.0" encoding="utf-8"?>
<ds:datastoreItem xmlns:ds="http://schemas.openxmlformats.org/officeDocument/2006/customXml" ds:itemID="{B91A0976-A581-4EA4-8166-5F62FC1201A9}">
  <ds:schemaRefs/>
</ds:datastoreItem>
</file>

<file path=customXml/itemProps9.xml><?xml version="1.0" encoding="utf-8"?>
<ds:datastoreItem xmlns:ds="http://schemas.openxmlformats.org/officeDocument/2006/customXml" ds:itemID="{4139C567-6C06-4A12-82FD-E9DE2F0EDF2D}">
  <ds:schemaRefs/>
</ds:datastoreItem>
</file>

<file path=docProps/app.xml><?xml version="1.0" encoding="utf-8"?>
<Properties xmlns="http://schemas.openxmlformats.org/officeDocument/2006/extended-properties" xmlns:vt="http://schemas.openxmlformats.org/officeDocument/2006/docPropsVTypes">
  <Template>Normal</Template>
  <Pages>33</Pages>
  <Words>2197</Words>
  <Characters>12528</Characters>
  <Lines>104</Lines>
  <Paragraphs>29</Paragraphs>
  <TotalTime>0</TotalTime>
  <ScaleCrop>false</ScaleCrop>
  <LinksUpToDate>false</LinksUpToDate>
  <CharactersWithSpaces>14696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2022-03-17T16:23:00Z</dcterms:created>
  <dc:creator>Administrator</dc:creator>
  <cp:lastModifiedBy>彤</cp:lastModifiedBy>
  <dcterms:modified xsi:type="dcterms:W3CDTF">2024-01-23T07:23:13Z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C29B55AB04294A539C2E66042651D27A</vt:lpwstr>
  </property>
</Properties>
</file>