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成安县医疗保障局所属部门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320成安县医疗保障局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7034.70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6991.59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7034.70</w:t>
            </w:r>
          </w:p>
        </w:tc>
        <w:tc>
          <w:tcPr>
            <w:tcW w:w="4535" w:type="dxa"/>
            <w:vAlign w:val="center"/>
          </w:tcPr>
          <w:p>
            <w:pPr>
              <w:pStyle w:val="16"/>
            </w:pPr>
            <w:r>
              <w:t>本年支出合计</w:t>
            </w:r>
          </w:p>
        </w:tc>
        <w:tc>
          <w:tcPr>
            <w:tcW w:w="2126" w:type="dxa"/>
            <w:vAlign w:val="center"/>
          </w:tcPr>
          <w:p>
            <w:pPr>
              <w:pStyle w:val="17"/>
            </w:pPr>
            <w:r>
              <w:t>7034.70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7034.70</w:t>
            </w:r>
          </w:p>
        </w:tc>
        <w:tc>
          <w:tcPr>
            <w:tcW w:w="4535" w:type="dxa"/>
            <w:vAlign w:val="center"/>
          </w:tcPr>
          <w:p>
            <w:pPr>
              <w:pStyle w:val="16"/>
            </w:pPr>
            <w:r>
              <w:t>支出总计</w:t>
            </w:r>
          </w:p>
        </w:tc>
        <w:tc>
          <w:tcPr>
            <w:tcW w:w="2126" w:type="dxa"/>
            <w:vAlign w:val="center"/>
          </w:tcPr>
          <w:p>
            <w:pPr>
              <w:pStyle w:val="17"/>
            </w:pPr>
            <w:r>
              <w:t>7034.70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320成安县医疗保障局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7034.70</w:t>
            </w:r>
          </w:p>
        </w:tc>
        <w:tc>
          <w:tcPr>
            <w:tcW w:w="1134" w:type="dxa"/>
            <w:vAlign w:val="center"/>
          </w:tcPr>
          <w:p>
            <w:pPr>
              <w:pStyle w:val="17"/>
            </w:pPr>
            <w:r>
              <w:t>7034.70</w:t>
            </w:r>
          </w:p>
        </w:tc>
        <w:tc>
          <w:tcPr>
            <w:tcW w:w="1134" w:type="dxa"/>
            <w:vAlign w:val="center"/>
          </w:tcPr>
          <w:p>
            <w:pPr>
              <w:pStyle w:val="17"/>
            </w:pPr>
            <w:r>
              <w:t>7034.70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25.41</w:t>
            </w:r>
          </w:p>
        </w:tc>
        <w:tc>
          <w:tcPr>
            <w:tcW w:w="1134" w:type="dxa"/>
            <w:vAlign w:val="center"/>
          </w:tcPr>
          <w:p>
            <w:pPr>
              <w:pStyle w:val="13"/>
            </w:pPr>
            <w:r>
              <w:t>25.41</w:t>
            </w:r>
          </w:p>
        </w:tc>
        <w:tc>
          <w:tcPr>
            <w:tcW w:w="1134" w:type="dxa"/>
            <w:vAlign w:val="center"/>
          </w:tcPr>
          <w:p>
            <w:pPr>
              <w:pStyle w:val="13"/>
            </w:pPr>
            <w:r>
              <w:t>25.41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16.94</w:t>
            </w:r>
          </w:p>
        </w:tc>
        <w:tc>
          <w:tcPr>
            <w:tcW w:w="1134" w:type="dxa"/>
            <w:vAlign w:val="center"/>
          </w:tcPr>
          <w:p>
            <w:pPr>
              <w:pStyle w:val="13"/>
            </w:pPr>
            <w:r>
              <w:t>16.94</w:t>
            </w:r>
          </w:p>
        </w:tc>
        <w:tc>
          <w:tcPr>
            <w:tcW w:w="1134" w:type="dxa"/>
            <w:vAlign w:val="center"/>
          </w:tcPr>
          <w:p>
            <w:pPr>
              <w:pStyle w:val="13"/>
            </w:pPr>
            <w:r>
              <w:t>16.94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8.47</w:t>
            </w:r>
          </w:p>
        </w:tc>
        <w:tc>
          <w:tcPr>
            <w:tcW w:w="1134" w:type="dxa"/>
            <w:vAlign w:val="center"/>
          </w:tcPr>
          <w:p>
            <w:pPr>
              <w:pStyle w:val="13"/>
            </w:pPr>
            <w:r>
              <w:t>8.47</w:t>
            </w:r>
          </w:p>
        </w:tc>
        <w:tc>
          <w:tcPr>
            <w:tcW w:w="1134" w:type="dxa"/>
            <w:vAlign w:val="center"/>
          </w:tcPr>
          <w:p>
            <w:pPr>
              <w:pStyle w:val="13"/>
            </w:pPr>
            <w:r>
              <w:t>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6991.59</w:t>
            </w:r>
          </w:p>
        </w:tc>
        <w:tc>
          <w:tcPr>
            <w:tcW w:w="1134" w:type="dxa"/>
            <w:vAlign w:val="center"/>
          </w:tcPr>
          <w:p>
            <w:pPr>
              <w:pStyle w:val="13"/>
            </w:pPr>
            <w:r>
              <w:t>6991.59</w:t>
            </w:r>
          </w:p>
        </w:tc>
        <w:tc>
          <w:tcPr>
            <w:tcW w:w="1134" w:type="dxa"/>
            <w:vAlign w:val="center"/>
          </w:tcPr>
          <w:p>
            <w:pPr>
              <w:pStyle w:val="13"/>
            </w:pPr>
            <w:r>
              <w:t>6991.59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4535.36</w:t>
            </w:r>
          </w:p>
        </w:tc>
        <w:tc>
          <w:tcPr>
            <w:tcW w:w="1134" w:type="dxa"/>
            <w:vAlign w:val="center"/>
          </w:tcPr>
          <w:p>
            <w:pPr>
              <w:pStyle w:val="13"/>
            </w:pPr>
            <w:r>
              <w:t>4535.36</w:t>
            </w:r>
          </w:p>
        </w:tc>
        <w:tc>
          <w:tcPr>
            <w:tcW w:w="1134" w:type="dxa"/>
            <w:vAlign w:val="center"/>
          </w:tcPr>
          <w:p>
            <w:pPr>
              <w:pStyle w:val="13"/>
            </w:pPr>
            <w:r>
              <w:t>4535.36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4527.00</w:t>
            </w:r>
          </w:p>
        </w:tc>
        <w:tc>
          <w:tcPr>
            <w:tcW w:w="1134" w:type="dxa"/>
            <w:vAlign w:val="center"/>
          </w:tcPr>
          <w:p>
            <w:pPr>
              <w:pStyle w:val="13"/>
            </w:pPr>
            <w:r>
              <w:t>4527.00</w:t>
            </w:r>
          </w:p>
        </w:tc>
        <w:tc>
          <w:tcPr>
            <w:tcW w:w="1134" w:type="dxa"/>
            <w:vAlign w:val="center"/>
          </w:tcPr>
          <w:p>
            <w:pPr>
              <w:pStyle w:val="13"/>
            </w:pPr>
            <w:r>
              <w:t>4527.00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226.23</w:t>
            </w:r>
          </w:p>
        </w:tc>
        <w:tc>
          <w:tcPr>
            <w:tcW w:w="1134" w:type="dxa"/>
            <w:vAlign w:val="center"/>
          </w:tcPr>
          <w:p>
            <w:pPr>
              <w:pStyle w:val="13"/>
            </w:pPr>
            <w:r>
              <w:t>226.23</w:t>
            </w:r>
          </w:p>
        </w:tc>
        <w:tc>
          <w:tcPr>
            <w:tcW w:w="1134" w:type="dxa"/>
            <w:vAlign w:val="center"/>
          </w:tcPr>
          <w:p>
            <w:pPr>
              <w:pStyle w:val="13"/>
            </w:pPr>
            <w:r>
              <w:t>226.23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215.23</w:t>
            </w:r>
          </w:p>
        </w:tc>
        <w:tc>
          <w:tcPr>
            <w:tcW w:w="1134" w:type="dxa"/>
            <w:vAlign w:val="center"/>
          </w:tcPr>
          <w:p>
            <w:pPr>
              <w:pStyle w:val="13"/>
            </w:pPr>
            <w:r>
              <w:t>215.23</w:t>
            </w:r>
          </w:p>
        </w:tc>
        <w:tc>
          <w:tcPr>
            <w:tcW w:w="1134" w:type="dxa"/>
            <w:vAlign w:val="center"/>
          </w:tcPr>
          <w:p>
            <w:pPr>
              <w:pStyle w:val="13"/>
            </w:pPr>
            <w:r>
              <w:t>215.23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2101504</w:t>
            </w:r>
          </w:p>
        </w:tc>
        <w:tc>
          <w:tcPr>
            <w:tcW w:w="1559" w:type="dxa"/>
            <w:vAlign w:val="center"/>
          </w:tcPr>
          <w:p>
            <w:pPr>
              <w:pStyle w:val="14"/>
            </w:pPr>
            <w:r>
              <w:t>信息化建设</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7034.70</w:t>
            </w:r>
          </w:p>
        </w:tc>
        <w:tc>
          <w:tcPr>
            <w:tcW w:w="1361" w:type="dxa"/>
            <w:vAlign w:val="center"/>
          </w:tcPr>
          <w:p>
            <w:pPr>
              <w:pStyle w:val="17"/>
            </w:pPr>
            <w:r>
              <w:t>261.70</w:t>
            </w:r>
          </w:p>
        </w:tc>
        <w:tc>
          <w:tcPr>
            <w:tcW w:w="1361" w:type="dxa"/>
            <w:vAlign w:val="center"/>
          </w:tcPr>
          <w:p>
            <w:pPr>
              <w:pStyle w:val="17"/>
            </w:pPr>
            <w:r>
              <w:t>6773.00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30.41</w:t>
            </w:r>
          </w:p>
        </w:tc>
        <w:tc>
          <w:tcPr>
            <w:tcW w:w="1361" w:type="dxa"/>
            <w:vAlign w:val="center"/>
          </w:tcPr>
          <w:p>
            <w:pPr>
              <w:pStyle w:val="13"/>
            </w:pPr>
            <w:r>
              <w:t>25.41</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25.41</w:t>
            </w:r>
          </w:p>
        </w:tc>
        <w:tc>
          <w:tcPr>
            <w:tcW w:w="1361" w:type="dxa"/>
            <w:vAlign w:val="center"/>
          </w:tcPr>
          <w:p>
            <w:pPr>
              <w:pStyle w:val="13"/>
            </w:pPr>
            <w:r>
              <w:t>25.41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16.94</w:t>
            </w:r>
          </w:p>
        </w:tc>
        <w:tc>
          <w:tcPr>
            <w:tcW w:w="1361" w:type="dxa"/>
            <w:vAlign w:val="center"/>
          </w:tcPr>
          <w:p>
            <w:pPr>
              <w:pStyle w:val="13"/>
            </w:pPr>
            <w:r>
              <w:t>16.94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8.47</w:t>
            </w:r>
          </w:p>
        </w:tc>
        <w:tc>
          <w:tcPr>
            <w:tcW w:w="1361" w:type="dxa"/>
            <w:vAlign w:val="center"/>
          </w:tcPr>
          <w:p>
            <w:pPr>
              <w:pStyle w:val="13"/>
            </w:pPr>
            <w:r>
              <w:t>8.47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6991.59</w:t>
            </w:r>
          </w:p>
        </w:tc>
        <w:tc>
          <w:tcPr>
            <w:tcW w:w="1361" w:type="dxa"/>
            <w:vAlign w:val="center"/>
          </w:tcPr>
          <w:p>
            <w:pPr>
              <w:pStyle w:val="13"/>
            </w:pPr>
            <w:r>
              <w:t>223.59</w:t>
            </w:r>
          </w:p>
        </w:tc>
        <w:tc>
          <w:tcPr>
            <w:tcW w:w="1361" w:type="dxa"/>
            <w:vAlign w:val="center"/>
          </w:tcPr>
          <w:p>
            <w:pPr>
              <w:pStyle w:val="13"/>
            </w:pPr>
            <w:r>
              <w:t>6768.00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4535.36</w:t>
            </w:r>
          </w:p>
        </w:tc>
        <w:tc>
          <w:tcPr>
            <w:tcW w:w="1361" w:type="dxa"/>
            <w:vAlign w:val="center"/>
          </w:tcPr>
          <w:p>
            <w:pPr>
              <w:pStyle w:val="13"/>
            </w:pPr>
            <w:r>
              <w:t>8.36</w:t>
            </w: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8.36</w:t>
            </w:r>
          </w:p>
        </w:tc>
        <w:tc>
          <w:tcPr>
            <w:tcW w:w="1361" w:type="dxa"/>
            <w:vAlign w:val="center"/>
          </w:tcPr>
          <w:p>
            <w:pPr>
              <w:pStyle w:val="13"/>
            </w:pPr>
            <w:r>
              <w:t>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226.23</w:t>
            </w:r>
          </w:p>
        </w:tc>
        <w:tc>
          <w:tcPr>
            <w:tcW w:w="1361" w:type="dxa"/>
            <w:vAlign w:val="center"/>
          </w:tcPr>
          <w:p>
            <w:pPr>
              <w:pStyle w:val="13"/>
            </w:pPr>
            <w:r>
              <w:t>215.23</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215.23</w:t>
            </w:r>
          </w:p>
        </w:tc>
        <w:tc>
          <w:tcPr>
            <w:tcW w:w="1361" w:type="dxa"/>
            <w:vAlign w:val="center"/>
          </w:tcPr>
          <w:p>
            <w:pPr>
              <w:pStyle w:val="13"/>
            </w:pPr>
            <w:r>
              <w:t>215.23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2101504</w:t>
            </w:r>
          </w:p>
        </w:tc>
        <w:tc>
          <w:tcPr>
            <w:tcW w:w="4535" w:type="dxa"/>
            <w:vAlign w:val="center"/>
          </w:tcPr>
          <w:p>
            <w:pPr>
              <w:pStyle w:val="14"/>
            </w:pPr>
            <w:r>
              <w:t>信息化建设</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7034.70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30.41</w:t>
            </w:r>
          </w:p>
        </w:tc>
        <w:tc>
          <w:tcPr>
            <w:tcW w:w="1474" w:type="dxa"/>
            <w:vAlign w:val="center"/>
          </w:tcPr>
          <w:p>
            <w:pPr>
              <w:pStyle w:val="13"/>
            </w:pPr>
            <w:r>
              <w:t>30.41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6991.59</w:t>
            </w:r>
          </w:p>
        </w:tc>
        <w:tc>
          <w:tcPr>
            <w:tcW w:w="1474" w:type="dxa"/>
            <w:vAlign w:val="center"/>
          </w:tcPr>
          <w:p>
            <w:pPr>
              <w:pStyle w:val="13"/>
            </w:pPr>
            <w:r>
              <w:t>6991.59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12.70</w:t>
            </w:r>
          </w:p>
        </w:tc>
        <w:tc>
          <w:tcPr>
            <w:tcW w:w="1474" w:type="dxa"/>
            <w:vAlign w:val="center"/>
          </w:tcPr>
          <w:p>
            <w:pPr>
              <w:pStyle w:val="13"/>
            </w:pPr>
            <w:r>
              <w:t>12.70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7034.70</w:t>
            </w:r>
          </w:p>
        </w:tc>
        <w:tc>
          <w:tcPr>
            <w:tcW w:w="3402" w:type="dxa"/>
            <w:vAlign w:val="center"/>
          </w:tcPr>
          <w:p>
            <w:pPr>
              <w:pStyle w:val="16"/>
            </w:pPr>
            <w:r>
              <w:t>本年支出合计</w:t>
            </w:r>
          </w:p>
        </w:tc>
        <w:tc>
          <w:tcPr>
            <w:tcW w:w="1474" w:type="dxa"/>
            <w:vAlign w:val="center"/>
          </w:tcPr>
          <w:p>
            <w:pPr>
              <w:pStyle w:val="17"/>
            </w:pPr>
            <w:r>
              <w:t>7034.70</w:t>
            </w:r>
          </w:p>
        </w:tc>
        <w:tc>
          <w:tcPr>
            <w:tcW w:w="1474" w:type="dxa"/>
            <w:vAlign w:val="center"/>
          </w:tcPr>
          <w:p>
            <w:pPr>
              <w:pStyle w:val="17"/>
            </w:pPr>
            <w:r>
              <w:t>7034.70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7034.70</w:t>
            </w:r>
          </w:p>
        </w:tc>
        <w:tc>
          <w:tcPr>
            <w:tcW w:w="3402" w:type="dxa"/>
            <w:vAlign w:val="center"/>
          </w:tcPr>
          <w:p>
            <w:pPr>
              <w:pStyle w:val="16"/>
            </w:pPr>
            <w:r>
              <w:t>支出总计</w:t>
            </w:r>
          </w:p>
        </w:tc>
        <w:tc>
          <w:tcPr>
            <w:tcW w:w="1474" w:type="dxa"/>
            <w:vAlign w:val="center"/>
          </w:tcPr>
          <w:p>
            <w:pPr>
              <w:pStyle w:val="17"/>
            </w:pPr>
            <w:r>
              <w:t>7034.70</w:t>
            </w:r>
          </w:p>
        </w:tc>
        <w:tc>
          <w:tcPr>
            <w:tcW w:w="1474" w:type="dxa"/>
            <w:vAlign w:val="center"/>
          </w:tcPr>
          <w:p>
            <w:pPr>
              <w:pStyle w:val="17"/>
            </w:pPr>
            <w:r>
              <w:t>7034.70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7034.70</w:t>
            </w:r>
          </w:p>
        </w:tc>
        <w:tc>
          <w:tcPr>
            <w:tcW w:w="2551" w:type="dxa"/>
            <w:vAlign w:val="center"/>
          </w:tcPr>
          <w:p>
            <w:pPr>
              <w:pStyle w:val="17"/>
            </w:pPr>
            <w:r>
              <w:t>261.70</w:t>
            </w:r>
          </w:p>
        </w:tc>
        <w:tc>
          <w:tcPr>
            <w:tcW w:w="2551" w:type="dxa"/>
            <w:vAlign w:val="center"/>
          </w:tcPr>
          <w:p>
            <w:pPr>
              <w:pStyle w:val="17"/>
            </w:pPr>
            <w:r>
              <w:t>6773.00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30.41</w:t>
            </w:r>
          </w:p>
        </w:tc>
        <w:tc>
          <w:tcPr>
            <w:tcW w:w="2551" w:type="dxa"/>
            <w:vAlign w:val="center"/>
          </w:tcPr>
          <w:p>
            <w:pPr>
              <w:pStyle w:val="13"/>
            </w:pPr>
            <w:r>
              <w:t>25.41</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25.41</w:t>
            </w:r>
          </w:p>
        </w:tc>
        <w:tc>
          <w:tcPr>
            <w:tcW w:w="2551" w:type="dxa"/>
            <w:vAlign w:val="center"/>
          </w:tcPr>
          <w:p>
            <w:pPr>
              <w:pStyle w:val="13"/>
            </w:pPr>
            <w:r>
              <w:t>25.41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16.94</w:t>
            </w:r>
          </w:p>
        </w:tc>
        <w:tc>
          <w:tcPr>
            <w:tcW w:w="2551" w:type="dxa"/>
            <w:vAlign w:val="center"/>
          </w:tcPr>
          <w:p>
            <w:pPr>
              <w:pStyle w:val="13"/>
            </w:pPr>
            <w:r>
              <w:t>16.94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8.47</w:t>
            </w:r>
          </w:p>
        </w:tc>
        <w:tc>
          <w:tcPr>
            <w:tcW w:w="2551" w:type="dxa"/>
            <w:vAlign w:val="center"/>
          </w:tcPr>
          <w:p>
            <w:pPr>
              <w:pStyle w:val="13"/>
            </w:pPr>
            <w:r>
              <w:t>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6991.59</w:t>
            </w:r>
          </w:p>
        </w:tc>
        <w:tc>
          <w:tcPr>
            <w:tcW w:w="2551" w:type="dxa"/>
            <w:vAlign w:val="center"/>
          </w:tcPr>
          <w:p>
            <w:pPr>
              <w:pStyle w:val="13"/>
            </w:pPr>
            <w:r>
              <w:t>223.59</w:t>
            </w:r>
          </w:p>
        </w:tc>
        <w:tc>
          <w:tcPr>
            <w:tcW w:w="2551" w:type="dxa"/>
            <w:vAlign w:val="center"/>
          </w:tcPr>
          <w:p>
            <w:pPr>
              <w:pStyle w:val="13"/>
            </w:pPr>
            <w:r>
              <w:t>6768.00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1610.00</w:t>
            </w:r>
          </w:p>
        </w:tc>
        <w:tc>
          <w:tcPr>
            <w:tcW w:w="2551" w:type="dxa"/>
            <w:vAlign w:val="center"/>
          </w:tcPr>
          <w:p>
            <w:pPr>
              <w:pStyle w:val="13"/>
            </w:pPr>
          </w:p>
        </w:tc>
        <w:tc>
          <w:tcPr>
            <w:tcW w:w="2551" w:type="dxa"/>
            <w:vAlign w:val="center"/>
          </w:tcPr>
          <w:p>
            <w:pPr>
              <w:pStyle w:val="13"/>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1610.00</w:t>
            </w:r>
          </w:p>
        </w:tc>
        <w:tc>
          <w:tcPr>
            <w:tcW w:w="2551" w:type="dxa"/>
            <w:vAlign w:val="center"/>
          </w:tcPr>
          <w:p>
            <w:pPr>
              <w:pStyle w:val="13"/>
            </w:pPr>
          </w:p>
        </w:tc>
        <w:tc>
          <w:tcPr>
            <w:tcW w:w="2551" w:type="dxa"/>
            <w:vAlign w:val="center"/>
          </w:tcPr>
          <w:p>
            <w:pPr>
              <w:pStyle w:val="13"/>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4535.36</w:t>
            </w:r>
          </w:p>
        </w:tc>
        <w:tc>
          <w:tcPr>
            <w:tcW w:w="2551" w:type="dxa"/>
            <w:vAlign w:val="center"/>
          </w:tcPr>
          <w:p>
            <w:pPr>
              <w:pStyle w:val="13"/>
            </w:pPr>
            <w:r>
              <w:t>8.36</w:t>
            </w:r>
          </w:p>
        </w:tc>
        <w:tc>
          <w:tcPr>
            <w:tcW w:w="2551" w:type="dxa"/>
            <w:vAlign w:val="center"/>
          </w:tcPr>
          <w:p>
            <w:pPr>
              <w:pStyle w:val="13"/>
            </w:pPr>
            <w:r>
              <w:t>4527.00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8.36</w:t>
            </w:r>
          </w:p>
        </w:tc>
        <w:tc>
          <w:tcPr>
            <w:tcW w:w="2551" w:type="dxa"/>
            <w:vAlign w:val="center"/>
          </w:tcPr>
          <w:p>
            <w:pPr>
              <w:pStyle w:val="13"/>
            </w:pPr>
            <w:r>
              <w:t>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4527.00</w:t>
            </w:r>
          </w:p>
        </w:tc>
        <w:tc>
          <w:tcPr>
            <w:tcW w:w="2551" w:type="dxa"/>
            <w:vAlign w:val="center"/>
          </w:tcPr>
          <w:p>
            <w:pPr>
              <w:pStyle w:val="13"/>
            </w:pPr>
          </w:p>
        </w:tc>
        <w:tc>
          <w:tcPr>
            <w:tcW w:w="2551" w:type="dxa"/>
            <w:vAlign w:val="center"/>
          </w:tcPr>
          <w:p>
            <w:pPr>
              <w:pStyle w:val="13"/>
            </w:pPr>
            <w:r>
              <w:t>4527.00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620.00</w:t>
            </w:r>
          </w:p>
        </w:tc>
        <w:tc>
          <w:tcPr>
            <w:tcW w:w="2551" w:type="dxa"/>
            <w:vAlign w:val="center"/>
          </w:tcPr>
          <w:p>
            <w:pPr>
              <w:pStyle w:val="13"/>
            </w:pPr>
          </w:p>
        </w:tc>
        <w:tc>
          <w:tcPr>
            <w:tcW w:w="2551"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620.00</w:t>
            </w:r>
          </w:p>
        </w:tc>
        <w:tc>
          <w:tcPr>
            <w:tcW w:w="2551" w:type="dxa"/>
            <w:vAlign w:val="center"/>
          </w:tcPr>
          <w:p>
            <w:pPr>
              <w:pStyle w:val="13"/>
            </w:pPr>
          </w:p>
        </w:tc>
        <w:tc>
          <w:tcPr>
            <w:tcW w:w="2551"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226.23</w:t>
            </w:r>
          </w:p>
        </w:tc>
        <w:tc>
          <w:tcPr>
            <w:tcW w:w="2551" w:type="dxa"/>
            <w:vAlign w:val="center"/>
          </w:tcPr>
          <w:p>
            <w:pPr>
              <w:pStyle w:val="13"/>
            </w:pPr>
            <w:r>
              <w:t>215.23</w:t>
            </w: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215.23</w:t>
            </w:r>
          </w:p>
        </w:tc>
        <w:tc>
          <w:tcPr>
            <w:tcW w:w="2551" w:type="dxa"/>
            <w:vAlign w:val="center"/>
          </w:tcPr>
          <w:p>
            <w:pPr>
              <w:pStyle w:val="13"/>
            </w:pPr>
            <w:r>
              <w:t>215.23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2101504</w:t>
            </w:r>
          </w:p>
        </w:tc>
        <w:tc>
          <w:tcPr>
            <w:tcW w:w="4535" w:type="dxa"/>
            <w:vAlign w:val="center"/>
          </w:tcPr>
          <w:p>
            <w:pPr>
              <w:pStyle w:val="14"/>
            </w:pPr>
            <w:r>
              <w:t>信息化建设</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261.70</w:t>
            </w:r>
          </w:p>
        </w:tc>
        <w:tc>
          <w:tcPr>
            <w:tcW w:w="2551" w:type="dxa"/>
            <w:vAlign w:val="center"/>
          </w:tcPr>
          <w:p>
            <w:pPr>
              <w:pStyle w:val="17"/>
            </w:pPr>
            <w:r>
              <w:t>180.50</w:t>
            </w:r>
          </w:p>
        </w:tc>
        <w:tc>
          <w:tcPr>
            <w:tcW w:w="2551" w:type="dxa"/>
            <w:vAlign w:val="center"/>
          </w:tcPr>
          <w:p>
            <w:pPr>
              <w:pStyle w:val="17"/>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180.50</w:t>
            </w:r>
          </w:p>
        </w:tc>
        <w:tc>
          <w:tcPr>
            <w:tcW w:w="2551" w:type="dxa"/>
            <w:vAlign w:val="center"/>
          </w:tcPr>
          <w:p>
            <w:pPr>
              <w:pStyle w:val="13"/>
            </w:pPr>
            <w:r>
              <w:t>180.50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105.87</w:t>
            </w:r>
          </w:p>
        </w:tc>
        <w:tc>
          <w:tcPr>
            <w:tcW w:w="2551" w:type="dxa"/>
            <w:vAlign w:val="center"/>
          </w:tcPr>
          <w:p>
            <w:pPr>
              <w:pStyle w:val="13"/>
            </w:pPr>
            <w:r>
              <w:t>105.87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8.14</w:t>
            </w:r>
          </w:p>
        </w:tc>
        <w:tc>
          <w:tcPr>
            <w:tcW w:w="2551" w:type="dxa"/>
            <w:vAlign w:val="center"/>
          </w:tcPr>
          <w:p>
            <w:pPr>
              <w:pStyle w:val="13"/>
            </w:pPr>
            <w:r>
              <w:t>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1.72</w:t>
            </w:r>
          </w:p>
        </w:tc>
        <w:tc>
          <w:tcPr>
            <w:tcW w:w="2551" w:type="dxa"/>
            <w:vAlign w:val="center"/>
          </w:tcPr>
          <w:p>
            <w:pPr>
              <w:pStyle w:val="13"/>
            </w:pPr>
            <w:r>
              <w:t>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16.94</w:t>
            </w:r>
          </w:p>
        </w:tc>
        <w:tc>
          <w:tcPr>
            <w:tcW w:w="2551" w:type="dxa"/>
            <w:vAlign w:val="center"/>
          </w:tcPr>
          <w:p>
            <w:pPr>
              <w:pStyle w:val="13"/>
            </w:pPr>
            <w:r>
              <w:t>16.94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8.47</w:t>
            </w:r>
          </w:p>
        </w:tc>
        <w:tc>
          <w:tcPr>
            <w:tcW w:w="2551" w:type="dxa"/>
            <w:vAlign w:val="center"/>
          </w:tcPr>
          <w:p>
            <w:pPr>
              <w:pStyle w:val="13"/>
            </w:pPr>
            <w:r>
              <w:t>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8.36</w:t>
            </w:r>
          </w:p>
        </w:tc>
        <w:tc>
          <w:tcPr>
            <w:tcW w:w="2551" w:type="dxa"/>
            <w:vAlign w:val="center"/>
          </w:tcPr>
          <w:p>
            <w:pPr>
              <w:pStyle w:val="13"/>
            </w:pPr>
            <w:r>
              <w:t>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11.40</w:t>
            </w:r>
          </w:p>
        </w:tc>
        <w:tc>
          <w:tcPr>
            <w:tcW w:w="2551" w:type="dxa"/>
            <w:vAlign w:val="center"/>
          </w:tcPr>
          <w:p>
            <w:pPr>
              <w:pStyle w:val="13"/>
            </w:pPr>
            <w:r>
              <w:t>11.40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81.20</w:t>
            </w:r>
          </w:p>
        </w:tc>
        <w:tc>
          <w:tcPr>
            <w:tcW w:w="2551" w:type="dxa"/>
            <w:vAlign w:val="center"/>
          </w:tcPr>
          <w:p>
            <w:pPr>
              <w:pStyle w:val="13"/>
            </w:pPr>
          </w:p>
        </w:tc>
        <w:tc>
          <w:tcPr>
            <w:tcW w:w="2551" w:type="dxa"/>
            <w:vAlign w:val="center"/>
          </w:tcPr>
          <w:p>
            <w:pPr>
              <w:pStyle w:val="13"/>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320成安县医疗保障局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成安县医疗保障局2022年部门预算信息公开情况说明</w:t>
      </w:r>
    </w:p>
    <w:p>
      <w:pPr>
        <w:jc w:val="center"/>
      </w:pPr>
      <w:r>
        <w:rPr>
          <w:rFonts w:ascii="方正小标宋_GBK" w:hAnsi="方正小标宋_GBK" w:eastAsia="方正小标宋_GBK" w:cs="方正小标宋_GBK"/>
          <w:color w:val="000000"/>
          <w:sz w:val="44"/>
        </w:rPr>
        <w:t>成安县医疗保障局2022年部门预算信息公开情况说明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预算法》、《地方预决算公开操作规程》和《关于进一步推进预算公开工作的实施意见》规定，现将成安县医疗保障局2022年部门预算公开如下：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before="100" w:beforeAutospacing="1" w:after="100" w:afterAutospacing="1" w:line="600" w:lineRule="exac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成安县医疗保障局，预算编码是320001。主要职能如下：</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（一）拟订全县城镇职工和城乡居民医疗保险、生育保险、医疗救助等医疗保障规范性文件及制度、规划和标准。</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（二）建立健全医疗保障基金安全防控机制，组织建设智能监控平台，推进医疗保障基金支付方式改革，并组织实施。</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（三）落实城镇职工、城乡居民参保筹资和保障待遇政策，统筹城乡医疗保障政策标准，建立健全与筹资水平相适应的待遇调整机制。拟订长期护理保险制度方案及标准并组织实施。</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（四）负责组织实施全省城乡统一的药品、医用耗材、医疗服务项目、医疗服务设施等医保目录和支付标准。</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医用耗材和医疗服务价格政策执行情况。建立完善药品、医用耗材和医疗服务价格监测信息发布制度。</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（六）组织实施全县药品、医用耗材的采购。</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（七）签订全县定点医药机构协议并组织实施。建立健全医疗保障信用评价体系和信息披露制度，监督管理定点医疗机构的医疗服务行为、医疗费用和医药价格，依法查处医疗保障领域违法违规行为。</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（八）负责医疗保障经办管理、公共服务体系和信息化建设。落实医疗保障关系转移接续制度。</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（九）落实省、市公务员身心健康医疗保障制度和特殊人群的医疗保障待遇。</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（十）承办县委、县政府交办的其他事项。</w:t>
      </w:r>
    </w:p>
    <w:p>
      <w:pPr>
        <w:spacing w:line="600" w:lineRule="exact"/>
        <w:ind w:left="480" w:leftChars="200" w:firstLine="480" w:firstLineChars="150"/>
        <w:rPr>
          <w:rFonts w:ascii="仿宋" w:hAnsi="仿宋" w:eastAsia="仿宋" w:cs="仿宋"/>
          <w:bCs/>
          <w:sz w:val="32"/>
          <w:szCs w:val="32"/>
        </w:rPr>
      </w:pPr>
      <w:r>
        <w:rPr>
          <w:rFonts w:hint="eastAsia" w:ascii="仿宋" w:hAnsi="仿宋" w:eastAsia="仿宋" w:cs="仿宋"/>
          <w:bCs/>
          <w:sz w:val="32"/>
          <w:szCs w:val="32"/>
        </w:rPr>
        <w:t>（一）办公室</w:t>
      </w:r>
    </w:p>
    <w:p>
      <w:pPr>
        <w:spacing w:line="600" w:lineRule="exact"/>
        <w:rPr>
          <w:rFonts w:ascii="仿宋" w:hAnsi="仿宋" w:eastAsia="仿宋" w:cs="仿宋"/>
          <w:bCs/>
          <w:sz w:val="32"/>
          <w:szCs w:val="32"/>
        </w:rPr>
      </w:pPr>
      <w:r>
        <w:rPr>
          <w:rFonts w:hint="eastAsia" w:ascii="仿宋" w:hAnsi="仿宋" w:eastAsia="仿宋" w:cs="仿宋"/>
          <w:bCs/>
          <w:sz w:val="32"/>
          <w:szCs w:val="32"/>
        </w:rPr>
        <w:t xml:space="preserve">     主要负责：负责机关日常运转，承担机关公文审核、文电、机要、督办、保密、信访、档案、值班、标准化建设、安全保卫和局内应急管理。组织办理人大代表建设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负责组织实施全省医保目录和支付标准。组织推进医保支付方式改革。签订定点医药机构医保协议并组织实施。落实省市公务员身心健康医疗保障制度和特殊人群的医疗保障待遇。</w:t>
      </w:r>
    </w:p>
    <w:p>
      <w:pPr>
        <w:numPr>
          <w:ilvl w:val="0"/>
          <w:numId w:val="1"/>
        </w:numPr>
        <w:tabs>
          <w:tab w:val="left" w:pos="1235"/>
        </w:tabs>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基金和医药监管股（成安县药品医用耗材招标采购办公室）</w:t>
      </w:r>
    </w:p>
    <w:p>
      <w:pPr>
        <w:spacing w:line="600" w:lineRule="exact"/>
        <w:ind w:firstLine="640"/>
        <w:rPr>
          <w:rFonts w:ascii="仿宋" w:hAnsi="仿宋" w:eastAsia="仿宋" w:cs="仿宋"/>
          <w:bCs/>
          <w:sz w:val="32"/>
          <w:szCs w:val="32"/>
        </w:rPr>
      </w:pPr>
      <w:r>
        <w:rPr>
          <w:rFonts w:hint="eastAsia" w:ascii="仿宋" w:hAnsi="仿宋" w:eastAsia="仿宋" w:cs="仿宋"/>
          <w:bCs/>
          <w:sz w:val="32"/>
          <w:szCs w:val="32"/>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pPr>
        <w:spacing w:line="600" w:lineRule="exact"/>
        <w:ind w:firstLine="640"/>
        <w:rPr>
          <w:rFonts w:ascii="仿宋" w:hAnsi="仿宋" w:eastAsia="仿宋" w:cs="仿宋"/>
          <w:bCs/>
          <w:sz w:val="32"/>
          <w:szCs w:val="32"/>
        </w:rPr>
      </w:pPr>
      <w:r>
        <w:rPr>
          <w:rFonts w:hint="eastAsia" w:ascii="仿宋" w:hAnsi="仿宋" w:eastAsia="仿宋" w:cs="仿宋"/>
          <w:bCs/>
          <w:sz w:val="32"/>
          <w:szCs w:val="32"/>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pPr>
        <w:spacing w:line="600" w:lineRule="exact"/>
        <w:ind w:firstLine="627" w:firstLineChars="196"/>
        <w:rPr>
          <w:rFonts w:ascii="楷体" w:hAnsi="楷体" w:eastAsia="楷体"/>
          <w:bCs/>
          <w:sz w:val="32"/>
          <w:szCs w:val="32"/>
        </w:rPr>
      </w:pPr>
      <w:r>
        <w:rPr>
          <w:rFonts w:hint="eastAsia" w:ascii="楷体" w:hAnsi="楷体" w:eastAsia="楷体" w:cs="宋体"/>
          <w:bCs/>
          <w:sz w:val="32"/>
          <w:szCs w:val="32"/>
        </w:rPr>
        <w:t>人员编制和领导职数：</w:t>
      </w:r>
      <w:r>
        <w:rPr>
          <w:rFonts w:hint="eastAsia" w:ascii="仿宋" w:hAnsi="仿宋" w:eastAsia="仿宋" w:cs="仿宋"/>
          <w:bCs/>
          <w:sz w:val="32"/>
          <w:szCs w:val="32"/>
        </w:rPr>
        <w:t>人员编制7名，其中股级领导职数2个，科级领导职数设置另行明确。</w:t>
      </w:r>
    </w:p>
    <w:p>
      <w:pPr>
        <w:ind w:firstLine="640"/>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成安县医疗保障局机关本级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年预算收入</w:t>
      </w:r>
      <w:r>
        <w:rPr>
          <w:rFonts w:hint="eastAsia" w:ascii="仿宋" w:hAnsi="仿宋" w:eastAsia="仿宋"/>
          <w:sz w:val="32"/>
          <w:szCs w:val="32"/>
          <w:lang w:eastAsia="zh-CN"/>
        </w:rPr>
        <w:t>7034.7</w:t>
      </w:r>
      <w:r>
        <w:rPr>
          <w:rFonts w:hint="eastAsia" w:ascii="仿宋" w:hAnsi="仿宋" w:eastAsia="仿宋"/>
          <w:sz w:val="32"/>
          <w:szCs w:val="32"/>
        </w:rPr>
        <w:t>万元，其中：一般公共预算收入</w:t>
      </w:r>
      <w:r>
        <w:rPr>
          <w:rFonts w:hint="eastAsia" w:ascii="仿宋" w:hAnsi="仿宋" w:eastAsia="仿宋"/>
          <w:sz w:val="32"/>
          <w:szCs w:val="32"/>
          <w:lang w:eastAsia="zh-CN"/>
        </w:rPr>
        <w:t>7034.7</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万元，国有资本经营收入</w:t>
      </w:r>
      <w:r>
        <w:rPr>
          <w:rFonts w:ascii="仿宋" w:hAnsi="仿宋" w:eastAsia="仿宋"/>
          <w:sz w:val="32"/>
          <w:szCs w:val="32"/>
        </w:rPr>
        <w:t>0</w:t>
      </w:r>
      <w:r>
        <w:rPr>
          <w:rFonts w:hint="eastAsia" w:ascii="仿宋" w:hAnsi="仿宋" w:eastAsia="仿宋"/>
          <w:sz w:val="32"/>
          <w:szCs w:val="32"/>
        </w:rPr>
        <w:t>万元，事业收入</w:t>
      </w:r>
      <w:r>
        <w:rPr>
          <w:rFonts w:ascii="仿宋" w:hAnsi="仿宋" w:eastAsia="仿宋"/>
          <w:sz w:val="32"/>
          <w:szCs w:val="32"/>
        </w:rPr>
        <w:t>0</w:t>
      </w:r>
      <w:r>
        <w:rPr>
          <w:rFonts w:hint="eastAsia" w:ascii="仿宋" w:hAnsi="仿宋" w:eastAsia="仿宋"/>
          <w:sz w:val="32"/>
          <w:szCs w:val="32"/>
        </w:rPr>
        <w:t>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年支出预算</w:t>
      </w:r>
      <w:r>
        <w:rPr>
          <w:rFonts w:hint="eastAsia" w:ascii="仿宋" w:hAnsi="仿宋" w:eastAsia="仿宋"/>
          <w:sz w:val="32"/>
          <w:szCs w:val="32"/>
          <w:lang w:eastAsia="zh-CN"/>
        </w:rPr>
        <w:t>7034.7</w:t>
      </w:r>
      <w:r>
        <w:rPr>
          <w:rFonts w:hint="eastAsia" w:ascii="仿宋" w:hAnsi="仿宋" w:eastAsia="仿宋"/>
          <w:sz w:val="32"/>
          <w:szCs w:val="32"/>
        </w:rPr>
        <w:t>万元，其中基本支出</w:t>
      </w:r>
      <w:r>
        <w:rPr>
          <w:rFonts w:hint="eastAsia" w:ascii="仿宋" w:hAnsi="仿宋" w:eastAsia="仿宋"/>
          <w:sz w:val="32"/>
          <w:szCs w:val="32"/>
          <w:lang w:eastAsia="zh-CN"/>
        </w:rPr>
        <w:t>261.7</w:t>
      </w:r>
      <w:r>
        <w:rPr>
          <w:rFonts w:hint="eastAsia" w:ascii="仿宋" w:hAnsi="仿宋" w:eastAsia="仿宋"/>
          <w:sz w:val="32"/>
          <w:szCs w:val="32"/>
        </w:rPr>
        <w:t>万元，包括人员经费</w:t>
      </w:r>
      <w:r>
        <w:rPr>
          <w:rFonts w:hint="eastAsia" w:ascii="仿宋" w:hAnsi="仿宋" w:eastAsia="仿宋"/>
          <w:sz w:val="32"/>
          <w:szCs w:val="32"/>
          <w:lang w:eastAsia="zh-CN"/>
        </w:rPr>
        <w:t>180.5</w:t>
      </w:r>
      <w:r>
        <w:rPr>
          <w:rFonts w:hint="eastAsia" w:ascii="仿宋" w:hAnsi="仿宋" w:eastAsia="仿宋"/>
          <w:sz w:val="32"/>
          <w:szCs w:val="32"/>
        </w:rPr>
        <w:t>万元和日常公用经费</w:t>
      </w:r>
      <w:r>
        <w:rPr>
          <w:rFonts w:hint="eastAsia" w:ascii="仿宋" w:hAnsi="仿宋" w:eastAsia="仿宋"/>
          <w:sz w:val="32"/>
          <w:szCs w:val="32"/>
          <w:lang w:eastAsia="zh-CN"/>
        </w:rPr>
        <w:t>81.2</w:t>
      </w:r>
      <w:r>
        <w:rPr>
          <w:rFonts w:hint="eastAsia" w:ascii="仿宋" w:hAnsi="仿宋" w:eastAsia="仿宋"/>
          <w:sz w:val="32"/>
          <w:szCs w:val="32"/>
        </w:rPr>
        <w:t>万元。</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pStyle w:val="20"/>
      </w:pPr>
      <w:r>
        <w:rPr>
          <w:rFonts w:hint="eastAsia" w:ascii="仿宋" w:hAnsi="仿宋" w:eastAsia="仿宋"/>
          <w:sz w:val="32"/>
          <w:szCs w:val="32"/>
          <w:lang w:eastAsia="zh-CN"/>
        </w:rPr>
        <w:t>2022</w:t>
      </w:r>
      <w:r>
        <w:rPr>
          <w:rFonts w:hint="eastAsia" w:ascii="仿宋" w:hAnsi="仿宋" w:eastAsia="仿宋"/>
          <w:sz w:val="32"/>
          <w:szCs w:val="32"/>
        </w:rPr>
        <w:t>年预算收支安排</w:t>
      </w:r>
      <w:r>
        <w:rPr>
          <w:rFonts w:hint="eastAsia" w:ascii="仿宋" w:hAnsi="仿宋" w:eastAsia="仿宋"/>
          <w:sz w:val="32"/>
          <w:szCs w:val="32"/>
          <w:lang w:eastAsia="zh-CN"/>
        </w:rPr>
        <w:t>7034.7</w:t>
      </w:r>
      <w:r>
        <w:rPr>
          <w:rFonts w:hint="eastAsia" w:ascii="仿宋" w:hAnsi="仿宋" w:eastAsia="仿宋"/>
          <w:sz w:val="32"/>
          <w:szCs w:val="32"/>
        </w:rPr>
        <w:t>万元，与</w:t>
      </w:r>
      <w:r>
        <w:rPr>
          <w:rFonts w:hint="eastAsia" w:ascii="仿宋" w:hAnsi="仿宋" w:eastAsia="仿宋"/>
          <w:sz w:val="32"/>
          <w:szCs w:val="32"/>
          <w:lang w:eastAsia="zh-CN"/>
        </w:rPr>
        <w:t>2021</w:t>
      </w:r>
      <w:r>
        <w:rPr>
          <w:rFonts w:ascii="仿宋" w:hAnsi="仿宋" w:eastAsia="仿宋"/>
          <w:sz w:val="32"/>
          <w:szCs w:val="32"/>
        </w:rPr>
        <w:t>年</w:t>
      </w:r>
      <w:r>
        <w:rPr>
          <w:rFonts w:hint="eastAsia" w:ascii="仿宋" w:hAnsi="仿宋" w:eastAsia="仿宋"/>
          <w:sz w:val="32"/>
          <w:szCs w:val="32"/>
        </w:rPr>
        <w:t>预算收支5274.59万元相比增加</w:t>
      </w:r>
      <w:r>
        <w:rPr>
          <w:rFonts w:hint="eastAsia" w:ascii="仿宋" w:hAnsi="仿宋" w:eastAsia="仿宋"/>
          <w:sz w:val="32"/>
          <w:szCs w:val="32"/>
          <w:lang w:eastAsia="zh-CN"/>
        </w:rPr>
        <w:t>1760.11</w:t>
      </w:r>
      <w:r>
        <w:rPr>
          <w:rFonts w:hint="eastAsia" w:ascii="仿宋" w:hAnsi="仿宋" w:eastAsia="仿宋"/>
          <w:sz w:val="32"/>
          <w:szCs w:val="32"/>
        </w:rPr>
        <w:t>万元，因机构改革职能划分至我局</w:t>
      </w:r>
      <w:r>
        <w:rPr>
          <w:rFonts w:ascii="仿宋" w:hAnsi="仿宋" w:eastAsia="仿宋"/>
          <w:sz w:val="32"/>
          <w:szCs w:val="32"/>
        </w:rPr>
        <w:t>，</w:t>
      </w:r>
      <w:r>
        <w:rPr>
          <w:rFonts w:hint="eastAsia" w:ascii="仿宋" w:hAnsi="仿宋" w:eastAsia="仿宋"/>
          <w:sz w:val="32"/>
          <w:szCs w:val="32"/>
        </w:rPr>
        <w:t>主要是财政对医保基金补贴增加</w:t>
      </w:r>
      <w:r>
        <w:rPr>
          <w:rFonts w:hint="eastAsia" w:ascii="仿宋" w:hAnsi="仿宋" w:eastAsia="仿宋"/>
          <w:sz w:val="32"/>
          <w:szCs w:val="32"/>
          <w:lang w:eastAsia="zh-CN"/>
        </w:rPr>
        <w:t>,上解疫苗接种等费用支出增加</w:t>
      </w:r>
      <w:r>
        <w:rPr>
          <w:rFonts w:ascii="仿宋" w:hAnsi="仿宋" w:eastAsia="仿宋"/>
          <w:sz w:val="32"/>
          <w:szCs w:val="32"/>
        </w:rPr>
        <w:t>。</w:t>
      </w: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640" w:firstLineChars="200"/>
        <w:rPr>
          <w:rFonts w:ascii="黑体" w:hAnsi="黑体" w:eastAsia="黑体" w:cs="黑体"/>
          <w:color w:val="000000"/>
          <w:sz w:val="32"/>
        </w:rPr>
      </w:pPr>
      <w:r>
        <w:rPr>
          <w:rFonts w:hint="eastAsia" w:ascii="仿宋" w:hAnsi="仿宋" w:eastAsia="仿宋"/>
          <w:sz w:val="32"/>
          <w:szCs w:val="32"/>
        </w:rPr>
        <w:t>机关运行经费共计安排</w:t>
      </w:r>
      <w:r>
        <w:rPr>
          <w:rFonts w:hint="eastAsia" w:ascii="仿宋" w:hAnsi="仿宋" w:eastAsia="仿宋"/>
          <w:sz w:val="32"/>
          <w:szCs w:val="32"/>
          <w:lang w:eastAsia="zh-CN"/>
        </w:rPr>
        <w:t>81.2</w:t>
      </w:r>
      <w:r>
        <w:rPr>
          <w:rFonts w:hint="eastAsia" w:ascii="仿宋" w:hAnsi="仿宋" w:eastAsia="仿宋"/>
          <w:sz w:val="32"/>
          <w:szCs w:val="32"/>
        </w:rPr>
        <w:t>万元，主要用于办公区的日常维修、办公用房水电费、邮电费、办公用房物业管理费等日常运行支出。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800" w:firstLineChars="250"/>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年，我单位“三公”经费预算安排</w:t>
      </w:r>
      <w:r>
        <w:rPr>
          <w:rFonts w:hint="eastAsia" w:ascii="仿宋" w:hAnsi="仿宋" w:eastAsia="仿宋"/>
          <w:sz w:val="32"/>
          <w:szCs w:val="32"/>
          <w:lang w:eastAsia="zh-CN"/>
        </w:rPr>
        <w:t>4</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hint="eastAsia" w:ascii="仿宋" w:hAnsi="仿宋" w:eastAsia="仿宋"/>
          <w:sz w:val="32"/>
          <w:szCs w:val="32"/>
          <w:lang w:eastAsia="zh-CN"/>
        </w:rPr>
        <w:t>4</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；公务接待费0万元。</w:t>
      </w:r>
    </w:p>
    <w:p>
      <w:pPr>
        <w:spacing w:line="360" w:lineRule="auto"/>
        <w:ind w:firstLine="800" w:firstLineChars="250"/>
        <w:rPr>
          <w:rFonts w:ascii="仿宋_GB2312" w:eastAsia="仿宋" w:cs="仿宋_GB2312"/>
          <w:sz w:val="32"/>
          <w:szCs w:val="32"/>
        </w:rPr>
      </w:pPr>
      <w:r>
        <w:rPr>
          <w:rFonts w:hint="eastAsia" w:ascii="仿宋" w:hAnsi="仿宋" w:eastAsia="仿宋"/>
          <w:sz w:val="32"/>
          <w:szCs w:val="32"/>
        </w:rPr>
        <w:t>与</w:t>
      </w:r>
      <w:r>
        <w:rPr>
          <w:rFonts w:hint="eastAsia" w:ascii="仿宋" w:hAnsi="仿宋" w:eastAsia="仿宋"/>
          <w:sz w:val="32"/>
          <w:szCs w:val="32"/>
          <w:lang w:eastAsia="zh-CN"/>
        </w:rPr>
        <w:t>2021</w:t>
      </w:r>
      <w:r>
        <w:rPr>
          <w:rFonts w:hint="eastAsia" w:ascii="仿宋" w:hAnsi="仿宋" w:eastAsia="仿宋"/>
          <w:sz w:val="32"/>
          <w:szCs w:val="32"/>
        </w:rPr>
        <w:t>年相比，严格执行公车制度管理制度，进行节能减排，</w:t>
      </w:r>
      <w:r>
        <w:rPr>
          <w:rFonts w:hint="eastAsia" w:ascii="仿宋" w:hAnsi="仿宋" w:eastAsia="仿宋"/>
          <w:sz w:val="32"/>
          <w:szCs w:val="32"/>
          <w:lang w:eastAsia="zh-CN"/>
        </w:rPr>
        <w:t>由于我单位新成立基金监察大队，下乡现场监察频率增加，</w:t>
      </w:r>
      <w:r>
        <w:rPr>
          <w:rFonts w:hint="eastAsia" w:ascii="仿宋" w:hAnsi="仿宋" w:eastAsia="仿宋"/>
          <w:sz w:val="32"/>
          <w:szCs w:val="32"/>
        </w:rPr>
        <w:t>公务用车运行费</w:t>
      </w:r>
      <w:r>
        <w:rPr>
          <w:rFonts w:hint="eastAsia" w:ascii="仿宋" w:hAnsi="仿宋" w:eastAsia="仿宋"/>
          <w:sz w:val="32"/>
          <w:szCs w:val="32"/>
          <w:lang w:eastAsia="zh-CN"/>
        </w:rPr>
        <w:t>上升</w:t>
      </w:r>
      <w:r>
        <w:rPr>
          <w:rFonts w:hint="eastAsia" w:ascii="仿宋" w:hAnsi="仿宋" w:eastAsia="仿宋"/>
          <w:sz w:val="32"/>
          <w:szCs w:val="32"/>
        </w:rPr>
        <w:t>了</w:t>
      </w:r>
      <w:r>
        <w:rPr>
          <w:rFonts w:hint="eastAsia" w:ascii="仿宋" w:hAnsi="仿宋" w:eastAsia="仿宋"/>
          <w:sz w:val="32"/>
          <w:szCs w:val="32"/>
          <w:lang w:eastAsia="zh-CN"/>
        </w:rPr>
        <w:t>14.28</w:t>
      </w:r>
      <w:r>
        <w:rPr>
          <w:rFonts w:hint="eastAsia" w:ascii="仿宋" w:hAnsi="仿宋" w:eastAsia="仿宋"/>
          <w:sz w:val="32"/>
          <w:szCs w:val="32"/>
        </w:rPr>
        <w:t>%。</w:t>
      </w:r>
      <w:r>
        <w:rPr>
          <w:rFonts w:hint="eastAsia" w:ascii="仿宋" w:hAnsi="仿宋" w:eastAsia="仿宋"/>
          <w:sz w:val="32"/>
          <w:szCs w:val="32"/>
          <w:lang w:eastAsia="zh-CN"/>
        </w:rPr>
        <w:t>2021</w:t>
      </w:r>
      <w:r>
        <w:rPr>
          <w:rFonts w:hint="eastAsia" w:ascii="仿宋" w:hAnsi="仿宋" w:eastAsia="仿宋"/>
          <w:sz w:val="32"/>
          <w:szCs w:val="32"/>
        </w:rPr>
        <w:t>年，我单位“三公”经费预算安排</w:t>
      </w:r>
      <w:r>
        <w:rPr>
          <w:rFonts w:hint="eastAsia" w:ascii="仿宋" w:hAnsi="仿宋" w:eastAsia="仿宋"/>
          <w:sz w:val="32"/>
          <w:szCs w:val="32"/>
          <w:lang w:eastAsia="zh-CN"/>
        </w:rPr>
        <w:t>3.5</w:t>
      </w:r>
      <w:r>
        <w:rPr>
          <w:rFonts w:hint="eastAsia" w:ascii="仿宋" w:hAnsi="仿宋" w:eastAsia="仿宋"/>
          <w:sz w:val="32"/>
          <w:szCs w:val="32"/>
        </w:rPr>
        <w:t>万元，</w:t>
      </w:r>
      <w:r>
        <w:rPr>
          <w:rFonts w:hint="eastAsia" w:ascii="仿宋" w:hAnsi="仿宋" w:eastAsia="仿宋"/>
          <w:sz w:val="32"/>
          <w:szCs w:val="32"/>
          <w:lang w:eastAsia="zh-CN"/>
        </w:rPr>
        <w:t>同比上升</w:t>
      </w:r>
      <w:r>
        <w:rPr>
          <w:rFonts w:hint="eastAsia" w:ascii="仿宋" w:hAnsi="仿宋" w:eastAsia="仿宋"/>
          <w:sz w:val="32"/>
          <w:szCs w:val="32"/>
        </w:rPr>
        <w:t>了</w:t>
      </w:r>
      <w:r>
        <w:rPr>
          <w:rFonts w:hint="eastAsia" w:ascii="仿宋" w:hAnsi="仿宋" w:eastAsia="仿宋"/>
          <w:sz w:val="32"/>
          <w:szCs w:val="32"/>
          <w:lang w:eastAsia="zh-CN"/>
        </w:rPr>
        <w:t>14.28</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hint="eastAsia" w:ascii="仿宋" w:hAnsi="仿宋" w:eastAsia="仿宋"/>
          <w:sz w:val="32"/>
          <w:szCs w:val="32"/>
          <w:lang w:eastAsia="zh-CN"/>
        </w:rPr>
        <w:t>3.5</w:t>
      </w:r>
      <w:r>
        <w:rPr>
          <w:rFonts w:hint="eastAsia" w:ascii="仿宋" w:hAnsi="仿宋" w:eastAsia="仿宋"/>
          <w:sz w:val="32"/>
          <w:szCs w:val="32"/>
        </w:rPr>
        <w:t>万元</w:t>
      </w:r>
      <w:r>
        <w:rPr>
          <w:rFonts w:hint="eastAsia" w:ascii="仿宋" w:hAnsi="仿宋" w:eastAsia="仿宋"/>
          <w:sz w:val="32"/>
          <w:szCs w:val="32"/>
          <w:lang w:eastAsia="zh-CN"/>
        </w:rPr>
        <w:t>同比上升14.28</w:t>
      </w:r>
      <w:r>
        <w:rPr>
          <w:rFonts w:hint="eastAsia" w:ascii="仿宋" w:hAnsi="仿宋" w:eastAsia="仿宋"/>
          <w:sz w:val="32"/>
          <w:szCs w:val="32"/>
        </w:rPr>
        <w:t>%（其中：公务用车购置费为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；公务接待费0万元。</w:t>
      </w:r>
    </w:p>
    <w:p>
      <w:pPr>
        <w:pStyle w:val="22"/>
      </w:pPr>
    </w:p>
    <w:p>
      <w:pPr>
        <w:spacing w:before="10" w:after="10" w:line="360" w:lineRule="auto"/>
        <w:ind w:firstLine="640"/>
        <w:outlineLvl w:val="2"/>
      </w:pPr>
      <w:bookmarkStart w:id="18" w:name="_GoBack"/>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ind w:firstLine="640" w:firstLineChars="200"/>
        <w:rPr>
          <w:rFonts w:ascii="仿宋_GB2312" w:hAnsi="黑体" w:eastAsia="仿宋_GB2312"/>
          <w:sz w:val="32"/>
          <w:szCs w:val="32"/>
        </w:rPr>
      </w:pPr>
      <w:r>
        <w:rPr>
          <w:rFonts w:hint="eastAsia" w:ascii="仿宋_GB2312" w:hAnsi="黑体" w:eastAsia="仿宋_GB2312"/>
          <w:sz w:val="32"/>
          <w:szCs w:val="32"/>
        </w:rPr>
        <w:t>认真贯彻</w:t>
      </w:r>
      <w:r>
        <w:rPr>
          <w:rFonts w:hint="eastAsia" w:ascii="仿宋_GB2312" w:hAnsi="黑体" w:eastAsia="仿宋_GB2312"/>
          <w:sz w:val="32"/>
          <w:szCs w:val="32"/>
          <w:lang w:eastAsia="zh-CN"/>
        </w:rPr>
        <w:t>落实</w:t>
      </w:r>
      <w:r>
        <w:rPr>
          <w:rFonts w:hint="eastAsia" w:ascii="仿宋_GB2312" w:hAnsi="黑体" w:eastAsia="仿宋_GB2312"/>
          <w:sz w:val="32"/>
          <w:szCs w:val="32"/>
        </w:rPr>
        <w:t>党的十九大精神，以习近平新时代中国特色社会主义思想为指导，全面贯彻落实市委市政府的工作部署以及全省、全市医疗保障工作会议精神，围绕维护医保基金安全，破解百姓“看病难”、“看病贵”难题，提供高水平服务、建设高素质队伍，构筑全市医疗保障“四梁八柱”工作框架。开展打击欺诈骗保系列专项活动，全面落实习近平总书记“决不能让医保基金成为新的‘唐僧肉’，任由骗取”的批示，守牢医保基金安全底线。创建医药品集中采购使用管控新机制。以改革创新为主题，实施创制性改革，办好为民实事，通过一系列改革，释放出更多的医保改革红利惠及百姓。</w:t>
      </w:r>
    </w:p>
    <w:p>
      <w:pPr>
        <w:ind w:firstLine="640" w:firstLineChars="200"/>
        <w:rPr>
          <w:rFonts w:ascii="仿宋_GB2312" w:hAnsi="黑体" w:eastAsia="仿宋_GB2312"/>
          <w:sz w:val="32"/>
          <w:szCs w:val="32"/>
        </w:rPr>
      </w:pPr>
      <w:r>
        <w:rPr>
          <w:rFonts w:hint="eastAsia" w:ascii="仿宋_GB2312" w:eastAsia="仿宋_GB2312"/>
          <w:sz w:val="32"/>
          <w:szCs w:val="32"/>
        </w:rPr>
        <w:t>按照上述总体要求，</w:t>
      </w:r>
      <w:r>
        <w:rPr>
          <w:rFonts w:hint="eastAsia" w:ascii="仿宋_GB2312" w:eastAsia="仿宋_GB2312"/>
          <w:sz w:val="32"/>
          <w:szCs w:val="32"/>
          <w:lang w:eastAsia="zh-CN"/>
        </w:rPr>
        <w:t>2022</w:t>
      </w:r>
      <w:r>
        <w:rPr>
          <w:rFonts w:hint="eastAsia" w:ascii="仿宋_GB2312" w:eastAsia="仿宋_GB2312"/>
          <w:sz w:val="32"/>
          <w:szCs w:val="32"/>
        </w:rPr>
        <w:t>年医疗保障部门</w:t>
      </w:r>
      <w:r>
        <w:rPr>
          <w:rFonts w:hint="eastAsia" w:ascii="仿宋_GB2312" w:hAnsi="黑体" w:eastAsia="仿宋_GB2312"/>
          <w:sz w:val="32"/>
          <w:szCs w:val="32"/>
        </w:rPr>
        <w:t>具体要抓好以下几个方面工作。</w:t>
      </w:r>
    </w:p>
    <w:p>
      <w:pPr>
        <w:ind w:firstLine="640" w:firstLineChars="200"/>
        <w:rPr>
          <w:rFonts w:ascii="仿宋_GB2312" w:hAnsi="黑体" w:eastAsia="仿宋_GB2312"/>
          <w:sz w:val="32"/>
          <w:szCs w:val="32"/>
        </w:rPr>
      </w:pPr>
    </w:p>
    <w:p>
      <w:pPr>
        <w:numPr>
          <w:ilvl w:val="0"/>
          <w:numId w:val="3"/>
        </w:numPr>
        <w:ind w:firstLine="560"/>
        <w:rPr>
          <w:rFonts w:ascii="仿宋" w:hAnsi="仿宋" w:eastAsia="仿宋"/>
          <w:sz w:val="32"/>
          <w:szCs w:val="32"/>
        </w:rPr>
      </w:pPr>
      <w:r>
        <w:rPr>
          <w:rFonts w:hint="eastAsia" w:ascii="仿宋" w:hAnsi="仿宋" w:eastAsia="仿宋"/>
          <w:sz w:val="32"/>
          <w:szCs w:val="32"/>
        </w:rPr>
        <w:t>做好医保基金监督管理工作，采取多渠道、多形式的工作方式，保持对违法套取医保基金行为的高压态势。</w:t>
      </w:r>
    </w:p>
    <w:p>
      <w:pPr>
        <w:numPr>
          <w:ilvl w:val="0"/>
          <w:numId w:val="3"/>
        </w:numPr>
        <w:ind w:firstLine="560"/>
        <w:rPr>
          <w:rFonts w:ascii="仿宋" w:hAnsi="仿宋" w:eastAsia="仿宋"/>
          <w:sz w:val="32"/>
          <w:szCs w:val="32"/>
        </w:rPr>
      </w:pPr>
      <w:r>
        <w:rPr>
          <w:rFonts w:hint="eastAsia" w:ascii="仿宋" w:hAnsi="仿宋" w:eastAsia="仿宋"/>
          <w:sz w:val="32"/>
          <w:szCs w:val="32"/>
        </w:rPr>
        <w:t>完善药品集中采购使用管控机制。</w:t>
      </w:r>
    </w:p>
    <w:p>
      <w:pPr>
        <w:pStyle w:val="23"/>
      </w:pPr>
      <w:r>
        <w:rPr>
          <w:rFonts w:hint="eastAsia" w:ascii="仿宋" w:hAnsi="仿宋" w:eastAsia="仿宋"/>
          <w:sz w:val="32"/>
          <w:szCs w:val="32"/>
        </w:rPr>
        <w:t>加强医保政策宣传，强化宣传队伍素质，确保宣传工作不留死角。</w:t>
      </w:r>
    </w:p>
    <w:p>
      <w:pPr>
        <w:spacing w:line="500" w:lineRule="exact"/>
        <w:ind w:firstLine="560"/>
      </w:pPr>
      <w:r>
        <w:rPr>
          <w:rFonts w:eastAsia="方正仿宋_GBK" w:cs="Times New Roman"/>
          <w:color w:val="000000"/>
          <w:sz w:val="28"/>
        </w:rPr>
        <w:t>（二）分项绩效目标</w:t>
      </w:r>
    </w:p>
    <w:p>
      <w:pPr>
        <w:numPr>
          <w:ilvl w:val="0"/>
          <w:numId w:val="4"/>
        </w:numPr>
        <w:ind w:firstLine="640" w:firstLineChars="200"/>
        <w:rPr>
          <w:rFonts w:ascii="仿宋_GB2312" w:eastAsia="仿宋_GB2312"/>
          <w:sz w:val="32"/>
          <w:szCs w:val="32"/>
        </w:rPr>
      </w:pPr>
      <w:r>
        <w:rPr>
          <w:rFonts w:hint="eastAsia" w:ascii="仿宋_GB2312" w:eastAsia="仿宋_GB2312"/>
          <w:sz w:val="32"/>
          <w:szCs w:val="32"/>
        </w:rPr>
        <w:t>医疗保障事务职责绩效目标：</w:t>
      </w:r>
      <w:r>
        <w:rPr>
          <w:rFonts w:hint="eastAsia" w:ascii="仿宋_GB2312" w:eastAsia="仿宋_GB2312"/>
          <w:sz w:val="32"/>
          <w:szCs w:val="32"/>
          <w:lang w:eastAsia="zh-CN"/>
        </w:rPr>
        <w:t>落实保障上级</w:t>
      </w:r>
      <w:r>
        <w:rPr>
          <w:rFonts w:hint="eastAsia" w:ascii="仿宋_GB2312" w:eastAsia="仿宋_GB2312"/>
          <w:sz w:val="32"/>
          <w:szCs w:val="32"/>
        </w:rPr>
        <w:t>城镇职工、城乡居民参保筹资和保障待遇政策</w:t>
      </w:r>
      <w:r>
        <w:rPr>
          <w:rFonts w:hint="eastAsia" w:ascii="仿宋_GB2312" w:eastAsia="仿宋_GB2312"/>
          <w:sz w:val="32"/>
          <w:szCs w:val="32"/>
          <w:lang w:eastAsia="zh-CN"/>
        </w:rPr>
        <w:t>、</w:t>
      </w:r>
      <w:r>
        <w:rPr>
          <w:rFonts w:hint="eastAsia" w:ascii="仿宋_GB2312" w:eastAsia="仿宋_GB2312"/>
          <w:sz w:val="32"/>
          <w:szCs w:val="32"/>
        </w:rPr>
        <w:t>城乡医疗保障政策标准，</w:t>
      </w:r>
      <w:r>
        <w:rPr>
          <w:rFonts w:hint="eastAsia" w:ascii="仿宋_GB2312" w:eastAsia="仿宋_GB2312"/>
          <w:sz w:val="32"/>
          <w:szCs w:val="32"/>
          <w:lang w:eastAsia="zh-CN"/>
        </w:rPr>
        <w:t>完善</w:t>
      </w:r>
      <w:r>
        <w:rPr>
          <w:rFonts w:hint="eastAsia" w:ascii="仿宋_GB2312" w:eastAsia="仿宋_GB2312"/>
          <w:sz w:val="32"/>
          <w:szCs w:val="32"/>
        </w:rPr>
        <w:t>长期护理保险制度。</w:t>
      </w:r>
    </w:p>
    <w:p>
      <w:pPr>
        <w:rPr>
          <w:rFonts w:ascii="仿宋_GB2312" w:eastAsia="仿宋_GB2312"/>
          <w:sz w:val="32"/>
          <w:szCs w:val="32"/>
        </w:rPr>
      </w:pPr>
      <w:r>
        <w:rPr>
          <w:rFonts w:hint="eastAsia" w:ascii="仿宋_GB2312" w:eastAsia="仿宋_GB2312"/>
          <w:sz w:val="32"/>
          <w:szCs w:val="32"/>
          <w:lang w:eastAsia="zh-CN"/>
        </w:rPr>
        <w:t xml:space="preserve">    </w:t>
      </w:r>
      <w:r>
        <w:rPr>
          <w:rFonts w:hint="eastAsia" w:ascii="仿宋_GB2312" w:eastAsia="仿宋_GB2312"/>
          <w:sz w:val="32"/>
          <w:szCs w:val="32"/>
        </w:rPr>
        <w:t>（二）医保基金安全管理职责绩效目标：</w:t>
      </w:r>
      <w:r>
        <w:rPr>
          <w:rFonts w:hint="eastAsia" w:ascii="仿宋_GB2312" w:eastAsia="仿宋_GB2312"/>
          <w:sz w:val="32"/>
          <w:szCs w:val="32"/>
          <w:lang w:eastAsia="zh-CN"/>
        </w:rPr>
        <w:t>保障基金安全，推进</w:t>
      </w:r>
      <w:r>
        <w:rPr>
          <w:rFonts w:hint="eastAsia" w:ascii="仿宋_GB2312" w:eastAsia="仿宋_GB2312"/>
          <w:sz w:val="32"/>
          <w:szCs w:val="32"/>
        </w:rPr>
        <w:t>智能监控平台</w:t>
      </w:r>
      <w:r>
        <w:rPr>
          <w:rFonts w:hint="eastAsia" w:ascii="仿宋_GB2312" w:eastAsia="仿宋_GB2312"/>
          <w:sz w:val="32"/>
          <w:szCs w:val="32"/>
          <w:lang w:eastAsia="zh-CN"/>
        </w:rPr>
        <w:t>建设</w:t>
      </w:r>
      <w:r>
        <w:rPr>
          <w:rFonts w:hint="eastAsia" w:ascii="仿宋_GB2312" w:eastAsia="仿宋_GB2312"/>
          <w:sz w:val="32"/>
          <w:szCs w:val="32"/>
        </w:rPr>
        <w:t>，推进医疗保障基金支付方式改革。</w:t>
      </w:r>
    </w:p>
    <w:p>
      <w:pPr>
        <w:ind w:firstLine="640" w:firstLineChars="200"/>
        <w:rPr>
          <w:rFonts w:ascii="仿宋_GB2312" w:eastAsia="仿宋_GB2312"/>
          <w:sz w:val="32"/>
          <w:szCs w:val="32"/>
        </w:rPr>
      </w:pPr>
      <w:r>
        <w:rPr>
          <w:rFonts w:hint="eastAsia" w:ascii="仿宋_GB2312" w:eastAsia="仿宋_GB2312"/>
          <w:sz w:val="32"/>
          <w:szCs w:val="32"/>
        </w:rPr>
        <w:t>（三）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四）服务群众职责绩效目标：组织实施异地就医管理</w:t>
      </w:r>
      <w:r>
        <w:rPr>
          <w:rFonts w:hint="eastAsia" w:ascii="仿宋_GB2312" w:eastAsia="仿宋_GB2312"/>
          <w:sz w:val="32"/>
          <w:szCs w:val="32"/>
          <w:lang w:eastAsia="zh-CN"/>
        </w:rPr>
        <w:t>制度，提高费用结算效率，</w:t>
      </w:r>
      <w:r>
        <w:rPr>
          <w:rFonts w:hint="eastAsia" w:ascii="仿宋_GB2312" w:eastAsia="仿宋_GB2312"/>
          <w:sz w:val="32"/>
          <w:szCs w:val="32"/>
        </w:rPr>
        <w:t>提高群众办事效率和满意度。</w:t>
      </w:r>
    </w:p>
    <w:p>
      <w:pPr>
        <w:pStyle w:val="24"/>
      </w:pPr>
    </w:p>
    <w:p>
      <w:pPr>
        <w:spacing w:line="500" w:lineRule="exact"/>
        <w:ind w:firstLine="560"/>
      </w:pPr>
      <w:r>
        <w:rPr>
          <w:rFonts w:eastAsia="方正仿宋_GBK" w:cs="Times New Roman"/>
          <w:color w:val="000000"/>
          <w:sz w:val="28"/>
        </w:rPr>
        <w:t>（三）工作保障措施</w:t>
      </w:r>
    </w:p>
    <w:p>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 w:hAnsi="仿宋" w:eastAsia="仿宋"/>
          <w:sz w:val="32"/>
          <w:szCs w:val="32"/>
        </w:rPr>
        <w:t>提高办事效率，提升服务体验。</w:t>
      </w:r>
    </w:p>
    <w:p>
      <w:pPr>
        <w:ind w:firstLine="640" w:firstLineChars="200"/>
        <w:rPr>
          <w:rFonts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建立健全医疗保障服务体系。</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深入落实异地就医备案政策智能化。</w:t>
      </w:r>
    </w:p>
    <w:p>
      <w:pPr>
        <w:ind w:firstLine="640" w:firstLineChars="200"/>
        <w:rPr>
          <w:rFonts w:ascii="仿宋_GB2312" w:eastAsia="仿宋_GB2312"/>
          <w:sz w:val="32"/>
          <w:szCs w:val="32"/>
        </w:rPr>
      </w:pPr>
      <w:r>
        <w:rPr>
          <w:rFonts w:hint="eastAsia" w:ascii="仿宋_GB2312" w:eastAsia="仿宋_GB2312"/>
          <w:sz w:val="32"/>
          <w:szCs w:val="32"/>
        </w:rPr>
        <w:t>3、技术支撑体系，</w:t>
      </w:r>
      <w:r>
        <w:rPr>
          <w:rFonts w:hint="eastAsia" w:ascii="仿宋_GB2312" w:eastAsia="仿宋_GB2312"/>
          <w:sz w:val="32"/>
          <w:szCs w:val="32"/>
          <w:lang w:eastAsia="zh-CN"/>
        </w:rPr>
        <w:t>提高医疗保障政策宣传，实现服务项目快捷办理。</w:t>
      </w:r>
    </w:p>
    <w:p>
      <w:pPr>
        <w:ind w:firstLine="640" w:firstLineChars="200"/>
        <w:rPr>
          <w:rFonts w:ascii="仿宋_GB2312" w:eastAsia="仿宋_GB2312"/>
          <w:sz w:val="32"/>
          <w:szCs w:val="32"/>
        </w:rPr>
      </w:pPr>
      <w:r>
        <w:rPr>
          <w:rFonts w:hint="eastAsia" w:ascii="仿宋_GB2312" w:eastAsia="仿宋_GB2312"/>
          <w:sz w:val="32"/>
          <w:szCs w:val="32"/>
        </w:rPr>
        <w:t>4、明责问责体系，包含创建权责一致的明责机制和公正严明的问责机制。</w:t>
      </w:r>
    </w:p>
    <w:p>
      <w:pPr>
        <w:ind w:firstLine="640" w:firstLineChars="200"/>
        <w:rPr>
          <w:rFonts w:ascii="仿宋_GB2312" w:eastAsia="仿宋_GB2312"/>
          <w:sz w:val="32"/>
          <w:szCs w:val="32"/>
        </w:rPr>
      </w:pPr>
      <w:r>
        <w:rPr>
          <w:rFonts w:hint="eastAsia" w:ascii="仿宋_GB2312" w:eastAsia="仿宋_GB2312"/>
          <w:sz w:val="32"/>
          <w:szCs w:val="32"/>
        </w:rPr>
        <w:t>（二）全面加强医保基金监管，维护基金安全。</w:t>
      </w:r>
    </w:p>
    <w:p>
      <w:pPr>
        <w:ind w:firstLine="640" w:firstLineChars="200"/>
        <w:rPr>
          <w:rFonts w:ascii="仿宋_GB2312" w:eastAsia="仿宋_GB2312"/>
          <w:sz w:val="32"/>
          <w:szCs w:val="32"/>
        </w:rPr>
      </w:pPr>
      <w:r>
        <w:rPr>
          <w:rFonts w:hint="eastAsia" w:ascii="仿宋_GB2312" w:eastAsia="仿宋_GB2312"/>
          <w:sz w:val="32"/>
          <w:szCs w:val="32"/>
        </w:rPr>
        <w:t>1、强化稽核稽查工作。</w:t>
      </w:r>
    </w:p>
    <w:p>
      <w:pPr>
        <w:ind w:firstLine="640" w:firstLineChars="200"/>
        <w:rPr>
          <w:rFonts w:ascii="仿宋_GB2312" w:eastAsia="仿宋_GB2312"/>
          <w:sz w:val="32"/>
          <w:szCs w:val="32"/>
        </w:rPr>
      </w:pPr>
      <w:r>
        <w:rPr>
          <w:rFonts w:hint="eastAsia" w:ascii="仿宋_GB2312" w:eastAsia="仿宋_GB2312"/>
          <w:sz w:val="32"/>
          <w:szCs w:val="32"/>
        </w:rPr>
        <w:t>2、加大欺诈骗保案件查办力度。</w:t>
      </w:r>
    </w:p>
    <w:p>
      <w:pPr>
        <w:ind w:firstLine="640" w:firstLineChars="200"/>
        <w:rPr>
          <w:rFonts w:ascii="仿宋_GB2312" w:eastAsia="仿宋_GB2312"/>
          <w:sz w:val="32"/>
          <w:szCs w:val="32"/>
        </w:rPr>
      </w:pPr>
      <w:r>
        <w:rPr>
          <w:rFonts w:hint="eastAsia" w:ascii="仿宋_GB2312" w:eastAsia="仿宋_GB2312"/>
          <w:sz w:val="32"/>
          <w:szCs w:val="32"/>
        </w:rPr>
        <w:t>3、加强重点医药机构监管。</w:t>
      </w:r>
    </w:p>
    <w:p>
      <w:pPr>
        <w:ind w:firstLine="640" w:firstLineChars="200"/>
        <w:rPr>
          <w:rFonts w:ascii="仿宋_GB2312" w:eastAsia="仿宋_GB2312"/>
          <w:sz w:val="32"/>
          <w:szCs w:val="32"/>
        </w:rPr>
      </w:pPr>
      <w:r>
        <w:rPr>
          <w:rFonts w:hint="eastAsia" w:ascii="仿宋_GB2312" w:eastAsia="仿宋_GB2312"/>
          <w:sz w:val="32"/>
          <w:szCs w:val="32"/>
        </w:rPr>
        <w:t>（三）全面加强党的建设，打造高素质专业化干部队伍。</w:t>
      </w:r>
    </w:p>
    <w:p>
      <w:pPr>
        <w:ind w:firstLine="640" w:firstLineChars="200"/>
        <w:rPr>
          <w:rFonts w:ascii="仿宋_GB2312" w:eastAsia="仿宋_GB2312"/>
          <w:sz w:val="32"/>
          <w:szCs w:val="32"/>
        </w:rPr>
      </w:pPr>
      <w:r>
        <w:rPr>
          <w:rFonts w:hint="eastAsia" w:ascii="仿宋_GB2312" w:eastAsia="仿宋_GB2312"/>
          <w:sz w:val="32"/>
          <w:szCs w:val="32"/>
        </w:rPr>
        <w:t>1、全面</w:t>
      </w:r>
      <w:r>
        <w:rPr>
          <w:rFonts w:hint="eastAsia" w:ascii="仿宋_GB2312" w:eastAsia="仿宋_GB2312"/>
          <w:sz w:val="32"/>
          <w:szCs w:val="32"/>
          <w:lang w:eastAsia="zh-CN"/>
        </w:rPr>
        <w:t>贯彻</w:t>
      </w:r>
      <w:r>
        <w:rPr>
          <w:rFonts w:hint="eastAsia" w:ascii="仿宋_GB2312" w:eastAsia="仿宋_GB2312"/>
          <w:sz w:val="32"/>
          <w:szCs w:val="32"/>
        </w:rPr>
        <w:t>落实</w:t>
      </w:r>
      <w:r>
        <w:rPr>
          <w:rFonts w:hint="eastAsia" w:ascii="仿宋_GB2312" w:eastAsia="仿宋_GB2312"/>
          <w:sz w:val="32"/>
          <w:szCs w:val="32"/>
          <w:lang w:eastAsia="zh-CN"/>
        </w:rPr>
        <w:t>党的</w:t>
      </w:r>
      <w:r>
        <w:rPr>
          <w:rFonts w:hint="eastAsia" w:ascii="仿宋_GB2312" w:eastAsia="仿宋_GB2312"/>
          <w:sz w:val="32"/>
          <w:szCs w:val="32"/>
        </w:rPr>
        <w:t>十九大精神。</w:t>
      </w:r>
    </w:p>
    <w:p>
      <w:pPr>
        <w:ind w:firstLine="640" w:firstLineChars="200"/>
        <w:rPr>
          <w:rFonts w:ascii="仿宋_GB2312" w:eastAsia="仿宋_GB2312"/>
          <w:sz w:val="32"/>
          <w:szCs w:val="32"/>
        </w:rPr>
      </w:pPr>
      <w:r>
        <w:rPr>
          <w:rFonts w:hint="eastAsia" w:ascii="仿宋_GB2312" w:eastAsia="仿宋_GB2312"/>
          <w:sz w:val="32"/>
          <w:szCs w:val="32"/>
        </w:rPr>
        <w:t>2、全面加强党的政治建设。</w:t>
      </w:r>
    </w:p>
    <w:p>
      <w:pPr>
        <w:ind w:firstLine="640" w:firstLineChars="200"/>
        <w:rPr>
          <w:rFonts w:ascii="仿宋_GB2312" w:eastAsia="仿宋_GB2312"/>
          <w:sz w:val="32"/>
          <w:szCs w:val="32"/>
        </w:rPr>
      </w:pPr>
      <w:r>
        <w:rPr>
          <w:rFonts w:hint="eastAsia" w:ascii="仿宋_GB2312" w:eastAsia="仿宋_GB2312"/>
          <w:sz w:val="32"/>
          <w:szCs w:val="32"/>
        </w:rPr>
        <w:t>3、全面加强党风廉政建设。</w:t>
      </w:r>
    </w:p>
    <w:p>
      <w:pPr>
        <w:ind w:firstLine="640" w:firstLineChars="200"/>
        <w:rPr>
          <w:rFonts w:ascii="仿宋_GB2312" w:eastAsia="仿宋_GB2312"/>
          <w:sz w:val="32"/>
          <w:szCs w:val="32"/>
        </w:rPr>
      </w:pPr>
      <w:r>
        <w:rPr>
          <w:rFonts w:hint="eastAsia" w:ascii="仿宋_GB2312" w:eastAsia="仿宋_GB2312"/>
          <w:sz w:val="32"/>
          <w:szCs w:val="32"/>
        </w:rPr>
        <w:t>4、全面加强法治建设。</w:t>
      </w:r>
    </w:p>
    <w:p>
      <w:pPr>
        <w:ind w:firstLine="640" w:firstLineChars="200"/>
        <w:rPr>
          <w:rFonts w:ascii="仿宋_GB2312" w:eastAsia="仿宋_GB2312"/>
          <w:sz w:val="32"/>
          <w:szCs w:val="32"/>
        </w:rPr>
      </w:pPr>
      <w:r>
        <w:rPr>
          <w:rFonts w:hint="eastAsia" w:ascii="仿宋_GB2312" w:eastAsia="仿宋_GB2312"/>
          <w:sz w:val="32"/>
          <w:szCs w:val="32"/>
        </w:rPr>
        <w:t>5、全面加强信息化建设。</w:t>
      </w:r>
    </w:p>
    <w:p>
      <w:pPr>
        <w:ind w:firstLine="640" w:firstLineChars="200"/>
        <w:rPr>
          <w:rFonts w:ascii="仿宋" w:hAnsi="仿宋" w:eastAsia="仿宋"/>
          <w:sz w:val="32"/>
          <w:szCs w:val="32"/>
        </w:rPr>
      </w:pPr>
      <w:r>
        <w:rPr>
          <w:rFonts w:hint="eastAsia" w:ascii="仿宋_GB2312" w:eastAsia="仿宋_GB2312"/>
          <w:sz w:val="32"/>
          <w:szCs w:val="32"/>
        </w:rPr>
        <w:t>6、全面加强队伍能力建设。</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firstLineChars="200"/>
        <w:rPr>
          <w:rFonts w:ascii="仿宋_GB2312" w:eastAsia="仿宋_GB2312"/>
          <w:sz w:val="32"/>
          <w:szCs w:val="32"/>
        </w:rPr>
      </w:pPr>
      <w:r>
        <w:rPr>
          <w:rFonts w:hint="eastAsia" w:ascii="仿宋_GB2312" w:eastAsia="仿宋_GB2312"/>
          <w:sz w:val="32"/>
          <w:szCs w:val="32"/>
          <w:lang w:eastAsia="zh-CN"/>
        </w:rPr>
        <w:t>保障基金安全，推进</w:t>
      </w:r>
      <w:r>
        <w:rPr>
          <w:rFonts w:hint="eastAsia" w:ascii="仿宋_GB2312" w:eastAsia="仿宋_GB2312"/>
          <w:sz w:val="32"/>
          <w:szCs w:val="32"/>
        </w:rPr>
        <w:t>智能监控平台</w:t>
      </w:r>
      <w:r>
        <w:rPr>
          <w:rFonts w:hint="eastAsia" w:ascii="仿宋_GB2312" w:eastAsia="仿宋_GB2312"/>
          <w:sz w:val="32"/>
          <w:szCs w:val="32"/>
          <w:lang w:eastAsia="zh-CN"/>
        </w:rPr>
        <w:t>建设</w:t>
      </w:r>
      <w:r>
        <w:rPr>
          <w:rFonts w:hint="eastAsia" w:ascii="仿宋_GB2312" w:eastAsia="仿宋_GB2312"/>
          <w:sz w:val="32"/>
          <w:szCs w:val="32"/>
        </w:rPr>
        <w:t>，推进医疗保障基金支付方式改革。</w:t>
      </w:r>
    </w:p>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5"/>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640" w:firstLineChars="200"/>
        <w:rPr>
          <w:rFonts w:ascii="仿宋_GB2312" w:eastAsia="仿宋_GB2312"/>
          <w:sz w:val="32"/>
          <w:szCs w:val="32"/>
        </w:rPr>
      </w:pPr>
      <w:r>
        <w:rPr>
          <w:rFonts w:hint="eastAsia" w:ascii="仿宋_GB2312" w:eastAsia="仿宋_GB2312"/>
          <w:sz w:val="32"/>
          <w:szCs w:val="32"/>
        </w:rPr>
        <w:t>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bookmarkEnd w:id="18"/>
    <w:p>
      <w:pPr>
        <w:numPr>
          <w:ilvl w:val="0"/>
          <w:numId w:val="5"/>
        </w:num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1、2022年城乡居民县级配套资金绩效目标表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资助参保人数</w:t>
            </w:r>
          </w:p>
        </w:tc>
        <w:tc>
          <w:tcPr>
            <w:tcW w:w="2835" w:type="dxa"/>
            <w:vAlign w:val="center"/>
          </w:tcPr>
          <w:p>
            <w:pPr>
              <w:pStyle w:val="14"/>
            </w:pPr>
            <w:r>
              <w:t>本项目补助参加城乡居民医疗保险人数</w:t>
            </w:r>
          </w:p>
        </w:tc>
        <w:tc>
          <w:tcPr>
            <w:tcW w:w="2551" w:type="dxa"/>
            <w:vAlign w:val="center"/>
          </w:tcPr>
          <w:p>
            <w:pPr>
              <w:pStyle w:val="14"/>
            </w:pPr>
            <w:r>
              <w:t>≥350000人</w:t>
            </w:r>
          </w:p>
        </w:tc>
        <w:tc>
          <w:tcPr>
            <w:tcW w:w="2268" w:type="dxa"/>
            <w:vAlign w:val="center"/>
          </w:tcPr>
          <w:p>
            <w:pPr>
              <w:pStyle w:val="14"/>
            </w:pPr>
            <w:r>
              <w:t>按照最终税务和医保系统提取的参保人数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城乡居民医保参保率</w:t>
            </w:r>
          </w:p>
        </w:tc>
        <w:tc>
          <w:tcPr>
            <w:tcW w:w="2835" w:type="dxa"/>
            <w:vAlign w:val="center"/>
          </w:tcPr>
          <w:p>
            <w:pPr>
              <w:pStyle w:val="14"/>
            </w:pPr>
            <w:r>
              <w:t>县域内参加城乡居民医保人数与县域内需要参加的城乡居民医保的人数比例（%）</w:t>
            </w:r>
          </w:p>
        </w:tc>
        <w:tc>
          <w:tcPr>
            <w:tcW w:w="2551" w:type="dxa"/>
            <w:vAlign w:val="center"/>
          </w:tcPr>
          <w:p>
            <w:pPr>
              <w:pStyle w:val="14"/>
            </w:pPr>
            <w:r>
              <w:t>≥98%</w:t>
            </w:r>
          </w:p>
        </w:tc>
        <w:tc>
          <w:tcPr>
            <w:tcW w:w="2268" w:type="dxa"/>
            <w:vAlign w:val="center"/>
          </w:tcPr>
          <w:p>
            <w:pPr>
              <w:pStyle w:val="14"/>
            </w:pPr>
            <w:r>
              <w:t>按照医保信息提供的参保数据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“一站式”即时结算覆盖率</w:t>
            </w:r>
          </w:p>
        </w:tc>
        <w:tc>
          <w:tcPr>
            <w:tcW w:w="2835" w:type="dxa"/>
            <w:vAlign w:val="center"/>
          </w:tcPr>
          <w:p>
            <w:pPr>
              <w:pStyle w:val="14"/>
            </w:pPr>
            <w:r>
              <w:t>县域内“一站式”即时结算的医疗机构覆盖率（%）</w:t>
            </w:r>
          </w:p>
        </w:tc>
        <w:tc>
          <w:tcPr>
            <w:tcW w:w="2551" w:type="dxa"/>
            <w:vAlign w:val="center"/>
          </w:tcPr>
          <w:p>
            <w:pPr>
              <w:pStyle w:val="14"/>
            </w:pPr>
            <w:r>
              <w:t>不低于上年</w:t>
            </w:r>
          </w:p>
        </w:tc>
        <w:tc>
          <w:tcPr>
            <w:tcW w:w="2268" w:type="dxa"/>
            <w:vAlign w:val="center"/>
          </w:tcPr>
          <w:p>
            <w:pPr>
              <w:pStyle w:val="14"/>
            </w:pPr>
            <w:r>
              <w:t>按照定点医疗机构反馈的数据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平均资助参保金额</w:t>
            </w:r>
          </w:p>
        </w:tc>
        <w:tc>
          <w:tcPr>
            <w:tcW w:w="2835" w:type="dxa"/>
            <w:vAlign w:val="center"/>
          </w:tcPr>
          <w:p>
            <w:pPr>
              <w:pStyle w:val="14"/>
            </w:pPr>
            <w:r>
              <w:t>项目用于补助的城乡居民医保参保人员平均金额</w:t>
            </w:r>
          </w:p>
        </w:tc>
        <w:tc>
          <w:tcPr>
            <w:tcW w:w="2551" w:type="dxa"/>
            <w:vAlign w:val="center"/>
          </w:tcPr>
          <w:p>
            <w:pPr>
              <w:pStyle w:val="14"/>
            </w:pPr>
            <w:r>
              <w:t>≥122元</w:t>
            </w:r>
          </w:p>
        </w:tc>
        <w:tc>
          <w:tcPr>
            <w:tcW w:w="2268" w:type="dxa"/>
            <w:vAlign w:val="center"/>
          </w:tcPr>
          <w:p>
            <w:pPr>
              <w:pStyle w:val="14"/>
            </w:pPr>
            <w:r>
              <w:t>按照上级执行文件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参保群众看病就医方便程度</w:t>
            </w:r>
          </w:p>
        </w:tc>
        <w:tc>
          <w:tcPr>
            <w:tcW w:w="2835" w:type="dxa"/>
            <w:vAlign w:val="center"/>
          </w:tcPr>
          <w:p>
            <w:pPr>
              <w:pStyle w:val="14"/>
            </w:pPr>
            <w:r>
              <w:t>县域内参保群众看病就医报销过程中办理手续方便程度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对健全医疗保障制度体系的影响</w:t>
            </w:r>
          </w:p>
        </w:tc>
        <w:tc>
          <w:tcPr>
            <w:tcW w:w="2835" w:type="dxa"/>
            <w:vAlign w:val="center"/>
          </w:tcPr>
          <w:p>
            <w:pPr>
              <w:pStyle w:val="14"/>
            </w:pPr>
            <w:r>
              <w:t>项目实施以后对健全医疗保障制度体系的影响</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参保群众享受医保待遇满意率（%）</w:t>
            </w:r>
          </w:p>
        </w:tc>
        <w:tc>
          <w:tcPr>
            <w:tcW w:w="2835" w:type="dxa"/>
            <w:vAlign w:val="center"/>
          </w:tcPr>
          <w:p>
            <w:pPr>
              <w:pStyle w:val="14"/>
            </w:pPr>
            <w:r>
              <w:t>项目实施后参保群众享受医保待遇满意率</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2、2022年自收自支人员参加城镇职工医保绩效目标表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1.提升城镇职工参保率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资助参保人数</w:t>
            </w:r>
          </w:p>
        </w:tc>
        <w:tc>
          <w:tcPr>
            <w:tcW w:w="2835" w:type="dxa"/>
            <w:vAlign w:val="center"/>
          </w:tcPr>
          <w:p>
            <w:pPr>
              <w:pStyle w:val="14"/>
            </w:pPr>
            <w:r>
              <w:t>本项目资助的自收自支人员参加城镇职工医保人数</w:t>
            </w:r>
          </w:p>
        </w:tc>
        <w:tc>
          <w:tcPr>
            <w:tcW w:w="2551" w:type="dxa"/>
            <w:vAlign w:val="center"/>
          </w:tcPr>
          <w:p>
            <w:pPr>
              <w:pStyle w:val="14"/>
            </w:pPr>
            <w:r>
              <w:t>≥4000人</w:t>
            </w:r>
          </w:p>
        </w:tc>
        <w:tc>
          <w:tcPr>
            <w:tcW w:w="2268" w:type="dxa"/>
            <w:vAlign w:val="center"/>
          </w:tcPr>
          <w:p>
            <w:pPr>
              <w:pStyle w:val="14"/>
            </w:pPr>
            <w:r>
              <w:t>根据自收自支人员参保实施办法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综合参保率</w:t>
            </w:r>
          </w:p>
        </w:tc>
        <w:tc>
          <w:tcPr>
            <w:tcW w:w="2835" w:type="dxa"/>
            <w:vAlign w:val="center"/>
          </w:tcPr>
          <w:p>
            <w:pPr>
              <w:pStyle w:val="14"/>
            </w:pPr>
            <w:r>
              <w:t>县域内自收自支人员参加职工医保比例（%）</w:t>
            </w:r>
          </w:p>
        </w:tc>
        <w:tc>
          <w:tcPr>
            <w:tcW w:w="2551" w:type="dxa"/>
            <w:vAlign w:val="center"/>
          </w:tcPr>
          <w:p>
            <w:pPr>
              <w:pStyle w:val="14"/>
            </w:pPr>
            <w:r>
              <w:t>≥90%</w:t>
            </w:r>
          </w:p>
        </w:tc>
        <w:tc>
          <w:tcPr>
            <w:tcW w:w="2268" w:type="dxa"/>
            <w:vAlign w:val="center"/>
          </w:tcPr>
          <w:p>
            <w:pPr>
              <w:pStyle w:val="14"/>
            </w:pPr>
            <w:r>
              <w:t>根据职工医保参保数据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资金到位后按比例对参保人员单位部分资金予以拨付</w:t>
            </w:r>
          </w:p>
        </w:tc>
        <w:tc>
          <w:tcPr>
            <w:tcW w:w="2551" w:type="dxa"/>
            <w:vAlign w:val="center"/>
          </w:tcPr>
          <w:p>
            <w:pPr>
              <w:pStyle w:val="14"/>
            </w:pPr>
            <w:r>
              <w:t>按季度到账</w:t>
            </w:r>
          </w:p>
        </w:tc>
        <w:tc>
          <w:tcPr>
            <w:tcW w:w="2268" w:type="dxa"/>
            <w:vAlign w:val="center"/>
          </w:tcPr>
          <w:p>
            <w:pPr>
              <w:pStyle w:val="14"/>
            </w:pPr>
            <w:r>
              <w:t>根据银行回单和税务到账数据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资助参保资金</w:t>
            </w:r>
          </w:p>
        </w:tc>
        <w:tc>
          <w:tcPr>
            <w:tcW w:w="2835" w:type="dxa"/>
            <w:vAlign w:val="center"/>
          </w:tcPr>
          <w:p>
            <w:pPr>
              <w:pStyle w:val="14"/>
            </w:pPr>
            <w:r>
              <w:t>本项目平均补助城镇职工医保单位部分资金（人/元）</w:t>
            </w:r>
          </w:p>
        </w:tc>
        <w:tc>
          <w:tcPr>
            <w:tcW w:w="2551" w:type="dxa"/>
            <w:vAlign w:val="center"/>
          </w:tcPr>
          <w:p>
            <w:pPr>
              <w:pStyle w:val="14"/>
            </w:pPr>
            <w:r>
              <w:t>≥4000元</w:t>
            </w:r>
          </w:p>
        </w:tc>
        <w:tc>
          <w:tcPr>
            <w:tcW w:w="2268" w:type="dxa"/>
            <w:vAlign w:val="center"/>
          </w:tcPr>
          <w:p>
            <w:pPr>
              <w:pStyle w:val="14"/>
            </w:pPr>
            <w:r>
              <w:t>根据职工医保征缴比例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本项目参保人员对职工医保的政策知晓率(%)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项目实施以后对县域内健全医疗保障制度体系有无提升作用</w:t>
            </w:r>
          </w:p>
        </w:tc>
        <w:tc>
          <w:tcPr>
            <w:tcW w:w="2551" w:type="dxa"/>
            <w:vAlign w:val="center"/>
          </w:tcPr>
          <w:p>
            <w:pPr>
              <w:pStyle w:val="14"/>
            </w:pPr>
            <w:r>
              <w:t>成效明显</w:t>
            </w:r>
          </w:p>
        </w:tc>
        <w:tc>
          <w:tcPr>
            <w:tcW w:w="2268" w:type="dxa"/>
            <w:vAlign w:val="center"/>
          </w:tcPr>
          <w:p>
            <w:pPr>
              <w:pStyle w:val="14"/>
            </w:pPr>
            <w:r>
              <w:t>根据职工医保统计数据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参保群众对享受医保待遇的满意率（%）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3、冀财社【2021】159号 提前下达2022年中央财政医疗救助补助资金绩效目标表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资助参保人次数</w:t>
            </w:r>
          </w:p>
        </w:tc>
        <w:tc>
          <w:tcPr>
            <w:tcW w:w="2835" w:type="dxa"/>
            <w:vAlign w:val="center"/>
          </w:tcPr>
          <w:p>
            <w:pPr>
              <w:pStyle w:val="14"/>
            </w:pPr>
            <w:r>
              <w:t>本项目资助参保的困难群众人次数</w:t>
            </w:r>
          </w:p>
        </w:tc>
        <w:tc>
          <w:tcPr>
            <w:tcW w:w="2551" w:type="dxa"/>
            <w:vAlign w:val="center"/>
          </w:tcPr>
          <w:p>
            <w:pPr>
              <w:pStyle w:val="14"/>
            </w:pPr>
            <w:r>
              <w:t>≥8281人</w:t>
            </w:r>
          </w:p>
        </w:tc>
        <w:tc>
          <w:tcPr>
            <w:tcW w:w="2268" w:type="dxa"/>
            <w:vAlign w:val="center"/>
          </w:tcPr>
          <w:p>
            <w:pPr>
              <w:pStyle w:val="14"/>
            </w:pPr>
            <w:r>
              <w:t>根据医保系统提前困难人员名单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对于困难人员负担的城乡居民医疗待遇后享受的医疗救助补助比例</w:t>
            </w:r>
          </w:p>
        </w:tc>
        <w:tc>
          <w:tcPr>
            <w:tcW w:w="2551" w:type="dxa"/>
            <w:vAlign w:val="center"/>
          </w:tcPr>
          <w:p>
            <w:pPr>
              <w:pStyle w:val="14"/>
            </w:pPr>
            <w:r>
              <w:t>≥80%</w:t>
            </w:r>
          </w:p>
        </w:tc>
        <w:tc>
          <w:tcPr>
            <w:tcW w:w="2268" w:type="dxa"/>
            <w:vAlign w:val="center"/>
          </w:tcPr>
          <w:p>
            <w:pPr>
              <w:pStyle w:val="14"/>
            </w:pPr>
            <w:r>
              <w:t>根据医保系统提取的救助比例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“一站式”即时结算覆盖率</w:t>
            </w:r>
          </w:p>
        </w:tc>
        <w:tc>
          <w:tcPr>
            <w:tcW w:w="2835" w:type="dxa"/>
            <w:vAlign w:val="center"/>
          </w:tcPr>
          <w:p>
            <w:pPr>
              <w:pStyle w:val="14"/>
            </w:pPr>
            <w:r>
              <w:t>县区内“一站式”即时结算的医疗机构覆盖率</w:t>
            </w:r>
          </w:p>
        </w:tc>
        <w:tc>
          <w:tcPr>
            <w:tcW w:w="2551" w:type="dxa"/>
            <w:vAlign w:val="center"/>
          </w:tcPr>
          <w:p>
            <w:pPr>
              <w:pStyle w:val="14"/>
            </w:pPr>
            <w:r>
              <w:t>不低于上年</w:t>
            </w:r>
          </w:p>
        </w:tc>
        <w:tc>
          <w:tcPr>
            <w:tcW w:w="2268" w:type="dxa"/>
            <w:vAlign w:val="center"/>
          </w:tcPr>
          <w:p>
            <w:pPr>
              <w:pStyle w:val="14"/>
            </w:pPr>
            <w:r>
              <w:t>根据去年提取的即时结算定点医疗机构数据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资助参保金额</w:t>
            </w:r>
          </w:p>
        </w:tc>
        <w:tc>
          <w:tcPr>
            <w:tcW w:w="2835" w:type="dxa"/>
            <w:vAlign w:val="center"/>
          </w:tcPr>
          <w:p>
            <w:pPr>
              <w:pStyle w:val="14"/>
            </w:pPr>
            <w:r>
              <w:t>本项目中用于资助困难群众参保的平均资助参保金额</w:t>
            </w:r>
          </w:p>
        </w:tc>
        <w:tc>
          <w:tcPr>
            <w:tcW w:w="2551" w:type="dxa"/>
            <w:vAlign w:val="center"/>
          </w:tcPr>
          <w:p>
            <w:pPr>
              <w:pStyle w:val="14"/>
            </w:pPr>
            <w:r>
              <w:t>≥320元</w:t>
            </w:r>
          </w:p>
        </w:tc>
        <w:tc>
          <w:tcPr>
            <w:tcW w:w="2268" w:type="dxa"/>
            <w:vAlign w:val="center"/>
          </w:tcPr>
          <w:p>
            <w:pPr>
              <w:pStyle w:val="14"/>
            </w:pPr>
            <w:r>
              <w:t xml:space="preserve">根据最新的参保收费政策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困难群众看病就医方便程度</w:t>
            </w:r>
          </w:p>
        </w:tc>
        <w:tc>
          <w:tcPr>
            <w:tcW w:w="2835" w:type="dxa"/>
            <w:vAlign w:val="center"/>
          </w:tcPr>
          <w:p>
            <w:pPr>
              <w:pStyle w:val="14"/>
            </w:pPr>
            <w:r>
              <w:t>县域内困难群众看病就医过程中办理手续方便程度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项目实施后对健全医疗保障制度体系的作用</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困难群众对工作服务情况的满意度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4、冀财社【2021】164号 提前下达2022年中央财政医疗服务与保障能力提升补助资金绩效目标表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1.国家统一医保信息平台正常运行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召开医保工作新闻发布会、政策吹风会次数</w:t>
            </w:r>
          </w:p>
        </w:tc>
        <w:tc>
          <w:tcPr>
            <w:tcW w:w="2835" w:type="dxa"/>
            <w:vAlign w:val="center"/>
          </w:tcPr>
          <w:p>
            <w:pPr>
              <w:pStyle w:val="14"/>
            </w:pPr>
            <w:r>
              <w:t>年度召开关于医保工作的新闻发布会、政策吹风会次数</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定点医药机构监督检查覆盖率</w:t>
            </w:r>
          </w:p>
        </w:tc>
        <w:tc>
          <w:tcPr>
            <w:tcW w:w="2835" w:type="dxa"/>
            <w:vAlign w:val="center"/>
          </w:tcPr>
          <w:p>
            <w:pPr>
              <w:pStyle w:val="14"/>
            </w:pPr>
            <w:r>
              <w:t>定点医药机构监督检查覆盖率</w:t>
            </w:r>
          </w:p>
        </w:tc>
        <w:tc>
          <w:tcPr>
            <w:tcW w:w="2551" w:type="dxa"/>
            <w:vAlign w:val="center"/>
          </w:tcPr>
          <w:p>
            <w:pPr>
              <w:pStyle w:val="14"/>
            </w:pPr>
            <w:r>
              <w:t>100%</w:t>
            </w:r>
          </w:p>
        </w:tc>
        <w:tc>
          <w:tcPr>
            <w:tcW w:w="2268" w:type="dxa"/>
            <w:vAlign w:val="center"/>
          </w:tcPr>
          <w:p>
            <w:pPr>
              <w:pStyle w:val="14"/>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不晚于12月低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医保政策知晓率</w:t>
            </w:r>
          </w:p>
        </w:tc>
        <w:tc>
          <w:tcPr>
            <w:tcW w:w="2835" w:type="dxa"/>
            <w:vAlign w:val="center"/>
          </w:tcPr>
          <w:p>
            <w:pPr>
              <w:pStyle w:val="14"/>
            </w:pPr>
            <w:r>
              <w:t>县域内参保人员对基本医保政策知晓率</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跨省异地就医直接结算率</w:t>
            </w:r>
          </w:p>
        </w:tc>
        <w:tc>
          <w:tcPr>
            <w:tcW w:w="2835" w:type="dxa"/>
            <w:vAlign w:val="center"/>
          </w:tcPr>
          <w:p>
            <w:pPr>
              <w:pStyle w:val="14"/>
            </w:pPr>
            <w:r>
              <w:t>县域内参保人员在异地就医过程中直接结算率</w:t>
            </w:r>
          </w:p>
        </w:tc>
        <w:tc>
          <w:tcPr>
            <w:tcW w:w="2551" w:type="dxa"/>
            <w:vAlign w:val="center"/>
          </w:tcPr>
          <w:p>
            <w:pPr>
              <w:pStyle w:val="14"/>
            </w:pPr>
            <w:r>
              <w:t>≥80%</w:t>
            </w:r>
          </w:p>
        </w:tc>
        <w:tc>
          <w:tcPr>
            <w:tcW w:w="2268" w:type="dxa"/>
            <w:vAlign w:val="center"/>
          </w:tcPr>
          <w:p>
            <w:pPr>
              <w:pStyle w:val="14"/>
            </w:pPr>
            <w:r>
              <w:t>系统提取数据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参保人员对医保服务的满意度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5、冀财社【2021】179号 提前下达2022年省级财政医疗救助补助资金绩效目标表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1.保障困难群众享受救助待遇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住院救助人次数</w:t>
            </w:r>
          </w:p>
        </w:tc>
        <w:tc>
          <w:tcPr>
            <w:tcW w:w="2835" w:type="dxa"/>
            <w:vAlign w:val="center"/>
          </w:tcPr>
          <w:p>
            <w:pPr>
              <w:pStyle w:val="14"/>
            </w:pPr>
            <w:r>
              <w:t>本单位资助住院的困难群众人次数</w:t>
            </w:r>
          </w:p>
        </w:tc>
        <w:tc>
          <w:tcPr>
            <w:tcW w:w="2551" w:type="dxa"/>
            <w:vAlign w:val="center"/>
          </w:tcPr>
          <w:p>
            <w:pPr>
              <w:pStyle w:val="14"/>
            </w:pPr>
            <w:r>
              <w:t>≥1000人</w:t>
            </w:r>
          </w:p>
        </w:tc>
        <w:tc>
          <w:tcPr>
            <w:tcW w:w="2268" w:type="dxa"/>
            <w:vAlign w:val="center"/>
          </w:tcPr>
          <w:p>
            <w:pPr>
              <w:pStyle w:val="14"/>
            </w:pPr>
            <w:r>
              <w:t>医保医疗救助的反馈数据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对于困难人员负担的城乡居民医保待遇后医疗救助比例</w:t>
            </w:r>
          </w:p>
        </w:tc>
        <w:tc>
          <w:tcPr>
            <w:tcW w:w="2551" w:type="dxa"/>
            <w:vAlign w:val="center"/>
          </w:tcPr>
          <w:p>
            <w:pPr>
              <w:pStyle w:val="14"/>
            </w:pPr>
            <w:r>
              <w:t>≥80%</w:t>
            </w:r>
          </w:p>
        </w:tc>
        <w:tc>
          <w:tcPr>
            <w:tcW w:w="2268" w:type="dxa"/>
            <w:vAlign w:val="center"/>
          </w:tcPr>
          <w:p>
            <w:pPr>
              <w:pStyle w:val="14"/>
            </w:pPr>
            <w:r>
              <w:t>医保提供的医疗救助比例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县域内“一站式”即时结算的医疗机构覆盖率</w:t>
            </w:r>
          </w:p>
        </w:tc>
        <w:tc>
          <w:tcPr>
            <w:tcW w:w="2551" w:type="dxa"/>
            <w:vAlign w:val="center"/>
          </w:tcPr>
          <w:p>
            <w:pPr>
              <w:pStyle w:val="14"/>
            </w:pPr>
            <w:r>
              <w:t>不低于上年</w:t>
            </w:r>
          </w:p>
        </w:tc>
        <w:tc>
          <w:tcPr>
            <w:tcW w:w="2268" w:type="dxa"/>
            <w:vAlign w:val="center"/>
          </w:tcPr>
          <w:p>
            <w:pPr>
              <w:pStyle w:val="14"/>
            </w:pPr>
            <w:r>
              <w:t>根据去年提供的医疗机构名单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平均资助参保金额</w:t>
            </w:r>
          </w:p>
        </w:tc>
        <w:tc>
          <w:tcPr>
            <w:tcW w:w="2835" w:type="dxa"/>
            <w:vAlign w:val="center"/>
          </w:tcPr>
          <w:p>
            <w:pPr>
              <w:pStyle w:val="14"/>
            </w:pPr>
            <w:r>
              <w:t>项目用于资助困难人员参保时，平均人员的参保金额</w:t>
            </w:r>
          </w:p>
        </w:tc>
        <w:tc>
          <w:tcPr>
            <w:tcW w:w="2551" w:type="dxa"/>
            <w:vAlign w:val="center"/>
          </w:tcPr>
          <w:p>
            <w:pPr>
              <w:pStyle w:val="14"/>
            </w:pPr>
            <w:r>
              <w:t>≥320元</w:t>
            </w:r>
          </w:p>
        </w:tc>
        <w:tc>
          <w:tcPr>
            <w:tcW w:w="2268" w:type="dxa"/>
            <w:vAlign w:val="center"/>
          </w:tcPr>
          <w:p>
            <w:pPr>
              <w:pStyle w:val="14"/>
            </w:pPr>
            <w:r>
              <w:t>历年上级政策文件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困难群众看病就医方便程度</w:t>
            </w:r>
          </w:p>
        </w:tc>
        <w:tc>
          <w:tcPr>
            <w:tcW w:w="2835" w:type="dxa"/>
            <w:vAlign w:val="center"/>
          </w:tcPr>
          <w:p>
            <w:pPr>
              <w:pStyle w:val="14"/>
            </w:pPr>
            <w:r>
              <w:t>县域内困难群众看病就医报销过程中办理手续方便程度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项目实施以后对健全医疗保障制度体系的作用</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群众政策知晓率</w:t>
            </w:r>
          </w:p>
        </w:tc>
        <w:tc>
          <w:tcPr>
            <w:tcW w:w="2835" w:type="dxa"/>
            <w:vAlign w:val="center"/>
          </w:tcPr>
          <w:p>
            <w:pPr>
              <w:pStyle w:val="14"/>
            </w:pPr>
            <w:r>
              <w:t>项目实施后参保群众政策知晓率</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6、冀财社【2021】182号 提前下达2022年省级财政城乡居民医保村级代办员补助资金绩效目标表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1.提高医保政策知晓率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本项目覆盖的县域内乡镇数量（个）</w:t>
            </w:r>
          </w:p>
        </w:tc>
        <w:tc>
          <w:tcPr>
            <w:tcW w:w="2551" w:type="dxa"/>
            <w:vAlign w:val="center"/>
          </w:tcPr>
          <w:p>
            <w:pPr>
              <w:pStyle w:val="14"/>
            </w:pPr>
            <w:r>
              <w:t>≥10个</w:t>
            </w:r>
          </w:p>
        </w:tc>
        <w:tc>
          <w:tcPr>
            <w:tcW w:w="2268" w:type="dxa"/>
            <w:vAlign w:val="center"/>
          </w:tcPr>
          <w:p>
            <w:pPr>
              <w:pStyle w:val="14"/>
            </w:pPr>
            <w:r>
              <w:t>各乡镇反馈数据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政策知晓率</w:t>
            </w:r>
          </w:p>
        </w:tc>
        <w:tc>
          <w:tcPr>
            <w:tcW w:w="2835" w:type="dxa"/>
            <w:vAlign w:val="center"/>
          </w:tcPr>
          <w:p>
            <w:pPr>
              <w:pStyle w:val="14"/>
            </w:pPr>
            <w:r>
              <w:t>参保人员对医保政策知晓率（%）</w:t>
            </w:r>
          </w:p>
        </w:tc>
        <w:tc>
          <w:tcPr>
            <w:tcW w:w="2551" w:type="dxa"/>
            <w:vAlign w:val="center"/>
          </w:tcPr>
          <w:p>
            <w:pPr>
              <w:pStyle w:val="14"/>
            </w:pPr>
            <w:r>
              <w:t>≥85%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征缴时限（月）</w:t>
            </w:r>
          </w:p>
        </w:tc>
        <w:tc>
          <w:tcPr>
            <w:tcW w:w="2835" w:type="dxa"/>
            <w:vAlign w:val="center"/>
          </w:tcPr>
          <w:p>
            <w:pPr>
              <w:pStyle w:val="14"/>
            </w:pPr>
            <w:r>
              <w:t>城乡居民医疗保险征缴时限</w:t>
            </w:r>
          </w:p>
        </w:tc>
        <w:tc>
          <w:tcPr>
            <w:tcW w:w="2551" w:type="dxa"/>
            <w:vAlign w:val="center"/>
          </w:tcPr>
          <w:p>
            <w:pPr>
              <w:pStyle w:val="14"/>
            </w:pPr>
            <w:r>
              <w:t>≥2月</w:t>
            </w:r>
          </w:p>
        </w:tc>
        <w:tc>
          <w:tcPr>
            <w:tcW w:w="2268" w:type="dxa"/>
            <w:vAlign w:val="center"/>
          </w:tcPr>
          <w:p>
            <w:pPr>
              <w:pStyle w:val="14"/>
            </w:pPr>
            <w:r>
              <w:t>历年上级文件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平均每个乡镇补助金额</w:t>
            </w:r>
          </w:p>
        </w:tc>
        <w:tc>
          <w:tcPr>
            <w:tcW w:w="2835" w:type="dxa"/>
            <w:vAlign w:val="center"/>
          </w:tcPr>
          <w:p>
            <w:pPr>
              <w:pStyle w:val="14"/>
            </w:pPr>
            <w:r>
              <w:t>总金额/乡镇数量</w:t>
            </w:r>
          </w:p>
        </w:tc>
        <w:tc>
          <w:tcPr>
            <w:tcW w:w="2551" w:type="dxa"/>
            <w:vAlign w:val="center"/>
          </w:tcPr>
          <w:p>
            <w:pPr>
              <w:pStyle w:val="14"/>
            </w:pPr>
            <w:r>
              <w:t>≥4500元</w:t>
            </w:r>
          </w:p>
        </w:tc>
        <w:tc>
          <w:tcPr>
            <w:tcW w:w="2268" w:type="dxa"/>
            <w:vAlign w:val="center"/>
          </w:tcPr>
          <w:p>
            <w:pPr>
              <w:pStyle w:val="14"/>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提高居民对政策知晓率</w:t>
            </w:r>
          </w:p>
        </w:tc>
        <w:tc>
          <w:tcPr>
            <w:tcW w:w="2835" w:type="dxa"/>
            <w:vAlign w:val="center"/>
          </w:tcPr>
          <w:p>
            <w:pPr>
              <w:pStyle w:val="14"/>
            </w:pPr>
            <w:r>
              <w:t>提高居民对政策的知晓率，确保更好服务群众</w:t>
            </w:r>
          </w:p>
        </w:tc>
        <w:tc>
          <w:tcPr>
            <w:tcW w:w="2551" w:type="dxa"/>
            <w:vAlign w:val="center"/>
          </w:tcPr>
          <w:p>
            <w:pPr>
              <w:pStyle w:val="14"/>
            </w:pPr>
            <w:r>
              <w:t>有效提高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医保征缴工作的持续性</w:t>
            </w:r>
          </w:p>
        </w:tc>
        <w:tc>
          <w:tcPr>
            <w:tcW w:w="2835" w:type="dxa"/>
            <w:vAlign w:val="center"/>
          </w:tcPr>
          <w:p>
            <w:pPr>
              <w:pStyle w:val="14"/>
            </w:pPr>
            <w:r>
              <w:t>持续发动群众参保，保障参保群众应享受的待遇</w:t>
            </w:r>
          </w:p>
        </w:tc>
        <w:tc>
          <w:tcPr>
            <w:tcW w:w="2551" w:type="dxa"/>
            <w:vAlign w:val="center"/>
          </w:tcPr>
          <w:p>
            <w:pPr>
              <w:pStyle w:val="14"/>
            </w:pPr>
            <w:r>
              <w:t>是/否</w:t>
            </w:r>
          </w:p>
        </w:tc>
        <w:tc>
          <w:tcPr>
            <w:tcW w:w="2268" w:type="dxa"/>
            <w:vAlign w:val="center"/>
          </w:tcPr>
          <w:p>
            <w:pPr>
              <w:pStyle w:val="14"/>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服务群众满意度达到（%）</w:t>
            </w:r>
          </w:p>
        </w:tc>
        <w:tc>
          <w:tcPr>
            <w:tcW w:w="2835" w:type="dxa"/>
            <w:vAlign w:val="center"/>
          </w:tcPr>
          <w:p>
            <w:pPr>
              <w:pStyle w:val="14"/>
            </w:pPr>
            <w:r>
              <w:t>参保服务人</w:t>
            </w:r>
            <w:r>
              <w:rPr>
                <w:rFonts w:hint="eastAsia"/>
                <w:lang w:eastAsia="zh-CN"/>
              </w:rPr>
              <w:t>民</w:t>
            </w:r>
            <w:r>
              <w:t>群众满意度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2022年，成安县医疗保障局安排政府采购预算</w:t>
      </w:r>
      <w:r>
        <w:rPr>
          <w:rFonts w:hint="eastAsia" w:cs="Times New Roman" w:eastAsiaTheme="minorEastAsia"/>
          <w:color w:val="000000"/>
          <w:sz w:val="28"/>
          <w:lang w:eastAsia="zh-CN"/>
        </w:rPr>
        <w:t>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320成安县医疗保障局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center"/>
              <w:rPr>
                <w:lang w:eastAsia="zh-CN"/>
              </w:rPr>
            </w:pPr>
          </w:p>
        </w:tc>
        <w:tc>
          <w:tcPr>
            <w:tcW w:w="964" w:type="dxa"/>
            <w:vAlign w:val="center"/>
          </w:tcPr>
          <w:p>
            <w:pPr>
              <w:pStyle w:val="13"/>
              <w:jc w:val="center"/>
              <w:rPr>
                <w:lang w:eastAsia="zh-CN"/>
              </w:rPr>
            </w:pPr>
            <w:r>
              <w:rPr>
                <w:rFonts w:hint="eastAsia"/>
                <w:lang w:eastAsia="zh-CN"/>
              </w:rPr>
              <w:t>5</w:t>
            </w:r>
          </w:p>
        </w:tc>
        <w:tc>
          <w:tcPr>
            <w:tcW w:w="1134" w:type="dxa"/>
            <w:vAlign w:val="center"/>
          </w:tcPr>
          <w:p>
            <w:pPr>
              <w:pStyle w:val="14"/>
              <w:jc w:val="center"/>
              <w:rPr>
                <w:lang w:eastAsia="zh-CN"/>
              </w:rPr>
            </w:pPr>
          </w:p>
        </w:tc>
        <w:tc>
          <w:tcPr>
            <w:tcW w:w="1134" w:type="dxa"/>
            <w:vAlign w:val="center"/>
          </w:tcPr>
          <w:p>
            <w:pPr>
              <w:pStyle w:val="14"/>
              <w:jc w:val="center"/>
              <w:rPr>
                <w:lang w:eastAsia="zh-CN"/>
              </w:rPr>
            </w:pPr>
          </w:p>
        </w:tc>
        <w:tc>
          <w:tcPr>
            <w:tcW w:w="709" w:type="dxa"/>
            <w:vAlign w:val="center"/>
          </w:tcPr>
          <w:p>
            <w:pPr>
              <w:pStyle w:val="15"/>
              <w:rPr>
                <w:lang w:eastAsia="zh-CN"/>
              </w:rPr>
            </w:pPr>
          </w:p>
        </w:tc>
        <w:tc>
          <w:tcPr>
            <w:tcW w:w="850" w:type="dxa"/>
            <w:vAlign w:val="center"/>
          </w:tcPr>
          <w:p>
            <w:pPr>
              <w:pStyle w:val="13"/>
              <w:jc w:val="center"/>
              <w:rPr>
                <w:lang w:eastAsia="zh-CN"/>
              </w:rPr>
            </w:pPr>
            <w:r>
              <w:rPr>
                <w:rFonts w:hint="eastAsia"/>
                <w:lang w:eastAsia="zh-CN"/>
              </w:rPr>
              <w:t>23</w:t>
            </w:r>
          </w:p>
        </w:tc>
        <w:tc>
          <w:tcPr>
            <w:tcW w:w="850" w:type="dxa"/>
            <w:vAlign w:val="center"/>
          </w:tcPr>
          <w:p>
            <w:pPr>
              <w:pStyle w:val="13"/>
              <w:jc w:val="center"/>
              <w:rPr>
                <w:lang w:eastAsia="zh-CN"/>
              </w:rPr>
            </w:pPr>
            <w:r>
              <w:rPr>
                <w:rFonts w:hint="eastAsia"/>
                <w:lang w:eastAsia="zh-CN"/>
              </w:rPr>
              <w:t>0.75</w:t>
            </w:r>
          </w:p>
        </w:tc>
        <w:tc>
          <w:tcPr>
            <w:tcW w:w="964" w:type="dxa"/>
            <w:vAlign w:val="center"/>
          </w:tcPr>
          <w:p>
            <w:pPr>
              <w:pStyle w:val="13"/>
              <w:jc w:val="center"/>
              <w:rPr>
                <w:lang w:eastAsia="zh-CN"/>
              </w:rPr>
            </w:pPr>
            <w:r>
              <w:rPr>
                <w:rFonts w:hint="eastAsia"/>
                <w:lang w:eastAsia="zh-CN"/>
              </w:rPr>
              <w:t>5</w:t>
            </w:r>
          </w:p>
        </w:tc>
        <w:tc>
          <w:tcPr>
            <w:tcW w:w="964" w:type="dxa"/>
            <w:vAlign w:val="center"/>
          </w:tcPr>
          <w:p>
            <w:pPr>
              <w:pStyle w:val="13"/>
              <w:jc w:val="center"/>
              <w:rPr>
                <w:lang w:eastAsia="zh-CN"/>
              </w:rPr>
            </w:pPr>
            <w:r>
              <w:rPr>
                <w:rFonts w:hint="eastAsia"/>
                <w:lang w:eastAsia="zh-CN"/>
              </w:rPr>
              <w:t>5</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center"/>
              <w:rPr>
                <w:lang w:eastAsia="zh-CN"/>
              </w:rPr>
            </w:pPr>
            <w:r>
              <w:rPr>
                <w:rFonts w:hint="eastAsia"/>
                <w:lang w:eastAsia="zh-CN"/>
              </w:rPr>
              <w:t>电脑耗材</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1134" w:type="dxa"/>
            <w:vAlign w:val="center"/>
          </w:tcPr>
          <w:p>
            <w:pPr>
              <w:spacing w:line="280" w:lineRule="exact"/>
              <w:jc w:val="center"/>
              <w:rPr>
                <w:rFonts w:ascii="仿宋" w:hAnsi="仿宋" w:eastAsia="仿宋"/>
              </w:rPr>
            </w:pPr>
            <w:r>
              <w:rPr>
                <w:rFonts w:hint="eastAsia" w:ascii="仿宋" w:hAnsi="仿宋" w:eastAsia="仿宋"/>
              </w:rPr>
              <w:t>台式电脑</w:t>
            </w:r>
          </w:p>
        </w:tc>
        <w:tc>
          <w:tcPr>
            <w:tcW w:w="1134" w:type="dxa"/>
            <w:vAlign w:val="center"/>
          </w:tcPr>
          <w:p>
            <w:pPr>
              <w:pStyle w:val="14"/>
              <w:jc w:val="center"/>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6</w:t>
            </w:r>
          </w:p>
        </w:tc>
        <w:tc>
          <w:tcPr>
            <w:tcW w:w="850" w:type="dxa"/>
            <w:vAlign w:val="center"/>
          </w:tcPr>
          <w:p>
            <w:pPr>
              <w:spacing w:line="280" w:lineRule="exact"/>
              <w:jc w:val="center"/>
              <w:rPr>
                <w:rFonts w:ascii="仿宋" w:hAnsi="仿宋" w:eastAsia="仿宋"/>
              </w:rPr>
            </w:pPr>
            <w:r>
              <w:rPr>
                <w:rFonts w:hint="eastAsia" w:ascii="仿宋" w:hAnsi="仿宋" w:eastAsia="仿宋"/>
              </w:rPr>
              <w:t>0.45</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964" w:type="dxa"/>
            <w:vAlign w:val="center"/>
          </w:tcPr>
          <w:p>
            <w:pPr>
              <w:spacing w:line="280" w:lineRule="exact"/>
              <w:jc w:val="center"/>
              <w:rPr>
                <w:rFonts w:ascii="仿宋" w:hAnsi="仿宋" w:eastAsia="仿宋"/>
              </w:rPr>
            </w:pPr>
          </w:p>
        </w:tc>
        <w:tc>
          <w:tcPr>
            <w:tcW w:w="964" w:type="dxa"/>
            <w:vAlign w:val="center"/>
          </w:tcPr>
          <w:p>
            <w:pPr>
              <w:pStyle w:val="13"/>
              <w:jc w:val="center"/>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电脑耗材</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1134" w:type="dxa"/>
            <w:vAlign w:val="center"/>
          </w:tcPr>
          <w:p>
            <w:pPr>
              <w:spacing w:line="280" w:lineRule="exact"/>
              <w:jc w:val="center"/>
              <w:rPr>
                <w:rFonts w:ascii="仿宋" w:hAnsi="仿宋" w:eastAsia="仿宋"/>
              </w:rPr>
            </w:pPr>
            <w:r>
              <w:rPr>
                <w:rFonts w:hint="eastAsia" w:ascii="仿宋" w:hAnsi="仿宋" w:eastAsia="仿宋"/>
              </w:rPr>
              <w:t>A4打印机</w:t>
            </w:r>
          </w:p>
        </w:tc>
        <w:tc>
          <w:tcPr>
            <w:tcW w:w="1134" w:type="dxa"/>
            <w:vAlign w:val="center"/>
          </w:tcPr>
          <w:p>
            <w:pPr>
              <w:pStyle w:val="14"/>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6</w:t>
            </w:r>
          </w:p>
        </w:tc>
        <w:tc>
          <w:tcPr>
            <w:tcW w:w="850" w:type="dxa"/>
            <w:vAlign w:val="center"/>
          </w:tcPr>
          <w:p>
            <w:pPr>
              <w:spacing w:line="280" w:lineRule="exact"/>
              <w:jc w:val="center"/>
              <w:rPr>
                <w:rFonts w:ascii="仿宋" w:hAnsi="仿宋" w:eastAsia="仿宋"/>
              </w:rPr>
            </w:pPr>
            <w:r>
              <w:rPr>
                <w:rFonts w:hint="eastAsia" w:ascii="仿宋" w:hAnsi="仿宋" w:eastAsia="仿宋"/>
              </w:rPr>
              <w:t>0.2</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964" w:type="dxa"/>
            <w:vAlign w:val="center"/>
          </w:tcPr>
          <w:p>
            <w:pPr>
              <w:spacing w:line="280" w:lineRule="exact"/>
              <w:jc w:val="center"/>
              <w:rPr>
                <w:rFonts w:ascii="仿宋" w:hAnsi="仿宋" w:eastAsia="仿宋"/>
                <w:lang w:eastAsia="zh-CN"/>
              </w:rPr>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办公桌椅</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1134" w:type="dxa"/>
            <w:vAlign w:val="center"/>
          </w:tcPr>
          <w:p>
            <w:pPr>
              <w:spacing w:line="280" w:lineRule="exact"/>
              <w:jc w:val="center"/>
              <w:rPr>
                <w:rFonts w:ascii="仿宋" w:hAnsi="仿宋" w:eastAsia="仿宋"/>
              </w:rPr>
            </w:pPr>
            <w:r>
              <w:rPr>
                <w:rFonts w:hint="eastAsia" w:ascii="仿宋" w:hAnsi="仿宋" w:eastAsia="仿宋"/>
              </w:rPr>
              <w:t>文件柜</w:t>
            </w:r>
          </w:p>
        </w:tc>
        <w:tc>
          <w:tcPr>
            <w:tcW w:w="1134" w:type="dxa"/>
            <w:vAlign w:val="center"/>
          </w:tcPr>
          <w:p>
            <w:pPr>
              <w:pStyle w:val="14"/>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组</w:t>
            </w:r>
          </w:p>
        </w:tc>
        <w:tc>
          <w:tcPr>
            <w:tcW w:w="850" w:type="dxa"/>
            <w:vAlign w:val="center"/>
          </w:tcPr>
          <w:p>
            <w:pPr>
              <w:spacing w:line="280" w:lineRule="exact"/>
              <w:jc w:val="center"/>
              <w:rPr>
                <w:rFonts w:ascii="仿宋" w:hAnsi="仿宋" w:eastAsia="仿宋"/>
              </w:rPr>
            </w:pPr>
            <w:r>
              <w:rPr>
                <w:rFonts w:hint="eastAsia" w:ascii="仿宋" w:hAnsi="仿宋" w:eastAsia="仿宋"/>
              </w:rPr>
              <w:t>11</w:t>
            </w:r>
          </w:p>
        </w:tc>
        <w:tc>
          <w:tcPr>
            <w:tcW w:w="850" w:type="dxa"/>
            <w:vAlign w:val="center"/>
          </w:tcPr>
          <w:p>
            <w:pPr>
              <w:spacing w:line="280" w:lineRule="exact"/>
              <w:jc w:val="center"/>
              <w:rPr>
                <w:rFonts w:ascii="仿宋" w:hAnsi="仿宋" w:eastAsia="仿宋"/>
              </w:rPr>
            </w:pPr>
            <w:r>
              <w:rPr>
                <w:rFonts w:hint="eastAsia" w:ascii="仿宋" w:hAnsi="仿宋" w:eastAsia="仿宋"/>
              </w:rPr>
              <w:t>0.1</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964" w:type="dxa"/>
            <w:vAlign w:val="center"/>
          </w:tcPr>
          <w:p>
            <w:pPr>
              <w:spacing w:line="280" w:lineRule="exact"/>
              <w:jc w:val="center"/>
              <w:rPr>
                <w:rFonts w:ascii="仿宋" w:hAnsi="仿宋" w:eastAsia="仿宋"/>
                <w:lang w:eastAsia="zh-CN"/>
              </w:rPr>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成安县医疗保障局（含所属单位）上年末固定资产金额为</w:t>
      </w:r>
      <w:r>
        <w:rPr>
          <w:rFonts w:hint="eastAsia" w:eastAsia="方正仿宋_GBK" w:cs="Times New Roman"/>
          <w:color w:val="000000"/>
          <w:sz w:val="28"/>
          <w:lang w:eastAsia="zh-CN"/>
        </w:rPr>
        <w:t>42.89</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320成安县医疗保障局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2"/>
              <w:rPr>
                <w:rFonts w:ascii="仿宋" w:hAnsi="仿宋" w:eastAsia="仿宋" w:cs="宋体"/>
                <w:sz w:val="32"/>
                <w:szCs w:val="32"/>
              </w:rPr>
            </w:pPr>
          </w:p>
        </w:tc>
        <w:tc>
          <w:tcPr>
            <w:tcW w:w="2835" w:type="dxa"/>
            <w:vAlign w:val="center"/>
          </w:tcPr>
          <w:p>
            <w:pPr>
              <w:pStyle w:val="12"/>
            </w:pPr>
          </w:p>
        </w:tc>
        <w:tc>
          <w:tcPr>
            <w:tcW w:w="2835" w:type="dxa"/>
            <w:vAlign w:val="center"/>
          </w:tcPr>
          <w:p>
            <w:pPr>
              <w:pStyle w:val="12"/>
              <w:rPr>
                <w:rFonts w:ascii="仿宋" w:hAnsi="仿宋" w:eastAsia="仿宋"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2"/>
            </w:pPr>
            <w:r>
              <w:rPr>
                <w:rFonts w:hint="eastAsia" w:ascii="仿宋" w:hAnsi="仿宋" w:eastAsia="仿宋" w:cs="宋体"/>
                <w:sz w:val="32"/>
                <w:szCs w:val="32"/>
              </w:rPr>
              <w:t>资产总额</w:t>
            </w:r>
          </w:p>
        </w:tc>
        <w:tc>
          <w:tcPr>
            <w:tcW w:w="2835" w:type="dxa"/>
            <w:vAlign w:val="center"/>
          </w:tcPr>
          <w:p>
            <w:pPr>
              <w:pStyle w:val="12"/>
            </w:pPr>
          </w:p>
        </w:tc>
        <w:tc>
          <w:tcPr>
            <w:tcW w:w="2835" w:type="dxa"/>
            <w:vAlign w:val="center"/>
          </w:tcPr>
          <w:p>
            <w:pPr>
              <w:pStyle w:val="12"/>
            </w:pPr>
            <w:r>
              <w:rPr>
                <w:rFonts w:hint="eastAsia" w:ascii="仿宋" w:hAnsi="仿宋" w:eastAsia="仿宋" w:cs="宋体"/>
                <w:sz w:val="32"/>
                <w:szCs w:val="32"/>
              </w:rPr>
              <w:t>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ascii="仿宋" w:hAnsi="仿宋" w:eastAsia="仿宋" w:cs="宋体"/>
                <w:sz w:val="32"/>
                <w:szCs w:val="32"/>
              </w:rPr>
              <w:t>1</w:t>
            </w:r>
            <w:r>
              <w:rPr>
                <w:rFonts w:hint="eastAsia" w:ascii="仿宋" w:hAnsi="仿宋" w:eastAsia="仿宋" w:cs="宋体"/>
                <w:sz w:val="32"/>
                <w:szCs w:val="32"/>
              </w:rPr>
              <w:t>、房屋（平方米）</w:t>
            </w:r>
          </w:p>
        </w:tc>
        <w:tc>
          <w:tcPr>
            <w:tcW w:w="2835" w:type="dxa"/>
            <w:vAlign w:val="center"/>
          </w:tcPr>
          <w:p>
            <w:pPr>
              <w:pStyle w:val="15"/>
              <w:rPr>
                <w:lang w:eastAsia="zh-CN"/>
              </w:rPr>
            </w:pPr>
            <w:r>
              <w:rPr>
                <w:rFonts w:hint="eastAsia"/>
                <w:lang w:eastAsia="zh-CN"/>
              </w:rPr>
              <w:t>181</w:t>
            </w:r>
          </w:p>
        </w:tc>
        <w:tc>
          <w:tcPr>
            <w:tcW w:w="2835" w:type="dxa"/>
            <w:vAlign w:val="center"/>
          </w:tcPr>
          <w:p>
            <w:pPr>
              <w:pStyle w:val="13"/>
            </w:pPr>
            <w:r>
              <w:rPr>
                <w:rFonts w:hint="eastAsia" w:ascii="仿宋" w:hAnsi="仿宋" w:eastAsia="仿宋"/>
                <w:sz w:val="32"/>
                <w:szCs w:val="32"/>
              </w:rPr>
              <w:t>占用人社局房屋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r>
              <w:rPr>
                <w:rFonts w:hint="eastAsia" w:ascii="仿宋" w:hAnsi="仿宋" w:eastAsia="仿宋" w:cs="宋体"/>
                <w:sz w:val="32"/>
                <w:szCs w:val="32"/>
              </w:rPr>
              <w:t>其中：办公用房（平方米）</w:t>
            </w:r>
          </w:p>
        </w:tc>
        <w:tc>
          <w:tcPr>
            <w:tcW w:w="2835" w:type="dxa"/>
            <w:vAlign w:val="center"/>
          </w:tcPr>
          <w:p>
            <w:pPr>
              <w:pStyle w:val="15"/>
            </w:pPr>
            <w:r>
              <w:rPr>
                <w:rFonts w:hint="eastAsia" w:ascii="仿宋" w:hAnsi="仿宋" w:eastAsia="仿宋"/>
                <w:sz w:val="32"/>
                <w:szCs w:val="32"/>
              </w:rPr>
              <w:t>181</w:t>
            </w:r>
          </w:p>
        </w:tc>
        <w:tc>
          <w:tcPr>
            <w:tcW w:w="2835" w:type="dxa"/>
            <w:vAlign w:val="center"/>
          </w:tcPr>
          <w:p>
            <w:pPr>
              <w:pStyle w:val="13"/>
            </w:pPr>
            <w:r>
              <w:rPr>
                <w:rFonts w:hint="eastAsia" w:ascii="仿宋" w:hAnsi="仿宋" w:eastAsia="仿宋"/>
                <w:sz w:val="32"/>
                <w:szCs w:val="32"/>
              </w:rPr>
              <w:t>占用人社局办公用房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2835" w:type="dxa"/>
            <w:vAlign w:val="center"/>
          </w:tcPr>
          <w:p>
            <w:pPr>
              <w:pStyle w:val="15"/>
            </w:pPr>
            <w:r>
              <w:rPr>
                <w:rFonts w:hint="eastAsia" w:ascii="仿宋" w:hAnsi="仿宋" w:eastAsia="仿宋"/>
                <w:sz w:val="32"/>
                <w:szCs w:val="32"/>
              </w:rPr>
              <w:t>3</w:t>
            </w:r>
          </w:p>
        </w:tc>
        <w:tc>
          <w:tcPr>
            <w:tcW w:w="2835" w:type="dxa"/>
            <w:vAlign w:val="center"/>
          </w:tcPr>
          <w:p>
            <w:pPr>
              <w:pStyle w:val="13"/>
              <w:rPr>
                <w:lang w:eastAsia="zh-CN"/>
              </w:rPr>
            </w:pPr>
            <w:r>
              <w:rPr>
                <w:rFonts w:hint="eastAsia"/>
                <w:lang w:eastAsia="zh-CN"/>
              </w:rP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2835" w:type="dxa"/>
            <w:vAlign w:val="center"/>
          </w:tcPr>
          <w:p>
            <w:pPr>
              <w:pStyle w:val="15"/>
              <w:rPr>
                <w:lang w:eastAsia="zh-CN"/>
              </w:rPr>
            </w:pPr>
            <w:r>
              <w:rPr>
                <w:rFonts w:hint="eastAsia"/>
                <w:lang w:eastAsia="zh-CN"/>
              </w:rPr>
              <w:t>64</w:t>
            </w:r>
          </w:p>
        </w:tc>
        <w:tc>
          <w:tcPr>
            <w:tcW w:w="2835" w:type="dxa"/>
            <w:vAlign w:val="center"/>
          </w:tcPr>
          <w:p>
            <w:pPr>
              <w:pStyle w:val="13"/>
              <w:rPr>
                <w:lang w:eastAsia="zh-CN"/>
              </w:rPr>
            </w:pPr>
            <w:r>
              <w:rPr>
                <w:rFonts w:hint="eastAsia"/>
                <w:lang w:eastAsia="zh-CN"/>
              </w:rP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仿宋" w:hAnsi="仿宋" w:eastAsia="仿宋" w:cs="宋体"/>
                <w:sz w:val="32"/>
                <w:szCs w:val="32"/>
              </w:rPr>
            </w:pPr>
          </w:p>
        </w:tc>
        <w:tc>
          <w:tcPr>
            <w:tcW w:w="2835" w:type="dxa"/>
            <w:vAlign w:val="center"/>
          </w:tcPr>
          <w:p>
            <w:pPr>
              <w:pStyle w:val="15"/>
            </w:pPr>
          </w:p>
        </w:tc>
        <w:tc>
          <w:tcPr>
            <w:tcW w:w="2835" w:type="dxa"/>
            <w:vAlign w:val="center"/>
          </w:tcPr>
          <w:p>
            <w:pPr>
              <w:pStyle w:val="13"/>
            </w:pP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25940"/>
    <w:multiLevelType w:val="singleLevel"/>
    <w:tmpl w:val="D0225940"/>
    <w:lvl w:ilvl="0" w:tentative="0">
      <w:start w:val="2"/>
      <w:numFmt w:val="chineseCounting"/>
      <w:suff w:val="nothing"/>
      <w:lvlText w:val="（%1）"/>
      <w:lvlJc w:val="left"/>
      <w:rPr>
        <w:rFonts w:hint="eastAsia"/>
      </w:rPr>
    </w:lvl>
  </w:abstractNum>
  <w:abstractNum w:abstractNumId="1">
    <w:nsid w:val="DB0BC2A1"/>
    <w:multiLevelType w:val="singleLevel"/>
    <w:tmpl w:val="DB0BC2A1"/>
    <w:lvl w:ilvl="0" w:tentative="0">
      <w:start w:val="3"/>
      <w:numFmt w:val="chineseCounting"/>
      <w:suff w:val="space"/>
      <w:lvlText w:val="第%1部分"/>
      <w:lvlJc w:val="left"/>
      <w:rPr>
        <w:rFonts w:hint="eastAsia"/>
      </w:rPr>
    </w:lvl>
  </w:abstractNum>
  <w:abstractNum w:abstractNumId="2">
    <w:nsid w:val="10F27B52"/>
    <w:multiLevelType w:val="singleLevel"/>
    <w:tmpl w:val="10F27B52"/>
    <w:lvl w:ilvl="0" w:tentative="0">
      <w:start w:val="1"/>
      <w:numFmt w:val="chineseCounting"/>
      <w:suff w:val="nothing"/>
      <w:lvlText w:val="（%1）"/>
      <w:lvlJc w:val="left"/>
      <w:rPr>
        <w:rFonts w:hint="eastAsia"/>
      </w:rPr>
    </w:lvl>
  </w:abstractNum>
  <w:abstractNum w:abstractNumId="3">
    <w:nsid w:val="3B22EE8F"/>
    <w:multiLevelType w:val="singleLevel"/>
    <w:tmpl w:val="3B22EE8F"/>
    <w:lvl w:ilvl="0" w:tentative="0">
      <w:start w:val="3"/>
      <w:numFmt w:val="chineseCounting"/>
      <w:suff w:val="nothing"/>
      <w:lvlText w:val="%1、"/>
      <w:lvlJc w:val="left"/>
      <w:rPr>
        <w:rFonts w:hint="eastAsia"/>
      </w:rPr>
    </w:lvl>
  </w:abstractNum>
  <w:abstractNum w:abstractNumId="4">
    <w:nsid w:val="60A5CF89"/>
    <w:multiLevelType w:val="singleLevel"/>
    <w:tmpl w:val="60A5CF89"/>
    <w:lvl w:ilvl="0" w:tentative="0">
      <w:start w:val="1"/>
      <w:numFmt w:val="chineseCounting"/>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g5OTE4M2NmYWZhNjI2NDlhYTlhMjBkMGViM2MyYzAifQ=="/>
  </w:docVars>
  <w:rsids>
    <w:rsidRoot w:val="00EE3F60"/>
    <w:rsid w:val="00093B0E"/>
    <w:rsid w:val="002F7A53"/>
    <w:rsid w:val="005906CB"/>
    <w:rsid w:val="007772BF"/>
    <w:rsid w:val="007F0A2A"/>
    <w:rsid w:val="00BA7432"/>
    <w:rsid w:val="00C70F7A"/>
    <w:rsid w:val="00EE3F60"/>
    <w:rsid w:val="0CC033C2"/>
    <w:rsid w:val="122D4717"/>
    <w:rsid w:val="30412533"/>
    <w:rsid w:val="353D1864"/>
    <w:rsid w:val="4ABA396F"/>
    <w:rsid w:val="64E717EB"/>
    <w:rsid w:val="6B3F0652"/>
    <w:rsid w:val="6EF7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2022-03-17T16:23:33Z</dcterms:created>
  <dcterms:modified xsi:type="dcterms:W3CDTF">2022-03-17T08:23:33Z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2022-03-17T16:23:33Z</dcterms:created>
  <dcterms:modified xsi:type="dcterms:W3CDTF">2022-03-17T08:23:33Z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2022-03-17T16:23:29Z</dcterms:created>
  <dcterms:modified xsi:type="dcterms:W3CDTF">2022-03-17T08:23:29Z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2022-03-17T16:23:27Z</dcterms:created>
  <dcterms:modified xsi:type="dcterms:W3CDTF">2022-03-17T08:23:27Z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2022-03-17T16:23:29Z</dcterms:created>
  <dcterms:modified xsi:type="dcterms:W3CDTF">2022-03-17T08:23:28Z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2022-03-17T16:23:31Z</dcterms:created>
  <dcterms:modified xsi:type="dcterms:W3CDTF">2022-03-17T08:23:31Z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8F215D-822E-4860-8377-AF32E4719727}">
  <ds:schemaRefs/>
</ds:datastoreItem>
</file>

<file path=customXml/itemProps10.xml><?xml version="1.0" encoding="utf-8"?>
<ds:datastoreItem xmlns:ds="http://schemas.openxmlformats.org/officeDocument/2006/customXml" ds:itemID="{159672F3-C0AF-4494-92F2-A1746D736728}">
  <ds:schemaRefs/>
</ds:datastoreItem>
</file>

<file path=customXml/itemProps11.xml><?xml version="1.0" encoding="utf-8"?>
<ds:datastoreItem xmlns:ds="http://schemas.openxmlformats.org/officeDocument/2006/customXml" ds:itemID="{431A9E69-750F-4271-B3C5-074B681DCFF9}">
  <ds:schemaRefs/>
</ds:datastoreItem>
</file>

<file path=customXml/itemProps12.xml><?xml version="1.0" encoding="utf-8"?>
<ds:datastoreItem xmlns:ds="http://schemas.openxmlformats.org/officeDocument/2006/customXml" ds:itemID="{5F6ABE3C-B9BF-4936-B497-90A330437329}">
  <ds:schemaRefs/>
</ds:datastoreItem>
</file>

<file path=customXml/itemProps13.xml><?xml version="1.0" encoding="utf-8"?>
<ds:datastoreItem xmlns:ds="http://schemas.openxmlformats.org/officeDocument/2006/customXml" ds:itemID="{C02C867E-9686-4FE5-ADEB-8FC48D776639}">
  <ds:schemaRefs/>
</ds:datastoreItem>
</file>

<file path=customXml/itemProps14.xml><?xml version="1.0" encoding="utf-8"?>
<ds:datastoreItem xmlns:ds="http://schemas.openxmlformats.org/officeDocument/2006/customXml" ds:itemID="{6F66F82C-367A-4A81-AE57-12E7A70B2883}">
  <ds:schemaRefs/>
</ds:datastoreItem>
</file>

<file path=customXml/itemProps15.xml><?xml version="1.0" encoding="utf-8"?>
<ds:datastoreItem xmlns:ds="http://schemas.openxmlformats.org/officeDocument/2006/customXml" ds:itemID="{CDAC2543-7144-46C4-B23E-38987828E355}">
  <ds:schemaRefs/>
</ds:datastoreItem>
</file>

<file path=customXml/itemProps16.xml><?xml version="1.0" encoding="utf-8"?>
<ds:datastoreItem xmlns:ds="http://schemas.openxmlformats.org/officeDocument/2006/customXml" ds:itemID="{551B8AFF-1CE8-4CEA-A430-88B871FB8ED5}">
  <ds:schemaRefs/>
</ds:datastoreItem>
</file>

<file path=customXml/itemProps17.xml><?xml version="1.0" encoding="utf-8"?>
<ds:datastoreItem xmlns:ds="http://schemas.openxmlformats.org/officeDocument/2006/customXml" ds:itemID="{24E9C847-87B3-480F-9131-BCDA68505C91}">
  <ds:schemaRefs/>
</ds:datastoreItem>
</file>

<file path=customXml/itemProps18.xml><?xml version="1.0" encoding="utf-8"?>
<ds:datastoreItem xmlns:ds="http://schemas.openxmlformats.org/officeDocument/2006/customXml" ds:itemID="{53CDC181-DCA1-47C7-B27C-B6BB98FDFB74}">
  <ds:schemaRefs/>
</ds:datastoreItem>
</file>

<file path=customXml/itemProps19.xml><?xml version="1.0" encoding="utf-8"?>
<ds:datastoreItem xmlns:ds="http://schemas.openxmlformats.org/officeDocument/2006/customXml" ds:itemID="{6764C891-9467-413E-90F8-30EBE694D5FB}">
  <ds:schemaRefs/>
</ds:datastoreItem>
</file>

<file path=customXml/itemProps2.xml><?xml version="1.0" encoding="utf-8"?>
<ds:datastoreItem xmlns:ds="http://schemas.openxmlformats.org/officeDocument/2006/customXml" ds:itemID="{5B892C74-7ED5-4015-851A-6BF01CB4A645}">
  <ds:schemaRefs/>
</ds:datastoreItem>
</file>

<file path=customXml/itemProps20.xml><?xml version="1.0" encoding="utf-8"?>
<ds:datastoreItem xmlns:ds="http://schemas.openxmlformats.org/officeDocument/2006/customXml" ds:itemID="{F998B176-144C-477C-8697-866C72D6195C}">
  <ds:schemaRefs/>
</ds:datastoreItem>
</file>

<file path=customXml/itemProps21.xml><?xml version="1.0" encoding="utf-8"?>
<ds:datastoreItem xmlns:ds="http://schemas.openxmlformats.org/officeDocument/2006/customXml" ds:itemID="{7AAF7CDB-6A8C-4A1C-9A2E-4CD595F7F3D4}">
  <ds:schemaRefs/>
</ds:datastoreItem>
</file>

<file path=customXml/itemProps22.xml><?xml version="1.0" encoding="utf-8"?>
<ds:datastoreItem xmlns:ds="http://schemas.openxmlformats.org/officeDocument/2006/customXml" ds:itemID="{E64CCF3F-1B93-4771-84FC-EAA4461BFB21}">
  <ds:schemaRefs/>
</ds:datastoreItem>
</file>

<file path=customXml/itemProps23.xml><?xml version="1.0" encoding="utf-8"?>
<ds:datastoreItem xmlns:ds="http://schemas.openxmlformats.org/officeDocument/2006/customXml" ds:itemID="{809DC30F-F16A-498D-9B10-B61B06D6770D}">
  <ds:schemaRefs/>
</ds:datastoreItem>
</file>

<file path=customXml/itemProps24.xml><?xml version="1.0" encoding="utf-8"?>
<ds:datastoreItem xmlns:ds="http://schemas.openxmlformats.org/officeDocument/2006/customXml" ds:itemID="{A33E1C5A-9427-4F9A-8E3C-32A8725360E3}">
  <ds:schemaRefs/>
</ds:datastoreItem>
</file>

<file path=customXml/itemProps25.xml><?xml version="1.0" encoding="utf-8"?>
<ds:datastoreItem xmlns:ds="http://schemas.openxmlformats.org/officeDocument/2006/customXml" ds:itemID="{CAA7FC3D-80C4-48B0-986A-BD2143A1AAF2}">
  <ds:schemaRefs/>
</ds:datastoreItem>
</file>

<file path=customXml/itemProps26.xml><?xml version="1.0" encoding="utf-8"?>
<ds:datastoreItem xmlns:ds="http://schemas.openxmlformats.org/officeDocument/2006/customXml" ds:itemID="{5D33249E-DC9B-495A-A4A6-870DF09CC0C3}">
  <ds:schemaRefs/>
</ds:datastoreItem>
</file>

<file path=customXml/itemProps27.xml><?xml version="1.0" encoding="utf-8"?>
<ds:datastoreItem xmlns:ds="http://schemas.openxmlformats.org/officeDocument/2006/customXml" ds:itemID="{8C19DE2A-C351-4438-A908-AAD9E1CFDB2C}">
  <ds:schemaRefs/>
</ds:datastoreItem>
</file>

<file path=customXml/itemProps28.xml><?xml version="1.0" encoding="utf-8"?>
<ds:datastoreItem xmlns:ds="http://schemas.openxmlformats.org/officeDocument/2006/customXml" ds:itemID="{4214B4C7-E035-4FEB-A59E-32FFF9F519D5}">
  <ds:schemaRefs/>
</ds:datastoreItem>
</file>

<file path=customXml/itemProps29.xml><?xml version="1.0" encoding="utf-8"?>
<ds:datastoreItem xmlns:ds="http://schemas.openxmlformats.org/officeDocument/2006/customXml" ds:itemID="{89153D50-56BB-4BB9-913D-95C47B02558F}">
  <ds:schemaRefs/>
</ds:datastoreItem>
</file>

<file path=customXml/itemProps3.xml><?xml version="1.0" encoding="utf-8"?>
<ds:datastoreItem xmlns:ds="http://schemas.openxmlformats.org/officeDocument/2006/customXml" ds:itemID="{F5E2D9C2-F811-4135-AF3A-6D0002B942B2}">
  <ds:schemaRefs/>
</ds:datastoreItem>
</file>

<file path=customXml/itemProps30.xml><?xml version="1.0" encoding="utf-8"?>
<ds:datastoreItem xmlns:ds="http://schemas.openxmlformats.org/officeDocument/2006/customXml" ds:itemID="{E5FEFECF-D76D-4625-AE55-603595C03DE8}">
  <ds:schemaRefs/>
</ds:datastoreItem>
</file>

<file path=customXml/itemProps31.xml><?xml version="1.0" encoding="utf-8"?>
<ds:datastoreItem xmlns:ds="http://schemas.openxmlformats.org/officeDocument/2006/customXml" ds:itemID="{90A30486-0EFA-4C17-B78A-A82B99EB935C}">
  <ds:schemaRefs/>
</ds:datastoreItem>
</file>

<file path=customXml/itemProps32.xml><?xml version="1.0" encoding="utf-8"?>
<ds:datastoreItem xmlns:ds="http://schemas.openxmlformats.org/officeDocument/2006/customXml" ds:itemID="{7B5818C9-AD3A-44A4-98DD-3627C6B69DE6}">
  <ds:schemaRefs/>
</ds:datastoreItem>
</file>

<file path=customXml/itemProps33.xml><?xml version="1.0" encoding="utf-8"?>
<ds:datastoreItem xmlns:ds="http://schemas.openxmlformats.org/officeDocument/2006/customXml" ds:itemID="{7B32D9A6-6520-4623-AD01-65266E9F50D5}">
  <ds:schemaRefs/>
</ds:datastoreItem>
</file>

<file path=customXml/itemProps34.xml><?xml version="1.0" encoding="utf-8"?>
<ds:datastoreItem xmlns:ds="http://schemas.openxmlformats.org/officeDocument/2006/customXml" ds:itemID="{4A312367-AF72-4A36-9480-CF7AFDB72DC9}">
  <ds:schemaRefs/>
</ds:datastoreItem>
</file>

<file path=customXml/itemProps4.xml><?xml version="1.0" encoding="utf-8"?>
<ds:datastoreItem xmlns:ds="http://schemas.openxmlformats.org/officeDocument/2006/customXml" ds:itemID="{08A0E0F9-C1F3-4B1A-9CF1-E5AFA79D3621}">
  <ds:schemaRefs/>
</ds:datastoreItem>
</file>

<file path=customXml/itemProps5.xml><?xml version="1.0" encoding="utf-8"?>
<ds:datastoreItem xmlns:ds="http://schemas.openxmlformats.org/officeDocument/2006/customXml" ds:itemID="{6AF31B7A-606F-4676-BD4E-382C1F864513}">
  <ds:schemaRefs/>
</ds:datastoreItem>
</file>

<file path=customXml/itemProps6.xml><?xml version="1.0" encoding="utf-8"?>
<ds:datastoreItem xmlns:ds="http://schemas.openxmlformats.org/officeDocument/2006/customXml" ds:itemID="{56E1A46F-E2BB-4E7E-A642-AF7BC89735F0}">
  <ds:schemaRefs/>
</ds:datastoreItem>
</file>

<file path=customXml/itemProps7.xml><?xml version="1.0" encoding="utf-8"?>
<ds:datastoreItem xmlns:ds="http://schemas.openxmlformats.org/officeDocument/2006/customXml" ds:itemID="{E0DB2FBB-ABB1-428A-A848-6654047D29DE}">
  <ds:schemaRefs/>
</ds:datastoreItem>
</file>

<file path=customXml/itemProps8.xml><?xml version="1.0" encoding="utf-8"?>
<ds:datastoreItem xmlns:ds="http://schemas.openxmlformats.org/officeDocument/2006/customXml" ds:itemID="{B91A0976-A581-4EA4-8166-5F62FC1201A9}">
  <ds:schemaRefs/>
</ds:datastoreItem>
</file>

<file path=customXml/itemProps9.xml><?xml version="1.0" encoding="utf-8"?>
<ds:datastoreItem xmlns:ds="http://schemas.openxmlformats.org/officeDocument/2006/customXml" ds:itemID="{4139C567-6C06-4A12-82FD-E9DE2F0EDF2D}">
  <ds:schemaRefs/>
</ds:datastoreItem>
</file>

<file path=docProps/app.xml><?xml version="1.0" encoding="utf-8"?>
<Properties xmlns="http://schemas.openxmlformats.org/officeDocument/2006/extended-properties" xmlns:vt="http://schemas.openxmlformats.org/officeDocument/2006/docPropsVTypes">
  <Template>Normal</Template>
  <Pages>37</Pages>
  <Words>2417</Words>
  <Characters>13778</Characters>
  <Lines>114</Lines>
  <Paragraphs>32</Paragraphs>
  <TotalTime>5</TotalTime>
  <ScaleCrop>false</ScaleCrop>
  <LinksUpToDate>false</LinksUpToDate>
  <CharactersWithSpaces>16163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2022-03-17T16:23:00Z</dcterms:created>
  <dc:creator>Administrator</dc:creator>
  <cp:lastModifiedBy>彤</cp:lastModifiedBy>
  <dcterms:modified xsi:type="dcterms:W3CDTF">2024-01-23T07:24:03Z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C29B55AB04294A539C2E66042651D27A</vt:lpwstr>
  </property>
</Properties>
</file>