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成安县人民代表大会常务委员会所属单位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rPr>
          <w:lang w:eastAsia="zh-CN"/>
        </w:rPr>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end"/>
      </w:r>
      <w:r>
        <w:rPr>
          <w:rFonts w:hint="eastAsia"/>
          <w:lang w:eastAsia="zh-CN"/>
        </w:rPr>
        <w:t>5</w:t>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6</w:t>
      </w:r>
      <w:r>
        <w:rPr>
          <w:rFonts w:hint="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7</w:t>
      </w:r>
      <w:r>
        <w:rPr>
          <w:rFonts w:hint="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9</w:t>
      </w:r>
      <w:r>
        <w:rPr>
          <w:rFonts w:hint="eastAsia"/>
          <w:lang w:eastAsia="zh-CN"/>
        </w:rPr>
        <w:fldChar w:fldCharType="end"/>
      </w:r>
    </w:p>
    <w:p>
      <w:pPr>
        <w:pStyle w:val="5"/>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1</w:t>
      </w:r>
      <w:r>
        <w:rPr>
          <w:rFonts w:hint="eastAsia"/>
          <w:lang w:eastAsia="zh-CN"/>
        </w:rPr>
        <w:fldChar w:fldCharType="end"/>
      </w:r>
      <w:r>
        <w:rPr>
          <w:rFonts w:hint="eastAsia"/>
          <w:lang w:eastAsia="zh-CN"/>
        </w:rPr>
        <w:t>0</w:t>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w:t>
      </w:r>
      <w:r>
        <w:rPr>
          <w:rFonts w:hint="eastAsia"/>
          <w:lang w:eastAsia="zh-CN"/>
        </w:rPr>
        <w:t>2</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eastAsia="zh-CN"/>
        </w:rPr>
        <w:t>3</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w:t>
      </w:r>
      <w:r>
        <w:rPr>
          <w:rFonts w:hint="eastAsia"/>
          <w:lang w:eastAsia="zh-CN"/>
        </w:rPr>
        <w:t>4</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w:t>
      </w:r>
      <w:r>
        <w:rPr>
          <w:rFonts w:hint="eastAsia"/>
          <w:lang w:eastAsia="zh-CN"/>
        </w:rPr>
        <w:t>6</w:t>
      </w:r>
      <w:r>
        <w:fldChar w:fldCharType="end"/>
      </w:r>
      <w:r>
        <w:fldChar w:fldCharType="end"/>
      </w:r>
    </w:p>
    <w:p>
      <w:pPr>
        <w:pStyle w:val="5"/>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2</w:t>
      </w:r>
      <w:r>
        <w:rPr>
          <w:rFonts w:hint="eastAsia"/>
          <w:lang w:eastAsia="zh-CN"/>
        </w:rPr>
        <w:fldChar w:fldCharType="end"/>
      </w:r>
      <w:r>
        <w:rPr>
          <w:rFonts w:hint="eastAsia"/>
          <w:lang w:eastAsia="zh-CN"/>
        </w:rPr>
        <w:t>2</w:t>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2</w:t>
      </w:r>
      <w:r>
        <w:rPr>
          <w:rFonts w:hint="eastAsia"/>
          <w:lang w:eastAsia="zh-CN"/>
        </w:rPr>
        <w:fldChar w:fldCharType="end"/>
      </w:r>
      <w:r>
        <w:rPr>
          <w:rFonts w:hint="eastAsia"/>
          <w:lang w:eastAsia="zh-CN"/>
        </w:rPr>
        <w:t>2</w:t>
      </w: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w:t>
      </w:r>
      <w:r>
        <w:rPr>
          <w:rFonts w:hint="eastAsia"/>
          <w:lang w:eastAsia="zh-CN"/>
        </w:rPr>
        <w:fldChar w:fldCharType="end"/>
      </w:r>
      <w:r>
        <w:rPr>
          <w:rFonts w:hint="eastAsia"/>
          <w:lang w:eastAsia="zh-CN"/>
        </w:rPr>
        <w:t>3</w:t>
      </w:r>
    </w:p>
    <w:p>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2</w:t>
      </w:r>
      <w:r>
        <w:rPr>
          <w:rFonts w:hint="eastAsia"/>
          <w:lang w:eastAsia="zh-CN"/>
        </w:rPr>
        <w:fldChar w:fldCharType="end"/>
      </w:r>
      <w:r>
        <w:rPr>
          <w:rFonts w:hint="eastAsia"/>
          <w:lang w:eastAsia="zh-CN"/>
        </w:rPr>
        <w:t>3</w:t>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eastAsia="zh-CN"/>
        </w:rPr>
        <w:t>36</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2</w:t>
      </w:r>
      <w:r>
        <w:rPr>
          <w:rFonts w:hint="eastAsia"/>
          <w:lang w:eastAsia="zh-CN"/>
        </w:rPr>
        <w:fldChar w:fldCharType="end"/>
      </w:r>
      <w:r>
        <w:rPr>
          <w:rFonts w:hint="eastAsia"/>
          <w:lang w:eastAsia="zh-CN"/>
        </w:rPr>
        <w:t>8</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2</w:t>
      </w:r>
      <w:r>
        <w:rPr>
          <w:rFonts w:hint="eastAsia"/>
          <w:lang w:eastAsia="zh-CN"/>
        </w:rPr>
        <w:fldChar w:fldCharType="end"/>
      </w:r>
      <w:r>
        <w:rPr>
          <w:rFonts w:hint="eastAsia"/>
          <w:lang w:eastAsia="zh-CN"/>
        </w:rPr>
        <w:t>8</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eastAsia="zh-CN"/>
        </w:rPr>
        <w:t>38</w:t>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ascii="方正小标宋_GBK" w:hAnsi="方正小标宋_GBK" w:eastAsia="方正小标宋_GBK" w:cs="方正小标宋_GBK"/>
          <w:color w:val="000000"/>
          <w:sz w:val="44"/>
        </w:rPr>
        <w:t>一、成安县人民代表大会常务委员会收支预算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101001成安县人民代表大会常务委员会</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370.48</w:t>
            </w:r>
          </w:p>
        </w:tc>
        <w:tc>
          <w:tcPr>
            <w:tcW w:w="4535" w:type="dxa"/>
            <w:vAlign w:val="center"/>
          </w:tcPr>
          <w:p>
            <w:pPr>
              <w:pStyle w:val="16"/>
            </w:pPr>
            <w:r>
              <w:t>一、一般公共服务支出</w:t>
            </w:r>
          </w:p>
        </w:tc>
        <w:tc>
          <w:tcPr>
            <w:tcW w:w="2126" w:type="dxa"/>
            <w:vAlign w:val="center"/>
          </w:tcPr>
          <w:p>
            <w:pPr>
              <w:pStyle w:val="15"/>
            </w:pPr>
            <w:r>
              <w:t>299.22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40.75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370.48</w:t>
            </w:r>
          </w:p>
        </w:tc>
        <w:tc>
          <w:tcPr>
            <w:tcW w:w="4535" w:type="dxa"/>
            <w:vAlign w:val="center"/>
          </w:tcPr>
          <w:p>
            <w:pPr>
              <w:pStyle w:val="18"/>
            </w:pPr>
            <w:r>
              <w:t>本年支出合计</w:t>
            </w:r>
          </w:p>
        </w:tc>
        <w:tc>
          <w:tcPr>
            <w:tcW w:w="2126" w:type="dxa"/>
            <w:vAlign w:val="center"/>
          </w:tcPr>
          <w:p>
            <w:pPr>
              <w:pStyle w:val="19"/>
            </w:pPr>
            <w:r>
              <w:t>370.48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370.48</w:t>
            </w:r>
          </w:p>
        </w:tc>
        <w:tc>
          <w:tcPr>
            <w:tcW w:w="4535" w:type="dxa"/>
            <w:vAlign w:val="center"/>
          </w:tcPr>
          <w:p>
            <w:pPr>
              <w:pStyle w:val="18"/>
            </w:pPr>
            <w:r>
              <w:t>支出总计</w:t>
            </w:r>
          </w:p>
        </w:tc>
        <w:tc>
          <w:tcPr>
            <w:tcW w:w="2126" w:type="dxa"/>
            <w:vAlign w:val="center"/>
          </w:tcPr>
          <w:p>
            <w:pPr>
              <w:pStyle w:val="19"/>
            </w:pPr>
            <w:r>
              <w:t>370.48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101001成安县人民代表大会常务委员会</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370.48</w:t>
            </w:r>
          </w:p>
        </w:tc>
        <w:tc>
          <w:tcPr>
            <w:tcW w:w="1134" w:type="dxa"/>
            <w:vAlign w:val="center"/>
          </w:tcPr>
          <w:p>
            <w:pPr>
              <w:pStyle w:val="19"/>
            </w:pPr>
            <w:r>
              <w:t>370.48</w:t>
            </w:r>
          </w:p>
        </w:tc>
        <w:tc>
          <w:tcPr>
            <w:tcW w:w="1134" w:type="dxa"/>
            <w:vAlign w:val="center"/>
          </w:tcPr>
          <w:p>
            <w:pPr>
              <w:pStyle w:val="19"/>
            </w:pPr>
            <w:r>
              <w:t>370.48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299.22</w:t>
            </w:r>
          </w:p>
        </w:tc>
        <w:tc>
          <w:tcPr>
            <w:tcW w:w="1134" w:type="dxa"/>
            <w:vAlign w:val="center"/>
          </w:tcPr>
          <w:p>
            <w:pPr>
              <w:pStyle w:val="15"/>
            </w:pPr>
            <w:r>
              <w:t>299.22</w:t>
            </w:r>
          </w:p>
        </w:tc>
        <w:tc>
          <w:tcPr>
            <w:tcW w:w="1134" w:type="dxa"/>
            <w:vAlign w:val="center"/>
          </w:tcPr>
          <w:p>
            <w:pPr>
              <w:pStyle w:val="15"/>
            </w:pPr>
            <w:r>
              <w:t>299.22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20101</w:t>
            </w:r>
          </w:p>
        </w:tc>
        <w:tc>
          <w:tcPr>
            <w:tcW w:w="1559" w:type="dxa"/>
            <w:vAlign w:val="center"/>
          </w:tcPr>
          <w:p>
            <w:pPr>
              <w:pStyle w:val="16"/>
            </w:pPr>
            <w:r>
              <w:t>人大事务</w:t>
            </w:r>
          </w:p>
        </w:tc>
        <w:tc>
          <w:tcPr>
            <w:tcW w:w="1134" w:type="dxa"/>
            <w:vAlign w:val="center"/>
          </w:tcPr>
          <w:p>
            <w:pPr>
              <w:pStyle w:val="15"/>
            </w:pPr>
            <w:r>
              <w:t>299.22</w:t>
            </w:r>
          </w:p>
        </w:tc>
        <w:tc>
          <w:tcPr>
            <w:tcW w:w="1134" w:type="dxa"/>
            <w:vAlign w:val="center"/>
          </w:tcPr>
          <w:p>
            <w:pPr>
              <w:pStyle w:val="15"/>
            </w:pPr>
            <w:r>
              <w:t>299.22</w:t>
            </w:r>
          </w:p>
        </w:tc>
        <w:tc>
          <w:tcPr>
            <w:tcW w:w="1134" w:type="dxa"/>
            <w:vAlign w:val="center"/>
          </w:tcPr>
          <w:p>
            <w:pPr>
              <w:pStyle w:val="15"/>
            </w:pPr>
            <w:r>
              <w:t>299.22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2010101</w:t>
            </w:r>
          </w:p>
        </w:tc>
        <w:tc>
          <w:tcPr>
            <w:tcW w:w="1559" w:type="dxa"/>
            <w:vAlign w:val="center"/>
          </w:tcPr>
          <w:p>
            <w:pPr>
              <w:pStyle w:val="16"/>
            </w:pPr>
            <w:r>
              <w:t>行政运行</w:t>
            </w:r>
          </w:p>
        </w:tc>
        <w:tc>
          <w:tcPr>
            <w:tcW w:w="1134" w:type="dxa"/>
            <w:vAlign w:val="center"/>
          </w:tcPr>
          <w:p>
            <w:pPr>
              <w:pStyle w:val="15"/>
            </w:pPr>
            <w:r>
              <w:t>274.22</w:t>
            </w:r>
          </w:p>
        </w:tc>
        <w:tc>
          <w:tcPr>
            <w:tcW w:w="1134" w:type="dxa"/>
            <w:vAlign w:val="center"/>
          </w:tcPr>
          <w:p>
            <w:pPr>
              <w:pStyle w:val="15"/>
            </w:pPr>
            <w:r>
              <w:t>274.22</w:t>
            </w:r>
          </w:p>
        </w:tc>
        <w:tc>
          <w:tcPr>
            <w:tcW w:w="1134" w:type="dxa"/>
            <w:vAlign w:val="center"/>
          </w:tcPr>
          <w:p>
            <w:pPr>
              <w:pStyle w:val="15"/>
            </w:pPr>
            <w:r>
              <w:t>274.22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2010104</w:t>
            </w:r>
          </w:p>
        </w:tc>
        <w:tc>
          <w:tcPr>
            <w:tcW w:w="1559" w:type="dxa"/>
            <w:vAlign w:val="center"/>
          </w:tcPr>
          <w:p>
            <w:pPr>
              <w:pStyle w:val="16"/>
            </w:pPr>
            <w:r>
              <w:t>人大会议</w:t>
            </w:r>
          </w:p>
        </w:tc>
        <w:tc>
          <w:tcPr>
            <w:tcW w:w="1134" w:type="dxa"/>
            <w:vAlign w:val="center"/>
          </w:tcPr>
          <w:p>
            <w:pPr>
              <w:pStyle w:val="15"/>
            </w:pPr>
            <w:r>
              <w:t>25.00</w:t>
            </w:r>
          </w:p>
        </w:tc>
        <w:tc>
          <w:tcPr>
            <w:tcW w:w="1134" w:type="dxa"/>
            <w:vAlign w:val="center"/>
          </w:tcPr>
          <w:p>
            <w:pPr>
              <w:pStyle w:val="15"/>
            </w:pPr>
            <w:r>
              <w:t>25.00</w:t>
            </w:r>
          </w:p>
        </w:tc>
        <w:tc>
          <w:tcPr>
            <w:tcW w:w="1134" w:type="dxa"/>
            <w:vAlign w:val="center"/>
          </w:tcPr>
          <w:p>
            <w:pPr>
              <w:pStyle w:val="15"/>
            </w:pPr>
            <w:r>
              <w:t>25.00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40.75</w:t>
            </w:r>
          </w:p>
        </w:tc>
        <w:tc>
          <w:tcPr>
            <w:tcW w:w="1134" w:type="dxa"/>
            <w:vAlign w:val="center"/>
          </w:tcPr>
          <w:p>
            <w:pPr>
              <w:pStyle w:val="15"/>
            </w:pPr>
            <w:r>
              <w:t>40.75</w:t>
            </w:r>
          </w:p>
        </w:tc>
        <w:tc>
          <w:tcPr>
            <w:tcW w:w="1134" w:type="dxa"/>
            <w:vAlign w:val="center"/>
          </w:tcPr>
          <w:p>
            <w:pPr>
              <w:pStyle w:val="15"/>
            </w:pPr>
            <w:r>
              <w:t>40.75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39.41</w:t>
            </w:r>
          </w:p>
        </w:tc>
        <w:tc>
          <w:tcPr>
            <w:tcW w:w="1134" w:type="dxa"/>
            <w:vAlign w:val="center"/>
          </w:tcPr>
          <w:p>
            <w:pPr>
              <w:pStyle w:val="15"/>
            </w:pPr>
            <w:r>
              <w:t>39.41</w:t>
            </w:r>
          </w:p>
        </w:tc>
        <w:tc>
          <w:tcPr>
            <w:tcW w:w="1134" w:type="dxa"/>
            <w:vAlign w:val="center"/>
          </w:tcPr>
          <w:p>
            <w:pPr>
              <w:pStyle w:val="15"/>
            </w:pPr>
            <w:r>
              <w:t>39.41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26.27</w:t>
            </w:r>
          </w:p>
        </w:tc>
        <w:tc>
          <w:tcPr>
            <w:tcW w:w="1134" w:type="dxa"/>
            <w:vAlign w:val="center"/>
          </w:tcPr>
          <w:p>
            <w:pPr>
              <w:pStyle w:val="15"/>
            </w:pPr>
            <w:r>
              <w:t>26.27</w:t>
            </w:r>
          </w:p>
        </w:tc>
        <w:tc>
          <w:tcPr>
            <w:tcW w:w="1134" w:type="dxa"/>
            <w:vAlign w:val="center"/>
          </w:tcPr>
          <w:p>
            <w:pPr>
              <w:pStyle w:val="15"/>
            </w:pPr>
            <w:r>
              <w:t>26.27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13.14</w:t>
            </w:r>
          </w:p>
        </w:tc>
        <w:tc>
          <w:tcPr>
            <w:tcW w:w="1134" w:type="dxa"/>
            <w:vAlign w:val="center"/>
          </w:tcPr>
          <w:p>
            <w:pPr>
              <w:pStyle w:val="15"/>
            </w:pPr>
            <w:r>
              <w:t>13.14</w:t>
            </w:r>
          </w:p>
        </w:tc>
        <w:tc>
          <w:tcPr>
            <w:tcW w:w="1134" w:type="dxa"/>
            <w:vAlign w:val="center"/>
          </w:tcPr>
          <w:p>
            <w:pPr>
              <w:pStyle w:val="15"/>
            </w:pPr>
            <w:r>
              <w:t>13.14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1.34</w:t>
            </w:r>
          </w:p>
        </w:tc>
        <w:tc>
          <w:tcPr>
            <w:tcW w:w="1134" w:type="dxa"/>
            <w:vAlign w:val="center"/>
          </w:tcPr>
          <w:p>
            <w:pPr>
              <w:pStyle w:val="15"/>
            </w:pPr>
            <w:r>
              <w:t>1.34</w:t>
            </w:r>
          </w:p>
        </w:tc>
        <w:tc>
          <w:tcPr>
            <w:tcW w:w="1134" w:type="dxa"/>
            <w:vAlign w:val="center"/>
          </w:tcPr>
          <w:p>
            <w:pPr>
              <w:pStyle w:val="15"/>
            </w:pPr>
            <w:r>
              <w:t>1.34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2080801</w:t>
            </w:r>
          </w:p>
        </w:tc>
        <w:tc>
          <w:tcPr>
            <w:tcW w:w="1559" w:type="dxa"/>
            <w:vAlign w:val="center"/>
          </w:tcPr>
          <w:p>
            <w:pPr>
              <w:pStyle w:val="16"/>
            </w:pPr>
            <w:r>
              <w:t>死亡抚恤</w:t>
            </w:r>
          </w:p>
        </w:tc>
        <w:tc>
          <w:tcPr>
            <w:tcW w:w="1134" w:type="dxa"/>
            <w:vAlign w:val="center"/>
          </w:tcPr>
          <w:p>
            <w:pPr>
              <w:pStyle w:val="15"/>
            </w:pPr>
            <w:r>
              <w:t>1.34</w:t>
            </w:r>
          </w:p>
        </w:tc>
        <w:tc>
          <w:tcPr>
            <w:tcW w:w="1134" w:type="dxa"/>
            <w:vAlign w:val="center"/>
          </w:tcPr>
          <w:p>
            <w:pPr>
              <w:pStyle w:val="15"/>
            </w:pPr>
            <w:r>
              <w:t>1.34</w:t>
            </w:r>
          </w:p>
        </w:tc>
        <w:tc>
          <w:tcPr>
            <w:tcW w:w="1134" w:type="dxa"/>
            <w:vAlign w:val="center"/>
          </w:tcPr>
          <w:p>
            <w:pPr>
              <w:pStyle w:val="15"/>
            </w:pPr>
            <w:r>
              <w:t>1.34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12.24</w:t>
            </w:r>
          </w:p>
        </w:tc>
        <w:tc>
          <w:tcPr>
            <w:tcW w:w="1134" w:type="dxa"/>
            <w:vAlign w:val="center"/>
          </w:tcPr>
          <w:p>
            <w:pPr>
              <w:pStyle w:val="15"/>
            </w:pPr>
            <w:r>
              <w:t>12.24</w:t>
            </w:r>
          </w:p>
        </w:tc>
        <w:tc>
          <w:tcPr>
            <w:tcW w:w="1134" w:type="dxa"/>
            <w:vAlign w:val="center"/>
          </w:tcPr>
          <w:p>
            <w:pPr>
              <w:pStyle w:val="15"/>
            </w:pPr>
            <w:r>
              <w:t>12.24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12.24</w:t>
            </w:r>
          </w:p>
        </w:tc>
        <w:tc>
          <w:tcPr>
            <w:tcW w:w="1134" w:type="dxa"/>
            <w:vAlign w:val="center"/>
          </w:tcPr>
          <w:p>
            <w:pPr>
              <w:pStyle w:val="15"/>
            </w:pPr>
            <w:r>
              <w:t>12.24</w:t>
            </w:r>
          </w:p>
        </w:tc>
        <w:tc>
          <w:tcPr>
            <w:tcW w:w="1134" w:type="dxa"/>
            <w:vAlign w:val="center"/>
          </w:tcPr>
          <w:p>
            <w:pPr>
              <w:pStyle w:val="15"/>
            </w:pPr>
            <w:r>
              <w:t>12.24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12.24</w:t>
            </w:r>
          </w:p>
        </w:tc>
        <w:tc>
          <w:tcPr>
            <w:tcW w:w="1134" w:type="dxa"/>
            <w:vAlign w:val="center"/>
          </w:tcPr>
          <w:p>
            <w:pPr>
              <w:pStyle w:val="15"/>
            </w:pPr>
            <w:r>
              <w:t>12.24</w:t>
            </w:r>
          </w:p>
        </w:tc>
        <w:tc>
          <w:tcPr>
            <w:tcW w:w="1134" w:type="dxa"/>
            <w:vAlign w:val="center"/>
          </w:tcPr>
          <w:p>
            <w:pPr>
              <w:pStyle w:val="15"/>
            </w:pPr>
            <w:r>
              <w:t>12.24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18.27</w:t>
            </w:r>
          </w:p>
        </w:tc>
        <w:tc>
          <w:tcPr>
            <w:tcW w:w="1134" w:type="dxa"/>
            <w:vAlign w:val="center"/>
          </w:tcPr>
          <w:p>
            <w:pPr>
              <w:pStyle w:val="15"/>
            </w:pPr>
            <w:r>
              <w:t>18.27</w:t>
            </w:r>
          </w:p>
        </w:tc>
        <w:tc>
          <w:tcPr>
            <w:tcW w:w="1134" w:type="dxa"/>
            <w:vAlign w:val="center"/>
          </w:tcPr>
          <w:p>
            <w:pPr>
              <w:pStyle w:val="15"/>
            </w:pPr>
            <w:r>
              <w:t>18.27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18.27</w:t>
            </w:r>
          </w:p>
        </w:tc>
        <w:tc>
          <w:tcPr>
            <w:tcW w:w="1134" w:type="dxa"/>
            <w:vAlign w:val="center"/>
          </w:tcPr>
          <w:p>
            <w:pPr>
              <w:pStyle w:val="15"/>
            </w:pPr>
            <w:r>
              <w:t>18.27</w:t>
            </w:r>
          </w:p>
        </w:tc>
        <w:tc>
          <w:tcPr>
            <w:tcW w:w="1134" w:type="dxa"/>
            <w:vAlign w:val="center"/>
          </w:tcPr>
          <w:p>
            <w:pPr>
              <w:pStyle w:val="15"/>
            </w:pPr>
            <w:r>
              <w:t>18.27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18.27</w:t>
            </w:r>
          </w:p>
        </w:tc>
        <w:tc>
          <w:tcPr>
            <w:tcW w:w="1134" w:type="dxa"/>
            <w:vAlign w:val="center"/>
          </w:tcPr>
          <w:p>
            <w:pPr>
              <w:pStyle w:val="15"/>
            </w:pPr>
            <w:r>
              <w:t>18.27</w:t>
            </w:r>
          </w:p>
        </w:tc>
        <w:tc>
          <w:tcPr>
            <w:tcW w:w="1134" w:type="dxa"/>
            <w:vAlign w:val="center"/>
          </w:tcPr>
          <w:p>
            <w:pPr>
              <w:pStyle w:val="15"/>
            </w:pPr>
            <w:r>
              <w:t>18.27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101001成安县人民代表大会常务委员会</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370.48</w:t>
            </w:r>
          </w:p>
        </w:tc>
        <w:tc>
          <w:tcPr>
            <w:tcW w:w="1361" w:type="dxa"/>
            <w:vAlign w:val="center"/>
          </w:tcPr>
          <w:p>
            <w:pPr>
              <w:pStyle w:val="19"/>
            </w:pPr>
            <w:r>
              <w:t>344.58</w:t>
            </w:r>
          </w:p>
        </w:tc>
        <w:tc>
          <w:tcPr>
            <w:tcW w:w="1361" w:type="dxa"/>
            <w:vAlign w:val="center"/>
          </w:tcPr>
          <w:p>
            <w:pPr>
              <w:pStyle w:val="19"/>
            </w:pPr>
            <w:r>
              <w:t>25.90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6" w:type="dxa"/>
            <w:vAlign w:val="center"/>
          </w:tcPr>
          <w:p>
            <w:pPr>
              <w:pStyle w:val="16"/>
            </w:pPr>
            <w:r>
              <w:t>一般公共服务支出</w:t>
            </w:r>
          </w:p>
        </w:tc>
        <w:tc>
          <w:tcPr>
            <w:tcW w:w="1361" w:type="dxa"/>
            <w:vAlign w:val="center"/>
          </w:tcPr>
          <w:p>
            <w:pPr>
              <w:pStyle w:val="15"/>
            </w:pPr>
            <w:r>
              <w:t>299.22</w:t>
            </w:r>
          </w:p>
        </w:tc>
        <w:tc>
          <w:tcPr>
            <w:tcW w:w="1361" w:type="dxa"/>
            <w:vAlign w:val="center"/>
          </w:tcPr>
          <w:p>
            <w:pPr>
              <w:pStyle w:val="15"/>
            </w:pPr>
            <w:r>
              <w:t>273.32</w:t>
            </w:r>
          </w:p>
        </w:tc>
        <w:tc>
          <w:tcPr>
            <w:tcW w:w="1361" w:type="dxa"/>
            <w:vAlign w:val="center"/>
          </w:tcPr>
          <w:p>
            <w:pPr>
              <w:pStyle w:val="15"/>
            </w:pPr>
            <w:r>
              <w:t>25.90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20101</w:t>
            </w:r>
          </w:p>
        </w:tc>
        <w:tc>
          <w:tcPr>
            <w:tcW w:w="4536" w:type="dxa"/>
            <w:vAlign w:val="center"/>
          </w:tcPr>
          <w:p>
            <w:pPr>
              <w:pStyle w:val="16"/>
            </w:pPr>
            <w:r>
              <w:t>人大事务</w:t>
            </w:r>
          </w:p>
        </w:tc>
        <w:tc>
          <w:tcPr>
            <w:tcW w:w="1361" w:type="dxa"/>
            <w:vAlign w:val="center"/>
          </w:tcPr>
          <w:p>
            <w:pPr>
              <w:pStyle w:val="15"/>
            </w:pPr>
            <w:r>
              <w:t>299.22</w:t>
            </w:r>
          </w:p>
        </w:tc>
        <w:tc>
          <w:tcPr>
            <w:tcW w:w="1361" w:type="dxa"/>
            <w:vAlign w:val="center"/>
          </w:tcPr>
          <w:p>
            <w:pPr>
              <w:pStyle w:val="15"/>
            </w:pPr>
            <w:r>
              <w:t>273.32</w:t>
            </w:r>
          </w:p>
        </w:tc>
        <w:tc>
          <w:tcPr>
            <w:tcW w:w="1361" w:type="dxa"/>
            <w:vAlign w:val="center"/>
          </w:tcPr>
          <w:p>
            <w:pPr>
              <w:pStyle w:val="15"/>
            </w:pPr>
            <w:r>
              <w:t>25.90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2010101</w:t>
            </w:r>
          </w:p>
        </w:tc>
        <w:tc>
          <w:tcPr>
            <w:tcW w:w="4536" w:type="dxa"/>
            <w:vAlign w:val="center"/>
          </w:tcPr>
          <w:p>
            <w:pPr>
              <w:pStyle w:val="16"/>
            </w:pPr>
            <w:r>
              <w:t>行政运行</w:t>
            </w:r>
          </w:p>
        </w:tc>
        <w:tc>
          <w:tcPr>
            <w:tcW w:w="1361" w:type="dxa"/>
            <w:vAlign w:val="center"/>
          </w:tcPr>
          <w:p>
            <w:pPr>
              <w:pStyle w:val="15"/>
            </w:pPr>
            <w:r>
              <w:t>274.22</w:t>
            </w:r>
          </w:p>
        </w:tc>
        <w:tc>
          <w:tcPr>
            <w:tcW w:w="1361" w:type="dxa"/>
            <w:vAlign w:val="center"/>
          </w:tcPr>
          <w:p>
            <w:pPr>
              <w:pStyle w:val="15"/>
            </w:pPr>
            <w:r>
              <w:t>273.32</w:t>
            </w:r>
          </w:p>
        </w:tc>
        <w:tc>
          <w:tcPr>
            <w:tcW w:w="1361" w:type="dxa"/>
            <w:vAlign w:val="center"/>
          </w:tcPr>
          <w:p>
            <w:pPr>
              <w:pStyle w:val="15"/>
            </w:pPr>
            <w:r>
              <w:t>0.90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2010104</w:t>
            </w:r>
          </w:p>
        </w:tc>
        <w:tc>
          <w:tcPr>
            <w:tcW w:w="4536" w:type="dxa"/>
            <w:vAlign w:val="center"/>
          </w:tcPr>
          <w:p>
            <w:pPr>
              <w:pStyle w:val="16"/>
            </w:pPr>
            <w:r>
              <w:t>人大会议</w:t>
            </w:r>
          </w:p>
        </w:tc>
        <w:tc>
          <w:tcPr>
            <w:tcW w:w="1361" w:type="dxa"/>
            <w:vAlign w:val="center"/>
          </w:tcPr>
          <w:p>
            <w:pPr>
              <w:pStyle w:val="15"/>
            </w:pPr>
            <w:r>
              <w:t>25.00</w:t>
            </w:r>
          </w:p>
        </w:tc>
        <w:tc>
          <w:tcPr>
            <w:tcW w:w="1361" w:type="dxa"/>
            <w:vAlign w:val="center"/>
          </w:tcPr>
          <w:p>
            <w:pPr>
              <w:pStyle w:val="15"/>
            </w:pPr>
          </w:p>
        </w:tc>
        <w:tc>
          <w:tcPr>
            <w:tcW w:w="1361" w:type="dxa"/>
            <w:vAlign w:val="center"/>
          </w:tcPr>
          <w:p>
            <w:pPr>
              <w:pStyle w:val="15"/>
            </w:pPr>
            <w:r>
              <w:t>25.00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40.75</w:t>
            </w:r>
          </w:p>
        </w:tc>
        <w:tc>
          <w:tcPr>
            <w:tcW w:w="1361" w:type="dxa"/>
            <w:vAlign w:val="center"/>
          </w:tcPr>
          <w:p>
            <w:pPr>
              <w:pStyle w:val="15"/>
            </w:pPr>
            <w:r>
              <w:t>40.75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39.41</w:t>
            </w:r>
          </w:p>
        </w:tc>
        <w:tc>
          <w:tcPr>
            <w:tcW w:w="1361" w:type="dxa"/>
            <w:vAlign w:val="center"/>
          </w:tcPr>
          <w:p>
            <w:pPr>
              <w:pStyle w:val="15"/>
            </w:pPr>
            <w:r>
              <w:t>39.41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26.27</w:t>
            </w:r>
          </w:p>
        </w:tc>
        <w:tc>
          <w:tcPr>
            <w:tcW w:w="1361" w:type="dxa"/>
            <w:vAlign w:val="center"/>
          </w:tcPr>
          <w:p>
            <w:pPr>
              <w:pStyle w:val="15"/>
            </w:pPr>
            <w:r>
              <w:t>26.27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2080506</w:t>
            </w:r>
          </w:p>
        </w:tc>
        <w:tc>
          <w:tcPr>
            <w:tcW w:w="4536" w:type="dxa"/>
            <w:vAlign w:val="center"/>
          </w:tcPr>
          <w:p>
            <w:pPr>
              <w:pStyle w:val="16"/>
            </w:pPr>
            <w:r>
              <w:t>机关事业单位职业年金缴费支出</w:t>
            </w:r>
          </w:p>
        </w:tc>
        <w:tc>
          <w:tcPr>
            <w:tcW w:w="1361" w:type="dxa"/>
            <w:vAlign w:val="center"/>
          </w:tcPr>
          <w:p>
            <w:pPr>
              <w:pStyle w:val="15"/>
            </w:pPr>
            <w:r>
              <w:t>13.14</w:t>
            </w:r>
          </w:p>
        </w:tc>
        <w:tc>
          <w:tcPr>
            <w:tcW w:w="1361" w:type="dxa"/>
            <w:vAlign w:val="center"/>
          </w:tcPr>
          <w:p>
            <w:pPr>
              <w:pStyle w:val="15"/>
            </w:pPr>
            <w:r>
              <w:t>13.14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20808</w:t>
            </w:r>
          </w:p>
        </w:tc>
        <w:tc>
          <w:tcPr>
            <w:tcW w:w="4536" w:type="dxa"/>
            <w:vAlign w:val="center"/>
          </w:tcPr>
          <w:p>
            <w:pPr>
              <w:pStyle w:val="16"/>
            </w:pPr>
            <w:r>
              <w:t>抚恤</w:t>
            </w:r>
          </w:p>
        </w:tc>
        <w:tc>
          <w:tcPr>
            <w:tcW w:w="1361" w:type="dxa"/>
            <w:vAlign w:val="center"/>
          </w:tcPr>
          <w:p>
            <w:pPr>
              <w:pStyle w:val="15"/>
            </w:pPr>
            <w:r>
              <w:t>1.34</w:t>
            </w:r>
          </w:p>
        </w:tc>
        <w:tc>
          <w:tcPr>
            <w:tcW w:w="1361" w:type="dxa"/>
            <w:vAlign w:val="center"/>
          </w:tcPr>
          <w:p>
            <w:pPr>
              <w:pStyle w:val="15"/>
            </w:pPr>
            <w:r>
              <w:t>1.34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2080801</w:t>
            </w:r>
          </w:p>
        </w:tc>
        <w:tc>
          <w:tcPr>
            <w:tcW w:w="4536" w:type="dxa"/>
            <w:vAlign w:val="center"/>
          </w:tcPr>
          <w:p>
            <w:pPr>
              <w:pStyle w:val="16"/>
            </w:pPr>
            <w:r>
              <w:t>死亡抚恤</w:t>
            </w:r>
          </w:p>
        </w:tc>
        <w:tc>
          <w:tcPr>
            <w:tcW w:w="1361" w:type="dxa"/>
            <w:vAlign w:val="center"/>
          </w:tcPr>
          <w:p>
            <w:pPr>
              <w:pStyle w:val="15"/>
            </w:pPr>
            <w:r>
              <w:t>1.34</w:t>
            </w:r>
          </w:p>
        </w:tc>
        <w:tc>
          <w:tcPr>
            <w:tcW w:w="1361" w:type="dxa"/>
            <w:vAlign w:val="center"/>
          </w:tcPr>
          <w:p>
            <w:pPr>
              <w:pStyle w:val="15"/>
            </w:pPr>
            <w:r>
              <w:t>1.34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12.24</w:t>
            </w:r>
          </w:p>
        </w:tc>
        <w:tc>
          <w:tcPr>
            <w:tcW w:w="1361" w:type="dxa"/>
            <w:vAlign w:val="center"/>
          </w:tcPr>
          <w:p>
            <w:pPr>
              <w:pStyle w:val="15"/>
            </w:pPr>
            <w:r>
              <w:t>12.24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21012</w:t>
            </w:r>
          </w:p>
        </w:tc>
        <w:tc>
          <w:tcPr>
            <w:tcW w:w="4536" w:type="dxa"/>
            <w:vAlign w:val="center"/>
          </w:tcPr>
          <w:p>
            <w:pPr>
              <w:pStyle w:val="16"/>
            </w:pPr>
            <w:r>
              <w:t>财政对基本医疗保险基金的补助</w:t>
            </w:r>
          </w:p>
        </w:tc>
        <w:tc>
          <w:tcPr>
            <w:tcW w:w="1361" w:type="dxa"/>
            <w:vAlign w:val="center"/>
          </w:tcPr>
          <w:p>
            <w:pPr>
              <w:pStyle w:val="15"/>
            </w:pPr>
            <w:r>
              <w:t>12.24</w:t>
            </w:r>
          </w:p>
        </w:tc>
        <w:tc>
          <w:tcPr>
            <w:tcW w:w="1361" w:type="dxa"/>
            <w:vAlign w:val="center"/>
          </w:tcPr>
          <w:p>
            <w:pPr>
              <w:pStyle w:val="15"/>
            </w:pPr>
            <w:r>
              <w:t>12.24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2101201</w:t>
            </w:r>
          </w:p>
        </w:tc>
        <w:tc>
          <w:tcPr>
            <w:tcW w:w="4536" w:type="dxa"/>
            <w:vAlign w:val="center"/>
          </w:tcPr>
          <w:p>
            <w:pPr>
              <w:pStyle w:val="16"/>
            </w:pPr>
            <w:r>
              <w:t>财政对职工基本医疗保险基金的补助</w:t>
            </w:r>
          </w:p>
        </w:tc>
        <w:tc>
          <w:tcPr>
            <w:tcW w:w="1361" w:type="dxa"/>
            <w:vAlign w:val="center"/>
          </w:tcPr>
          <w:p>
            <w:pPr>
              <w:pStyle w:val="15"/>
            </w:pPr>
            <w:r>
              <w:t>12.24</w:t>
            </w:r>
          </w:p>
        </w:tc>
        <w:tc>
          <w:tcPr>
            <w:tcW w:w="1361" w:type="dxa"/>
            <w:vAlign w:val="center"/>
          </w:tcPr>
          <w:p>
            <w:pPr>
              <w:pStyle w:val="15"/>
            </w:pPr>
            <w:r>
              <w:t>12.24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18.27</w:t>
            </w:r>
          </w:p>
        </w:tc>
        <w:tc>
          <w:tcPr>
            <w:tcW w:w="1361" w:type="dxa"/>
            <w:vAlign w:val="center"/>
          </w:tcPr>
          <w:p>
            <w:pPr>
              <w:pStyle w:val="15"/>
            </w:pPr>
            <w:r>
              <w:t>18.27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18.27</w:t>
            </w:r>
          </w:p>
        </w:tc>
        <w:tc>
          <w:tcPr>
            <w:tcW w:w="1361" w:type="dxa"/>
            <w:vAlign w:val="center"/>
          </w:tcPr>
          <w:p>
            <w:pPr>
              <w:pStyle w:val="15"/>
            </w:pPr>
            <w:r>
              <w:t>18.27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18.27</w:t>
            </w:r>
          </w:p>
        </w:tc>
        <w:tc>
          <w:tcPr>
            <w:tcW w:w="1361" w:type="dxa"/>
            <w:vAlign w:val="center"/>
          </w:tcPr>
          <w:p>
            <w:pPr>
              <w:pStyle w:val="15"/>
            </w:pPr>
            <w:r>
              <w:t>18.27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101001成安县人民代表大会常务委员会</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370.48</w:t>
            </w:r>
          </w:p>
        </w:tc>
        <w:tc>
          <w:tcPr>
            <w:tcW w:w="3402" w:type="dxa"/>
            <w:vAlign w:val="center"/>
          </w:tcPr>
          <w:p>
            <w:pPr>
              <w:pStyle w:val="16"/>
            </w:pPr>
            <w:r>
              <w:t>一、一般公共服务支出</w:t>
            </w:r>
          </w:p>
        </w:tc>
        <w:tc>
          <w:tcPr>
            <w:tcW w:w="1474" w:type="dxa"/>
            <w:vAlign w:val="center"/>
          </w:tcPr>
          <w:p>
            <w:pPr>
              <w:pStyle w:val="15"/>
            </w:pPr>
            <w:r>
              <w:t>299.22</w:t>
            </w:r>
          </w:p>
        </w:tc>
        <w:tc>
          <w:tcPr>
            <w:tcW w:w="1474" w:type="dxa"/>
            <w:vAlign w:val="center"/>
          </w:tcPr>
          <w:p>
            <w:pPr>
              <w:pStyle w:val="15"/>
            </w:pPr>
            <w:r>
              <w:t>299.22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40.75</w:t>
            </w:r>
          </w:p>
        </w:tc>
        <w:tc>
          <w:tcPr>
            <w:tcW w:w="1474" w:type="dxa"/>
            <w:vAlign w:val="center"/>
          </w:tcPr>
          <w:p>
            <w:pPr>
              <w:pStyle w:val="15"/>
            </w:pPr>
            <w:r>
              <w:t>40.75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12.24</w:t>
            </w:r>
          </w:p>
        </w:tc>
        <w:tc>
          <w:tcPr>
            <w:tcW w:w="1474" w:type="dxa"/>
            <w:vAlign w:val="center"/>
          </w:tcPr>
          <w:p>
            <w:pPr>
              <w:pStyle w:val="15"/>
            </w:pPr>
            <w:r>
              <w:t>12.24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18.27</w:t>
            </w:r>
          </w:p>
        </w:tc>
        <w:tc>
          <w:tcPr>
            <w:tcW w:w="1474" w:type="dxa"/>
            <w:vAlign w:val="center"/>
          </w:tcPr>
          <w:p>
            <w:pPr>
              <w:pStyle w:val="15"/>
            </w:pPr>
            <w:r>
              <w:t>18.27</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370.48</w:t>
            </w:r>
          </w:p>
        </w:tc>
        <w:tc>
          <w:tcPr>
            <w:tcW w:w="3402" w:type="dxa"/>
            <w:vAlign w:val="center"/>
          </w:tcPr>
          <w:p>
            <w:pPr>
              <w:pStyle w:val="18"/>
            </w:pPr>
            <w:r>
              <w:t>本年支出合计</w:t>
            </w:r>
          </w:p>
        </w:tc>
        <w:tc>
          <w:tcPr>
            <w:tcW w:w="1474" w:type="dxa"/>
            <w:vAlign w:val="center"/>
          </w:tcPr>
          <w:p>
            <w:pPr>
              <w:pStyle w:val="19"/>
            </w:pPr>
            <w:r>
              <w:t>370.48</w:t>
            </w:r>
          </w:p>
        </w:tc>
        <w:tc>
          <w:tcPr>
            <w:tcW w:w="1474" w:type="dxa"/>
            <w:vAlign w:val="center"/>
          </w:tcPr>
          <w:p>
            <w:pPr>
              <w:pStyle w:val="19"/>
            </w:pPr>
            <w:r>
              <w:t>370.48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370.48</w:t>
            </w:r>
          </w:p>
        </w:tc>
        <w:tc>
          <w:tcPr>
            <w:tcW w:w="3402" w:type="dxa"/>
            <w:vAlign w:val="center"/>
          </w:tcPr>
          <w:p>
            <w:pPr>
              <w:pStyle w:val="18"/>
            </w:pPr>
            <w:r>
              <w:t>支出总计</w:t>
            </w:r>
          </w:p>
        </w:tc>
        <w:tc>
          <w:tcPr>
            <w:tcW w:w="1474" w:type="dxa"/>
            <w:vAlign w:val="center"/>
          </w:tcPr>
          <w:p>
            <w:pPr>
              <w:pStyle w:val="19"/>
            </w:pPr>
            <w:r>
              <w:t>370.48</w:t>
            </w:r>
          </w:p>
        </w:tc>
        <w:tc>
          <w:tcPr>
            <w:tcW w:w="1474" w:type="dxa"/>
            <w:vAlign w:val="center"/>
          </w:tcPr>
          <w:p>
            <w:pPr>
              <w:pStyle w:val="19"/>
            </w:pPr>
            <w:r>
              <w:t>370.48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101001成安县人民代表大会常务委员会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370.48</w:t>
            </w:r>
          </w:p>
        </w:tc>
        <w:tc>
          <w:tcPr>
            <w:tcW w:w="2551" w:type="dxa"/>
            <w:vAlign w:val="center"/>
          </w:tcPr>
          <w:p>
            <w:pPr>
              <w:pStyle w:val="19"/>
            </w:pPr>
            <w:r>
              <w:t>344.58</w:t>
            </w:r>
          </w:p>
        </w:tc>
        <w:tc>
          <w:tcPr>
            <w:tcW w:w="2551" w:type="dxa"/>
            <w:vAlign w:val="center"/>
          </w:tcPr>
          <w:p>
            <w:pPr>
              <w:pStyle w:val="19"/>
            </w:pPr>
            <w:r>
              <w:t>25.90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299.22</w:t>
            </w:r>
          </w:p>
        </w:tc>
        <w:tc>
          <w:tcPr>
            <w:tcW w:w="2551" w:type="dxa"/>
            <w:vAlign w:val="center"/>
          </w:tcPr>
          <w:p>
            <w:pPr>
              <w:pStyle w:val="15"/>
            </w:pPr>
            <w:r>
              <w:t>273.32</w:t>
            </w:r>
          </w:p>
        </w:tc>
        <w:tc>
          <w:tcPr>
            <w:tcW w:w="2551" w:type="dxa"/>
            <w:vAlign w:val="center"/>
          </w:tcPr>
          <w:p>
            <w:pPr>
              <w:pStyle w:val="15"/>
            </w:pPr>
            <w:r>
              <w:t>25.90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20101</w:t>
            </w:r>
          </w:p>
        </w:tc>
        <w:tc>
          <w:tcPr>
            <w:tcW w:w="4535" w:type="dxa"/>
            <w:vAlign w:val="center"/>
          </w:tcPr>
          <w:p>
            <w:pPr>
              <w:pStyle w:val="16"/>
            </w:pPr>
            <w:r>
              <w:t>人大事务</w:t>
            </w:r>
          </w:p>
        </w:tc>
        <w:tc>
          <w:tcPr>
            <w:tcW w:w="2551" w:type="dxa"/>
            <w:vAlign w:val="center"/>
          </w:tcPr>
          <w:p>
            <w:pPr>
              <w:pStyle w:val="15"/>
            </w:pPr>
            <w:r>
              <w:t>299.22</w:t>
            </w:r>
          </w:p>
        </w:tc>
        <w:tc>
          <w:tcPr>
            <w:tcW w:w="2551" w:type="dxa"/>
            <w:vAlign w:val="center"/>
          </w:tcPr>
          <w:p>
            <w:pPr>
              <w:pStyle w:val="15"/>
            </w:pPr>
            <w:r>
              <w:t>273.32</w:t>
            </w:r>
          </w:p>
        </w:tc>
        <w:tc>
          <w:tcPr>
            <w:tcW w:w="2551" w:type="dxa"/>
            <w:vAlign w:val="center"/>
          </w:tcPr>
          <w:p>
            <w:pPr>
              <w:pStyle w:val="15"/>
            </w:pPr>
            <w:r>
              <w:t>25.90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2010101</w:t>
            </w:r>
          </w:p>
        </w:tc>
        <w:tc>
          <w:tcPr>
            <w:tcW w:w="4535" w:type="dxa"/>
            <w:vAlign w:val="center"/>
          </w:tcPr>
          <w:p>
            <w:pPr>
              <w:pStyle w:val="16"/>
            </w:pPr>
            <w:r>
              <w:t>行政运行</w:t>
            </w:r>
          </w:p>
        </w:tc>
        <w:tc>
          <w:tcPr>
            <w:tcW w:w="2551" w:type="dxa"/>
            <w:vAlign w:val="center"/>
          </w:tcPr>
          <w:p>
            <w:pPr>
              <w:pStyle w:val="15"/>
            </w:pPr>
            <w:r>
              <w:t>274.22</w:t>
            </w:r>
          </w:p>
        </w:tc>
        <w:tc>
          <w:tcPr>
            <w:tcW w:w="2551" w:type="dxa"/>
            <w:vAlign w:val="center"/>
          </w:tcPr>
          <w:p>
            <w:pPr>
              <w:pStyle w:val="15"/>
            </w:pPr>
            <w:r>
              <w:t>273.32</w:t>
            </w:r>
          </w:p>
        </w:tc>
        <w:tc>
          <w:tcPr>
            <w:tcW w:w="2551"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2010104</w:t>
            </w:r>
          </w:p>
        </w:tc>
        <w:tc>
          <w:tcPr>
            <w:tcW w:w="4535" w:type="dxa"/>
            <w:vAlign w:val="center"/>
          </w:tcPr>
          <w:p>
            <w:pPr>
              <w:pStyle w:val="16"/>
            </w:pPr>
            <w:r>
              <w:t>人大会议</w:t>
            </w:r>
          </w:p>
        </w:tc>
        <w:tc>
          <w:tcPr>
            <w:tcW w:w="2551" w:type="dxa"/>
            <w:vAlign w:val="center"/>
          </w:tcPr>
          <w:p>
            <w:pPr>
              <w:pStyle w:val="15"/>
            </w:pPr>
            <w:r>
              <w:t>25.00</w:t>
            </w:r>
          </w:p>
        </w:tc>
        <w:tc>
          <w:tcPr>
            <w:tcW w:w="2551" w:type="dxa"/>
            <w:vAlign w:val="center"/>
          </w:tcPr>
          <w:p>
            <w:pPr>
              <w:pStyle w:val="15"/>
            </w:pPr>
          </w:p>
        </w:tc>
        <w:tc>
          <w:tcPr>
            <w:tcW w:w="2551"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40.75</w:t>
            </w:r>
          </w:p>
        </w:tc>
        <w:tc>
          <w:tcPr>
            <w:tcW w:w="2551" w:type="dxa"/>
            <w:vAlign w:val="center"/>
          </w:tcPr>
          <w:p>
            <w:pPr>
              <w:pStyle w:val="15"/>
            </w:pPr>
            <w:r>
              <w:t>40.75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39.41</w:t>
            </w:r>
          </w:p>
        </w:tc>
        <w:tc>
          <w:tcPr>
            <w:tcW w:w="2551" w:type="dxa"/>
            <w:vAlign w:val="center"/>
          </w:tcPr>
          <w:p>
            <w:pPr>
              <w:pStyle w:val="15"/>
            </w:pPr>
            <w:r>
              <w:t>39.41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26.27</w:t>
            </w:r>
          </w:p>
        </w:tc>
        <w:tc>
          <w:tcPr>
            <w:tcW w:w="2551" w:type="dxa"/>
            <w:vAlign w:val="center"/>
          </w:tcPr>
          <w:p>
            <w:pPr>
              <w:pStyle w:val="15"/>
            </w:pPr>
            <w:r>
              <w:t>26.27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13.14</w:t>
            </w:r>
          </w:p>
        </w:tc>
        <w:tc>
          <w:tcPr>
            <w:tcW w:w="2551" w:type="dxa"/>
            <w:vAlign w:val="center"/>
          </w:tcPr>
          <w:p>
            <w:pPr>
              <w:pStyle w:val="15"/>
            </w:pPr>
            <w:r>
              <w:t>13.14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1.34</w:t>
            </w:r>
          </w:p>
        </w:tc>
        <w:tc>
          <w:tcPr>
            <w:tcW w:w="2551" w:type="dxa"/>
            <w:vAlign w:val="center"/>
          </w:tcPr>
          <w:p>
            <w:pPr>
              <w:pStyle w:val="15"/>
            </w:pPr>
            <w:r>
              <w:t>1.34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2080801</w:t>
            </w:r>
          </w:p>
        </w:tc>
        <w:tc>
          <w:tcPr>
            <w:tcW w:w="4535" w:type="dxa"/>
            <w:vAlign w:val="center"/>
          </w:tcPr>
          <w:p>
            <w:pPr>
              <w:pStyle w:val="16"/>
            </w:pPr>
            <w:r>
              <w:t>死亡抚恤</w:t>
            </w:r>
          </w:p>
        </w:tc>
        <w:tc>
          <w:tcPr>
            <w:tcW w:w="2551" w:type="dxa"/>
            <w:vAlign w:val="center"/>
          </w:tcPr>
          <w:p>
            <w:pPr>
              <w:pStyle w:val="15"/>
            </w:pPr>
            <w:r>
              <w:t>1.34</w:t>
            </w:r>
          </w:p>
        </w:tc>
        <w:tc>
          <w:tcPr>
            <w:tcW w:w="2551" w:type="dxa"/>
            <w:vAlign w:val="center"/>
          </w:tcPr>
          <w:p>
            <w:pPr>
              <w:pStyle w:val="15"/>
            </w:pPr>
            <w:r>
              <w:t>1.34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12.24</w:t>
            </w:r>
          </w:p>
        </w:tc>
        <w:tc>
          <w:tcPr>
            <w:tcW w:w="2551" w:type="dxa"/>
            <w:vAlign w:val="center"/>
          </w:tcPr>
          <w:p>
            <w:pPr>
              <w:pStyle w:val="15"/>
            </w:pPr>
            <w:r>
              <w:t>12.24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12.24</w:t>
            </w:r>
          </w:p>
        </w:tc>
        <w:tc>
          <w:tcPr>
            <w:tcW w:w="2551" w:type="dxa"/>
            <w:vAlign w:val="center"/>
          </w:tcPr>
          <w:p>
            <w:pPr>
              <w:pStyle w:val="15"/>
            </w:pPr>
            <w:r>
              <w:t>12.24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12.24</w:t>
            </w:r>
          </w:p>
        </w:tc>
        <w:tc>
          <w:tcPr>
            <w:tcW w:w="2551" w:type="dxa"/>
            <w:vAlign w:val="center"/>
          </w:tcPr>
          <w:p>
            <w:pPr>
              <w:pStyle w:val="15"/>
            </w:pPr>
            <w:r>
              <w:t>12.24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18.27</w:t>
            </w:r>
          </w:p>
        </w:tc>
        <w:tc>
          <w:tcPr>
            <w:tcW w:w="2551" w:type="dxa"/>
            <w:vAlign w:val="center"/>
          </w:tcPr>
          <w:p>
            <w:pPr>
              <w:pStyle w:val="15"/>
            </w:pPr>
            <w:r>
              <w:t>18.27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18.27</w:t>
            </w:r>
          </w:p>
        </w:tc>
        <w:tc>
          <w:tcPr>
            <w:tcW w:w="2551" w:type="dxa"/>
            <w:vAlign w:val="center"/>
          </w:tcPr>
          <w:p>
            <w:pPr>
              <w:pStyle w:val="15"/>
            </w:pPr>
            <w:r>
              <w:t>18.27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18.27</w:t>
            </w:r>
          </w:p>
        </w:tc>
        <w:tc>
          <w:tcPr>
            <w:tcW w:w="2551" w:type="dxa"/>
            <w:vAlign w:val="center"/>
          </w:tcPr>
          <w:p>
            <w:pPr>
              <w:pStyle w:val="15"/>
            </w:pPr>
            <w:r>
              <w:t>18.27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101001成安县人民代表大会常务委员会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w:t>
            </w:r>
            <w:r>
              <w:rPr>
                <w:rFonts w:hint="eastAsia"/>
                <w:lang w:eastAsia="zh-CN"/>
              </w:rPr>
              <w:t>单位</w:t>
            </w:r>
            <w:r>
              <w:t>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344.58</w:t>
            </w:r>
          </w:p>
        </w:tc>
        <w:tc>
          <w:tcPr>
            <w:tcW w:w="2551" w:type="dxa"/>
            <w:vAlign w:val="center"/>
          </w:tcPr>
          <w:p>
            <w:pPr>
              <w:pStyle w:val="19"/>
            </w:pPr>
            <w:r>
              <w:t>283.63</w:t>
            </w:r>
          </w:p>
        </w:tc>
        <w:tc>
          <w:tcPr>
            <w:tcW w:w="2552" w:type="dxa"/>
            <w:vAlign w:val="center"/>
          </w:tcPr>
          <w:p>
            <w:pPr>
              <w:pStyle w:val="19"/>
            </w:pPr>
            <w:r>
              <w:t>60.95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282.29</w:t>
            </w:r>
          </w:p>
        </w:tc>
        <w:tc>
          <w:tcPr>
            <w:tcW w:w="2551" w:type="dxa"/>
            <w:vAlign w:val="center"/>
          </w:tcPr>
          <w:p>
            <w:pPr>
              <w:pStyle w:val="15"/>
            </w:pPr>
            <w:r>
              <w:t>282.29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186.40</w:t>
            </w:r>
          </w:p>
        </w:tc>
        <w:tc>
          <w:tcPr>
            <w:tcW w:w="2551" w:type="dxa"/>
            <w:vAlign w:val="center"/>
          </w:tcPr>
          <w:p>
            <w:pPr>
              <w:pStyle w:val="15"/>
            </w:pPr>
            <w:r>
              <w:t>186.40</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13.23</w:t>
            </w:r>
          </w:p>
        </w:tc>
        <w:tc>
          <w:tcPr>
            <w:tcW w:w="2551" w:type="dxa"/>
            <w:vAlign w:val="center"/>
          </w:tcPr>
          <w:p>
            <w:pPr>
              <w:pStyle w:val="15"/>
            </w:pPr>
            <w:r>
              <w:t>13.23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9.71</w:t>
            </w:r>
          </w:p>
        </w:tc>
        <w:tc>
          <w:tcPr>
            <w:tcW w:w="2551" w:type="dxa"/>
            <w:vAlign w:val="center"/>
          </w:tcPr>
          <w:p>
            <w:pPr>
              <w:pStyle w:val="15"/>
            </w:pPr>
            <w:r>
              <w:t>9.71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2.24</w:t>
            </w:r>
          </w:p>
        </w:tc>
        <w:tc>
          <w:tcPr>
            <w:tcW w:w="2551" w:type="dxa"/>
            <w:vAlign w:val="center"/>
          </w:tcPr>
          <w:p>
            <w:pPr>
              <w:pStyle w:val="15"/>
            </w:pPr>
            <w:r>
              <w:t>2.24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26.27</w:t>
            </w:r>
          </w:p>
        </w:tc>
        <w:tc>
          <w:tcPr>
            <w:tcW w:w="2551" w:type="dxa"/>
            <w:vAlign w:val="center"/>
          </w:tcPr>
          <w:p>
            <w:pPr>
              <w:pStyle w:val="15"/>
            </w:pPr>
            <w:r>
              <w:t>26.27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13.14</w:t>
            </w:r>
          </w:p>
        </w:tc>
        <w:tc>
          <w:tcPr>
            <w:tcW w:w="2551" w:type="dxa"/>
            <w:vAlign w:val="center"/>
          </w:tcPr>
          <w:p>
            <w:pPr>
              <w:pStyle w:val="15"/>
            </w:pPr>
            <w:r>
              <w:t>13.14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12.24</w:t>
            </w:r>
          </w:p>
        </w:tc>
        <w:tc>
          <w:tcPr>
            <w:tcW w:w="2551" w:type="dxa"/>
            <w:vAlign w:val="center"/>
          </w:tcPr>
          <w:p>
            <w:pPr>
              <w:pStyle w:val="15"/>
            </w:pPr>
            <w:r>
              <w:t>12.24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0.79</w:t>
            </w:r>
          </w:p>
        </w:tc>
        <w:tc>
          <w:tcPr>
            <w:tcW w:w="2551" w:type="dxa"/>
            <w:vAlign w:val="center"/>
          </w:tcPr>
          <w:p>
            <w:pPr>
              <w:pStyle w:val="15"/>
            </w:pPr>
            <w:r>
              <w:t>0.79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18.27</w:t>
            </w:r>
          </w:p>
        </w:tc>
        <w:tc>
          <w:tcPr>
            <w:tcW w:w="2551" w:type="dxa"/>
            <w:vAlign w:val="center"/>
          </w:tcPr>
          <w:p>
            <w:pPr>
              <w:pStyle w:val="15"/>
            </w:pPr>
            <w:r>
              <w:t>18.27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60.95</w:t>
            </w:r>
          </w:p>
        </w:tc>
        <w:tc>
          <w:tcPr>
            <w:tcW w:w="2551" w:type="dxa"/>
            <w:vAlign w:val="center"/>
          </w:tcPr>
          <w:p>
            <w:pPr>
              <w:pStyle w:val="15"/>
            </w:pPr>
          </w:p>
        </w:tc>
        <w:tc>
          <w:tcPr>
            <w:tcW w:w="2552" w:type="dxa"/>
            <w:vAlign w:val="center"/>
          </w:tcPr>
          <w:p>
            <w:pPr>
              <w:pStyle w:val="15"/>
            </w:pPr>
            <w:r>
              <w:t>60.95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30.00</w:t>
            </w:r>
          </w:p>
        </w:tc>
        <w:tc>
          <w:tcPr>
            <w:tcW w:w="2551" w:type="dxa"/>
            <w:vAlign w:val="center"/>
          </w:tcPr>
          <w:p>
            <w:pPr>
              <w:pStyle w:val="15"/>
            </w:pPr>
          </w:p>
        </w:tc>
        <w:tc>
          <w:tcPr>
            <w:tcW w:w="2552" w:type="dxa"/>
            <w:vAlign w:val="center"/>
          </w:tcPr>
          <w:p>
            <w:pPr>
              <w:pStyle w:val="15"/>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5.00</w:t>
            </w:r>
          </w:p>
        </w:tc>
        <w:tc>
          <w:tcPr>
            <w:tcW w:w="2551" w:type="dxa"/>
            <w:vAlign w:val="center"/>
          </w:tcPr>
          <w:p>
            <w:pPr>
              <w:pStyle w:val="15"/>
            </w:pPr>
          </w:p>
        </w:tc>
        <w:tc>
          <w:tcPr>
            <w:tcW w:w="2552"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1.00</w:t>
            </w:r>
          </w:p>
        </w:tc>
        <w:tc>
          <w:tcPr>
            <w:tcW w:w="2551" w:type="dxa"/>
            <w:vAlign w:val="center"/>
          </w:tcPr>
          <w:p>
            <w:pPr>
              <w:pStyle w:val="15"/>
            </w:pPr>
          </w:p>
        </w:tc>
        <w:tc>
          <w:tcPr>
            <w:tcW w:w="2552"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30215</w:t>
            </w:r>
          </w:p>
        </w:tc>
        <w:tc>
          <w:tcPr>
            <w:tcW w:w="4535" w:type="dxa"/>
            <w:vAlign w:val="center"/>
          </w:tcPr>
          <w:p>
            <w:pPr>
              <w:pStyle w:val="16"/>
            </w:pPr>
            <w:r>
              <w:t>会议费</w:t>
            </w:r>
          </w:p>
        </w:tc>
        <w:tc>
          <w:tcPr>
            <w:tcW w:w="2551" w:type="dxa"/>
            <w:vAlign w:val="center"/>
          </w:tcPr>
          <w:p>
            <w:pPr>
              <w:pStyle w:val="15"/>
            </w:pPr>
            <w:r>
              <w:t>2.00</w:t>
            </w:r>
          </w:p>
        </w:tc>
        <w:tc>
          <w:tcPr>
            <w:tcW w:w="2551" w:type="dxa"/>
            <w:vAlign w:val="center"/>
          </w:tcPr>
          <w:p>
            <w:pPr>
              <w:pStyle w:val="15"/>
            </w:pPr>
          </w:p>
        </w:tc>
        <w:tc>
          <w:tcPr>
            <w:tcW w:w="2552"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3.00</w:t>
            </w:r>
          </w:p>
        </w:tc>
        <w:tc>
          <w:tcPr>
            <w:tcW w:w="2551" w:type="dxa"/>
            <w:vAlign w:val="center"/>
          </w:tcPr>
          <w:p>
            <w:pPr>
              <w:pStyle w:val="15"/>
            </w:pPr>
          </w:p>
        </w:tc>
        <w:tc>
          <w:tcPr>
            <w:tcW w:w="2552"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4.00</w:t>
            </w:r>
          </w:p>
        </w:tc>
        <w:tc>
          <w:tcPr>
            <w:tcW w:w="2551" w:type="dxa"/>
            <w:vAlign w:val="center"/>
          </w:tcPr>
          <w:p>
            <w:pPr>
              <w:pStyle w:val="15"/>
            </w:pPr>
          </w:p>
        </w:tc>
        <w:tc>
          <w:tcPr>
            <w:tcW w:w="2552"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15.95</w:t>
            </w:r>
          </w:p>
        </w:tc>
        <w:tc>
          <w:tcPr>
            <w:tcW w:w="2551" w:type="dxa"/>
            <w:vAlign w:val="center"/>
          </w:tcPr>
          <w:p>
            <w:pPr>
              <w:pStyle w:val="15"/>
            </w:pPr>
          </w:p>
        </w:tc>
        <w:tc>
          <w:tcPr>
            <w:tcW w:w="2552" w:type="dxa"/>
            <w:vAlign w:val="center"/>
          </w:tcPr>
          <w:p>
            <w:pPr>
              <w:pStyle w:val="15"/>
            </w:pPr>
            <w:r>
              <w:t>15.95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1.34</w:t>
            </w:r>
          </w:p>
        </w:tc>
        <w:tc>
          <w:tcPr>
            <w:tcW w:w="2551" w:type="dxa"/>
            <w:vAlign w:val="center"/>
          </w:tcPr>
          <w:p>
            <w:pPr>
              <w:pStyle w:val="15"/>
            </w:pPr>
            <w:r>
              <w:t>1.34</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1.34</w:t>
            </w:r>
          </w:p>
        </w:tc>
        <w:tc>
          <w:tcPr>
            <w:tcW w:w="2551" w:type="dxa"/>
            <w:vAlign w:val="center"/>
          </w:tcPr>
          <w:p>
            <w:pPr>
              <w:pStyle w:val="15"/>
            </w:pPr>
            <w:r>
              <w:t>1.34</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101001成安县人民代表大会常务委员会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101001成安县人民代表大会常务委员会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101001成安县人民代表大会常务委员会</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rPr>
                <w:lang w:eastAsia="zh-CN"/>
              </w:rPr>
            </w:pPr>
            <w:r>
              <w:rPr>
                <w:rFonts w:hint="eastAsia"/>
                <w:lang w:eastAsia="zh-CN"/>
              </w:rPr>
              <w:t>4</w:t>
            </w:r>
          </w:p>
        </w:tc>
        <w:tc>
          <w:tcPr>
            <w:tcW w:w="2381" w:type="dxa"/>
            <w:vAlign w:val="center"/>
          </w:tcPr>
          <w:p>
            <w:pPr>
              <w:pStyle w:val="19"/>
              <w:rPr>
                <w:lang w:eastAsia="zh-CN"/>
              </w:rPr>
            </w:pPr>
            <w:r>
              <w:rPr>
                <w:rFonts w:hint="eastAsia"/>
                <w:lang w:eastAsia="zh-CN"/>
              </w:rPr>
              <w:t>4</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rPr>
                <w:lang w:eastAsia="zh-CN"/>
              </w:rPr>
            </w:pPr>
            <w:r>
              <w:rPr>
                <w:rFonts w:hint="eastAsia"/>
                <w:lang w:eastAsia="zh-CN"/>
              </w:rPr>
              <w:t>4</w:t>
            </w:r>
          </w:p>
        </w:tc>
        <w:tc>
          <w:tcPr>
            <w:tcW w:w="2381" w:type="dxa"/>
            <w:vAlign w:val="center"/>
          </w:tcPr>
          <w:p>
            <w:pPr>
              <w:pStyle w:val="15"/>
              <w:rPr>
                <w:lang w:eastAsia="zh-CN"/>
              </w:rPr>
            </w:pPr>
            <w:r>
              <w:rPr>
                <w:rFonts w:hint="eastAsia"/>
                <w:lang w:eastAsia="zh-CN"/>
              </w:rPr>
              <w:t>4</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pPr>
            <w:r>
              <w:t>4.00</w:t>
            </w:r>
          </w:p>
        </w:tc>
        <w:tc>
          <w:tcPr>
            <w:tcW w:w="2381" w:type="dxa"/>
            <w:vAlign w:val="center"/>
          </w:tcPr>
          <w:p>
            <w:pPr>
              <w:pStyle w:val="15"/>
            </w:pPr>
            <w:r>
              <w:t>4.00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成安县人民代表大会常务委员会2022年单位预算信息公开情况说明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、《地方预决算公开操作规程》和《关于进一步推进预算公开工作的实施意见》规定，现将成安县人民代表大会常务委员会2022年单位预算公开如下：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hint="eastAsia" w:cs="方正楷体_GBK" w:asciiTheme="minorEastAsia" w:hAnsiTheme="minorEastAsia" w:eastAsiaTheme="minorEastAsia"/>
          <w:b/>
          <w:color w:val="000000"/>
          <w:sz w:val="32"/>
          <w:lang w:eastAsia="zh-CN"/>
        </w:rPr>
        <w:t>单位</w:t>
      </w:r>
      <w:r>
        <w:rPr>
          <w:rFonts w:ascii="方正楷体_GBK" w:hAnsi="方正楷体_GBK" w:eastAsia="方正楷体_GBK" w:cs="方正楷体_GBK"/>
          <w:b/>
          <w:color w:val="000000"/>
          <w:sz w:val="32"/>
        </w:rPr>
        <w:t>职责：</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1、在</w:t>
      </w:r>
      <w:r>
        <w:rPr>
          <w:rFonts w:hint="eastAsia" w:ascii="仿宋" w:hAnsi="仿宋" w:eastAsia="仿宋" w:cs="仿宋_GB2312"/>
          <w:sz w:val="32"/>
          <w:szCs w:val="32"/>
          <w:lang w:eastAsia="zh-CN"/>
        </w:rPr>
        <w:t>本</w:t>
      </w:r>
      <w:r>
        <w:rPr>
          <w:rFonts w:hint="eastAsia" w:ascii="仿宋" w:hAnsi="仿宋" w:eastAsia="仿宋" w:cs="仿宋_GB2312"/>
          <w:sz w:val="32"/>
          <w:szCs w:val="32"/>
        </w:rPr>
        <w:t>行政区域内，保证宪法、法律、行</w:t>
      </w:r>
      <w:bookmarkStart w:id="1" w:name="_GoBack"/>
      <w:bookmarkEnd w:id="1"/>
      <w:r>
        <w:rPr>
          <w:rFonts w:hint="eastAsia" w:ascii="仿宋" w:hAnsi="仿宋" w:eastAsia="仿宋" w:cs="仿宋_GB2312"/>
          <w:sz w:val="32"/>
          <w:szCs w:val="32"/>
        </w:rPr>
        <w:t>政法规和上级人民代表大会及其常务委员会决议的遵守和执行；</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2、领导或者主持本级人民代表大会代表的选举；</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3、召集本级人民代表大会会议；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4、讨论、决定本行政区域内的政治、经济、教育、科学文化卫生、环境和资源保护、民政、民族等工作的重大事项；</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5、根据本级人民政府的建议，决定对本行政区域内的国民经济和发展计划，以及预算的部分变更。</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6、监督本级人民政府、人民法院和人民检察院的工作，联系本级人民代表大会代表，受理人民群众对上述机关和国家工作人员的申诉和意见；</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7、有关人事任免事宜。</w:t>
      </w:r>
    </w:p>
    <w:p>
      <w:pPr>
        <w:spacing w:line="580" w:lineRule="exact"/>
        <w:ind w:firstLine="643" w:firstLineChars="200"/>
        <w:rPr>
          <w:rFonts w:ascii="仿宋" w:hAnsi="仿宋" w:eastAsia="仿宋" w:cs="仿宋"/>
          <w:b/>
          <w:bCs/>
          <w:sz w:val="36"/>
          <w:szCs w:val="36"/>
        </w:rPr>
      </w:pPr>
      <w:r>
        <w:rPr>
          <w:rFonts w:hint="eastAsia" w:ascii="仿宋" w:hAnsi="仿宋" w:eastAsia="仿宋" w:cs="Calibri"/>
          <w:b/>
          <w:sz w:val="32"/>
          <w:szCs w:val="32"/>
        </w:rPr>
        <w:t>内设</w:t>
      </w:r>
      <w:r>
        <w:rPr>
          <w:rFonts w:ascii="仿宋" w:hAnsi="仿宋" w:eastAsia="仿宋" w:cs="Calibri"/>
          <w:b/>
          <w:sz w:val="32"/>
          <w:szCs w:val="32"/>
        </w:rPr>
        <w:t>机构</w:t>
      </w:r>
      <w:r>
        <w:rPr>
          <w:rFonts w:hint="eastAsia" w:ascii="仿宋" w:hAnsi="仿宋" w:eastAsia="仿宋" w:cs="Calibri"/>
          <w:b/>
          <w:sz w:val="32"/>
          <w:szCs w:val="32"/>
        </w:rPr>
        <w:t>及职责</w:t>
      </w:r>
    </w:p>
    <w:p>
      <w:pPr>
        <w:spacing w:line="580" w:lineRule="exact"/>
        <w:ind w:firstLine="640" w:firstLineChars="200"/>
        <w:rPr>
          <w:rFonts w:ascii="仿宋" w:hAnsi="仿宋" w:eastAsia="仿宋" w:cs="仿宋"/>
          <w:sz w:val="32"/>
          <w:szCs w:val="32"/>
        </w:rPr>
      </w:pPr>
      <w:r>
        <w:rPr>
          <w:rFonts w:hint="eastAsia" w:ascii="仿宋" w:hAnsi="仿宋" w:eastAsia="仿宋" w:cs="仿宋_GB2312"/>
          <w:sz w:val="32"/>
          <w:szCs w:val="32"/>
        </w:rPr>
        <w:t>成安县人大，预算编码是101。</w:t>
      </w:r>
      <w:r>
        <w:rPr>
          <w:rFonts w:hint="eastAsia" w:ascii="仿宋" w:hAnsi="仿宋" w:eastAsia="仿宋" w:cs="仿宋"/>
          <w:sz w:val="32"/>
          <w:szCs w:val="32"/>
        </w:rPr>
        <w:t>县人民代表大会常务委员会机关设置5个科级内设机构，分别为办公室、</w:t>
      </w:r>
      <w:r>
        <w:rPr>
          <w:rFonts w:hint="eastAsia" w:ascii="仿宋" w:hAnsi="仿宋" w:eastAsia="仿宋" w:cs="仿宋"/>
          <w:bCs/>
          <w:sz w:val="32"/>
          <w:szCs w:val="32"/>
        </w:rPr>
        <w:t>选举任免代表工作委员会、法制工作委员会、财政经济工作委员会、教育科学文化卫生工作委员会</w:t>
      </w:r>
      <w:r>
        <w:rPr>
          <w:rFonts w:hint="eastAsia" w:ascii="仿宋" w:hAnsi="仿宋" w:eastAsia="仿宋" w:cs="仿宋"/>
          <w:sz w:val="32"/>
          <w:szCs w:val="32"/>
        </w:rPr>
        <w:t>。</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办公室</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承担县人民代表大会、常务委员会、主任办公会、党组会等会议的组织、筹备工作；负责常委会有关文、电起草、审核把关，人大常委会机关文书处理、档案管理、印信管理和机要保密工作。</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负责起草常委会议、主任会议、常委会党组会议决定草案、工作报告、领导讲话（发言）等重要文件、负责领导批示的传达和督办。</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负责常委会新闻发布和对外宣传工作；组织对代表大会、常委会会议、主任会议以及人民代表大会制度、人大工作、社会主义民主与法制建设的宣传报道。</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负责代表大会文件汇编和常委会议公报、人大信息、会议纪要、情况通报的编写工作。</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负责县人大常委会机关的人事工作和离退休人员的服务工作。</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负责县人大常委会机关的财务，基建、车辆管理等行政事务和后勤服务工作、机关值班和安全保卫工作。</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负责县人民代表大会常务委员会同上级人大、外地和兄弟县人大联系事宜及来宾接待工作。</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围绕县人大及其常委会的中心工作开展调查研究、提供调查报告及有关资料。</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参加起草人民代表大会会议及其常委会议、主任会议的有关综合性重要文件。包括：人民代表大会常务委员会的工作报告、领导讲话（发言）、决议、决定（草案）及其有关文件。</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县人民代表大会常务委员会领导交办的其它事项。</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选举任免代表工作委员会</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根据国家和</w:t>
      </w:r>
      <w:r>
        <w:rPr>
          <w:rFonts w:hint="eastAsia" w:ascii="仿宋" w:hAnsi="仿宋" w:eastAsia="仿宋" w:cs="仿宋"/>
          <w:sz w:val="32"/>
          <w:szCs w:val="32"/>
          <w:lang w:eastAsia="zh-CN"/>
        </w:rPr>
        <w:t>省</w:t>
      </w:r>
      <w:r>
        <w:rPr>
          <w:rFonts w:hint="eastAsia" w:ascii="仿宋" w:hAnsi="仿宋" w:eastAsia="仿宋" w:cs="仿宋"/>
          <w:sz w:val="32"/>
          <w:szCs w:val="32"/>
        </w:rPr>
        <w:t>市有关的法律法规，检查督促地方组织法、选举法、代表法及其实施办法的贯彻实施。负责有关代表和选举、任免法律法规的咨询和宣传工作。</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负责与省、市、县三级人大代表的联络工作；收集督办县人大代表议案、建议、批评和意见；受理人大代表的来信来访；受理群众对人大代表的投诉和控告，组织安排代表视察、调查、评议活动。</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严格按照法律程序，对“一府两院”呈报县人民代表大会常务委员会审议任免的人员认真审查把关，向县人民代表大会常务委员会及党组、主任会议提交任免材料。对经县人民代表大会常务委员会审议通过的任免人员拟发任免通知，填写任命书，组织颁发任命书大会。</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承担常委会代表资格审查委员会的日常工作。</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承担县人大换届选举的具体工作；指导乡镇人大换届选举工作及主席团的日常工作。</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负责对县政府组成人员和县人民法院、县人民检察院主要负责人的供职书、述职报告的督办工作。</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加强同乡镇人大的联系，及时总结代表工作经验，活跃全县代表工作。</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领导交办的其它工作。</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法制工作委员会</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搞好调查研究，了解公、检、法、司、民族宗教事务等部门贯彻执行宪法、法律和法规的情况，向人民代表大会常务委员会提供上述机关推行执法责任制情况，为人民代表大会常务委员会进行法律监督搞好调查和服务。</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负责草拟人民代表大会常务委员会关于政治法律方面的决议、决定等。</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配合上级人大的立法工作，做好调查研究和征求修改意见。</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协助主管主任、专职委员联系代表，组织视察、检查等活动。</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受理群众对政法工作方面的来信来访工作，并及时向有关部门转办、督办。</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对“一府两院”提请人民代表大会常务委员会审议决定有关政法方面的重大事项、工作报告进行调查研究，并向人民代表大会常务委员会提出参考意见。</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结合本职工作宣传社会主义法制，推进“一体两翼”执法监督的实施，落实县级治理的工作任务，负责请示和答复有关法律问题。</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为“三会”做好服务工作。</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财政经济工作委员会</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努力学习党的路线、方针、政策，学习国家有关财政经济方面的法律、法规，不断提高全体工作人员的政治觉悟和业务工作水平。</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对县政府有关财政经济方面的重大事项，提请县人民代表大会常务委员会审议批准的报告，进行调查研究，提供参考。</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对人民代表大会常务委员会列入会议的有关财政经济方面的议题，在会前组织代表进行专项视察、调查和检查活动，并向常委会写出相关报告。</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督查人民代表大会常务委员会有关财政经济、城乡环保、农村工作等方面的决定、决议和审议意见的贯彻落实情况。</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负责上级人大交办征求意见的有关法律、法规草案，组织有关部门和人员讨论，汇总上报修改意见。</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负责同县政府有关财政经济工作部门进行工作联系，搞好部门主要负责同志执法责任的督查和工作评议。</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负责与省工委工作有关的群众来信、来访的处理和接待工作。</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承办县人民代表大会常务委员会及主任会议交办的有关事项。</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教育科学文化卫生工作委员会</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认真学习党的路线、方针、政策和相关的法律、法规，不断提高人员的政治素质和业务素质。</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负责县人大及其常委会有关教科文卫方面决议、决定的起草工作。</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做好县政府关于教科文卫工作方面的规范性文件和乡镇人民代表大会关于教科文卫方面决议、决定的备案、审查工作。</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协助主管主任，组织人大代表就教科文卫工作开展调查、视察，并起草调查、视察报告。</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联系政府有关部门，检查相关的法律、法规的实施情况，听取汇报、进行调查研究，向县人民代表大会常务委员会及其主任会议提供调查报告或其它必要资料。</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按照“一体两翼执法监督制”的要求，具体承办教科文卫方面需提请县人民代表大会常务委员会和主任会议依法监督的案件的相关事宜，调查、督办常委会或主任会议议定要求查处的案件。</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做好县人大及其常委会有关教科文卫工作方面决议、决定、审议意见落实的催办工作。</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负责处理与本工委有关的来信来访。</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对上级立法机关交付征求意见的有关法律、法规草案，负责组织有关人员讨论，汇总上报修改意见。</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完成县人民代表大会常务委员会及其主任会议交办的其它事项。</w:t>
      </w:r>
    </w:p>
    <w:p>
      <w:pPr>
        <w:spacing w:line="580" w:lineRule="exact"/>
        <w:rPr>
          <w:rFonts w:ascii="仿宋" w:hAnsi="仿宋" w:eastAsia="仿宋"/>
          <w:b/>
          <w:bCs/>
          <w:sz w:val="32"/>
          <w:szCs w:val="32"/>
        </w:rPr>
      </w:pPr>
      <w:r>
        <w:rPr>
          <w:rFonts w:hint="eastAsia" w:ascii="仿宋" w:hAnsi="仿宋" w:eastAsia="仿宋" w:cs="宋体"/>
          <w:b/>
          <w:bCs/>
          <w:sz w:val="32"/>
          <w:szCs w:val="32"/>
        </w:rPr>
        <w:t>人员编制和领导职数</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成安县人大常委会机关，人员编制</w:t>
      </w:r>
      <w:r>
        <w:rPr>
          <w:rFonts w:ascii="仿宋" w:hAnsi="仿宋" w:eastAsia="仿宋" w:cs="仿宋"/>
          <w:sz w:val="32"/>
          <w:szCs w:val="32"/>
        </w:rPr>
        <w:t>2</w:t>
      </w:r>
      <w:r>
        <w:rPr>
          <w:rFonts w:hint="eastAsia" w:ascii="仿宋" w:hAnsi="仿宋" w:eastAsia="仿宋" w:cs="仿宋"/>
          <w:sz w:val="32"/>
          <w:szCs w:val="32"/>
        </w:rPr>
        <w:t>3名，其中领导职数6个。</w:t>
      </w: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成安县人民代表大会常务委员会</w:t>
            </w:r>
          </w:p>
        </w:tc>
        <w:tc>
          <w:tcPr>
            <w:tcW w:w="1843" w:type="dxa"/>
            <w:vAlign w:val="center"/>
          </w:tcPr>
          <w:p>
            <w:pPr>
              <w:pStyle w:val="17"/>
            </w:pPr>
            <w:r>
              <w:t>行政</w:t>
            </w:r>
          </w:p>
        </w:tc>
        <w:tc>
          <w:tcPr>
            <w:tcW w:w="2126" w:type="dxa"/>
            <w:vAlign w:val="center"/>
          </w:tcPr>
          <w:p>
            <w:pPr>
              <w:pStyle w:val="17"/>
            </w:pPr>
            <w:r>
              <w:t>正处（县）级</w:t>
            </w:r>
          </w:p>
        </w:tc>
        <w:tc>
          <w:tcPr>
            <w:tcW w:w="3827" w:type="dxa"/>
            <w:vAlign w:val="center"/>
          </w:tcPr>
          <w:p>
            <w:pPr>
              <w:pStyle w:val="17"/>
            </w:pPr>
            <w:r>
              <w:t>财政拨款</w:t>
            </w:r>
          </w:p>
        </w:tc>
      </w:tr>
    </w:tbl>
    <w:p>
      <w:pPr>
        <w:spacing w:before="10" w:after="10" w:line="360" w:lineRule="auto"/>
        <w:ind w:firstLine="640"/>
        <w:outlineLvl w:val="2"/>
      </w:pPr>
      <w:r>
        <w:rPr>
          <w:rFonts w:ascii="黑体" w:hAnsi="黑体" w:eastAsia="黑体" w:cs="黑体"/>
          <w:color w:val="000000"/>
          <w:sz w:val="32"/>
        </w:rPr>
        <w:t>二、部门预算安排的总体情况</w:t>
      </w:r>
    </w:p>
    <w:p>
      <w:pPr>
        <w:spacing w:line="500" w:lineRule="exact"/>
        <w:ind w:firstLine="560"/>
      </w:pPr>
      <w:r>
        <w:rPr>
          <w:rFonts w:eastAsia="方正仿宋_GBK"/>
          <w:color w:val="000000"/>
          <w:sz w:val="28"/>
        </w:rPr>
        <w:t>按照预算管理有关规定，目前我本部门预算的编制实行综合预算管理，即全部收入和支出都反映在预算中。成安县人民代表大会常务委员会机关及所属事业单位的收支包含在部门预算中。</w:t>
      </w:r>
    </w:p>
    <w:p>
      <w:pPr>
        <w:spacing w:line="580" w:lineRule="exact"/>
        <w:ind w:firstLine="640"/>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80" w:lineRule="exact"/>
        <w:ind w:firstLine="640"/>
        <w:rPr>
          <w:rFonts w:ascii="仿宋" w:hAnsi="仿宋" w:eastAsia="仿宋"/>
          <w:sz w:val="32"/>
          <w:szCs w:val="32"/>
        </w:rPr>
      </w:pPr>
      <w:r>
        <w:rPr>
          <w:rFonts w:hint="eastAsia" w:ascii="仿宋" w:hAnsi="仿宋" w:eastAsia="仿宋"/>
          <w:sz w:val="32"/>
          <w:szCs w:val="32"/>
        </w:rPr>
        <w:t>2022</w:t>
      </w:r>
      <w:r>
        <w:rPr>
          <w:rFonts w:hint="eastAsia" w:ascii="仿宋" w:hAnsi="仿宋" w:eastAsia="仿宋" w:cs="方正仿宋_GBK"/>
          <w:sz w:val="32"/>
          <w:szCs w:val="32"/>
        </w:rPr>
        <w:t>年预算收入</w:t>
      </w:r>
      <w:r>
        <w:rPr>
          <w:rFonts w:ascii="仿宋" w:hAnsi="仿宋" w:eastAsia="仿宋" w:cs="仿宋_GB2312"/>
          <w:sz w:val="32"/>
          <w:szCs w:val="32"/>
        </w:rPr>
        <w:t>370.48</w:t>
      </w:r>
      <w:r>
        <w:rPr>
          <w:rFonts w:hint="eastAsia" w:ascii="仿宋" w:hAnsi="仿宋" w:eastAsia="仿宋" w:cs="方正仿宋_GBK"/>
          <w:sz w:val="32"/>
          <w:szCs w:val="32"/>
        </w:rPr>
        <w:t>万元，其中：一般公共预算收入</w:t>
      </w:r>
      <w:r>
        <w:rPr>
          <w:rFonts w:ascii="仿宋" w:hAnsi="仿宋" w:eastAsia="仿宋" w:cs="仿宋_GB2312"/>
          <w:sz w:val="32"/>
          <w:szCs w:val="32"/>
        </w:rPr>
        <w:t>370.8</w:t>
      </w:r>
      <w:r>
        <w:rPr>
          <w:rFonts w:hint="eastAsia" w:ascii="仿宋" w:hAnsi="仿宋" w:eastAsia="仿宋" w:cs="方正仿宋_GBK"/>
          <w:sz w:val="32"/>
          <w:szCs w:val="32"/>
        </w:rPr>
        <w:t>万元，政府性基金收入0万元，国有资本经营收入0万元，事业收入0万元，其他收入0万元。</w:t>
      </w:r>
    </w:p>
    <w:p>
      <w:pPr>
        <w:spacing w:line="580" w:lineRule="exact"/>
        <w:ind w:firstLine="640"/>
        <w:rPr>
          <w:rFonts w:ascii="楷体" w:hAnsi="楷体" w:eastAsia="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80" w:lineRule="exact"/>
        <w:ind w:firstLine="640"/>
        <w:rPr>
          <w:rFonts w:ascii="仿宋" w:hAnsi="仿宋" w:eastAsia="仿宋"/>
          <w:sz w:val="32"/>
          <w:szCs w:val="32"/>
        </w:rPr>
      </w:pPr>
      <w:r>
        <w:rPr>
          <w:rFonts w:hint="eastAsia" w:ascii="仿宋" w:hAnsi="仿宋" w:eastAsia="仿宋"/>
          <w:sz w:val="32"/>
          <w:szCs w:val="32"/>
        </w:rPr>
        <w:t>2022</w:t>
      </w:r>
      <w:r>
        <w:rPr>
          <w:rFonts w:hint="eastAsia" w:ascii="仿宋" w:hAnsi="仿宋" w:eastAsia="仿宋" w:cs="方正仿宋_GBK"/>
          <w:sz w:val="32"/>
          <w:szCs w:val="32"/>
        </w:rPr>
        <w:t>年支出预算</w:t>
      </w:r>
      <w:r>
        <w:rPr>
          <w:rFonts w:ascii="仿宋" w:hAnsi="仿宋" w:eastAsia="仿宋" w:cs="仿宋_GB2312"/>
          <w:sz w:val="32"/>
          <w:szCs w:val="32"/>
        </w:rPr>
        <w:t>370.48</w:t>
      </w:r>
      <w:r>
        <w:rPr>
          <w:rFonts w:hint="eastAsia" w:ascii="仿宋" w:hAnsi="仿宋" w:eastAsia="仿宋" w:cs="方正仿宋_GBK"/>
          <w:sz w:val="32"/>
          <w:szCs w:val="32"/>
        </w:rPr>
        <w:t>万元，其中基本支出</w:t>
      </w:r>
      <w:r>
        <w:rPr>
          <w:rFonts w:ascii="仿宋" w:hAnsi="仿宋" w:eastAsia="仿宋" w:cs="仿宋_GB2312"/>
          <w:sz w:val="32"/>
          <w:szCs w:val="32"/>
        </w:rPr>
        <w:t>344.58</w:t>
      </w:r>
      <w:r>
        <w:rPr>
          <w:rFonts w:hint="eastAsia" w:ascii="仿宋" w:hAnsi="仿宋" w:eastAsia="仿宋" w:cs="方正仿宋_GBK"/>
          <w:sz w:val="32"/>
          <w:szCs w:val="32"/>
        </w:rPr>
        <w:t>万元，包括人员经费2</w:t>
      </w:r>
      <w:r>
        <w:rPr>
          <w:rFonts w:ascii="仿宋" w:hAnsi="仿宋" w:eastAsia="仿宋" w:cs="方正仿宋_GBK"/>
          <w:sz w:val="32"/>
          <w:szCs w:val="32"/>
        </w:rPr>
        <w:t>83.63</w:t>
      </w:r>
      <w:r>
        <w:rPr>
          <w:rFonts w:hint="eastAsia" w:ascii="仿宋" w:hAnsi="仿宋" w:eastAsia="仿宋" w:cs="方正仿宋_GBK"/>
          <w:sz w:val="32"/>
          <w:szCs w:val="32"/>
        </w:rPr>
        <w:t>万元和日常公用经费6</w:t>
      </w:r>
      <w:r>
        <w:rPr>
          <w:rFonts w:ascii="仿宋" w:hAnsi="仿宋" w:eastAsia="仿宋" w:cs="方正仿宋_GBK"/>
          <w:sz w:val="32"/>
          <w:szCs w:val="32"/>
        </w:rPr>
        <w:t>0.95</w:t>
      </w:r>
      <w:r>
        <w:rPr>
          <w:rFonts w:hint="eastAsia" w:ascii="仿宋" w:hAnsi="仿宋" w:eastAsia="仿宋" w:cs="方正仿宋_GBK"/>
          <w:sz w:val="32"/>
          <w:szCs w:val="32"/>
        </w:rPr>
        <w:t>万元；项目支出</w:t>
      </w:r>
      <w:r>
        <w:rPr>
          <w:rFonts w:ascii="仿宋" w:hAnsi="仿宋" w:eastAsia="仿宋" w:cs="方正仿宋_GBK"/>
          <w:sz w:val="32"/>
          <w:szCs w:val="32"/>
        </w:rPr>
        <w:t>25.9</w:t>
      </w:r>
      <w:r>
        <w:rPr>
          <w:rFonts w:hint="eastAsia" w:ascii="仿宋" w:hAnsi="仿宋" w:eastAsia="仿宋" w:cs="方正仿宋_GBK"/>
          <w:sz w:val="32"/>
          <w:szCs w:val="32"/>
        </w:rPr>
        <w:t>万元，主要是人大会议费2</w:t>
      </w:r>
      <w:r>
        <w:rPr>
          <w:rFonts w:ascii="仿宋" w:hAnsi="仿宋" w:eastAsia="仿宋" w:cs="方正仿宋_GBK"/>
          <w:sz w:val="32"/>
          <w:szCs w:val="32"/>
        </w:rPr>
        <w:t>5.9</w:t>
      </w:r>
      <w:r>
        <w:rPr>
          <w:rFonts w:hint="eastAsia" w:ascii="仿宋" w:hAnsi="仿宋" w:eastAsia="仿宋" w:cs="方正仿宋_GBK"/>
          <w:sz w:val="32"/>
          <w:szCs w:val="32"/>
        </w:rPr>
        <w:t>万元。</w:t>
      </w:r>
    </w:p>
    <w:p>
      <w:pPr>
        <w:spacing w:line="580" w:lineRule="exact"/>
        <w:ind w:firstLine="640"/>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pStyle w:val="22"/>
      </w:pPr>
      <w:r>
        <w:rPr>
          <w:rFonts w:hint="eastAsia" w:ascii="仿宋" w:hAnsi="仿宋" w:eastAsia="仿宋"/>
          <w:sz w:val="32"/>
          <w:szCs w:val="32"/>
        </w:rPr>
        <w:t>2022</w:t>
      </w:r>
      <w:r>
        <w:rPr>
          <w:rFonts w:hint="eastAsia" w:ascii="仿宋" w:hAnsi="仿宋" w:eastAsia="仿宋" w:cs="方正仿宋_GBK"/>
          <w:sz w:val="32"/>
          <w:szCs w:val="32"/>
        </w:rPr>
        <w:t>年预算收支安排</w:t>
      </w:r>
      <w:r>
        <w:rPr>
          <w:rFonts w:ascii="仿宋" w:hAnsi="仿宋" w:eastAsia="仿宋" w:cs="仿宋_GB2312"/>
          <w:sz w:val="32"/>
          <w:szCs w:val="32"/>
        </w:rPr>
        <w:t>370.48</w:t>
      </w:r>
      <w:r>
        <w:rPr>
          <w:rFonts w:hint="eastAsia" w:ascii="仿宋" w:hAnsi="仿宋" w:eastAsia="仿宋" w:cs="方正仿宋_GBK"/>
          <w:sz w:val="32"/>
          <w:szCs w:val="32"/>
        </w:rPr>
        <w:t>万元，</w:t>
      </w:r>
      <w:r>
        <w:rPr>
          <w:rFonts w:hint="eastAsia" w:ascii="仿宋" w:hAnsi="仿宋" w:eastAsia="仿宋" w:cs="仿宋_GB2312"/>
          <w:sz w:val="32"/>
          <w:szCs w:val="32"/>
        </w:rPr>
        <w:t>与去年相比增加4</w:t>
      </w:r>
      <w:r>
        <w:rPr>
          <w:rFonts w:ascii="仿宋" w:hAnsi="仿宋" w:eastAsia="仿宋" w:cs="仿宋_GB2312"/>
          <w:sz w:val="32"/>
          <w:szCs w:val="32"/>
        </w:rPr>
        <w:t>7.66</w:t>
      </w:r>
      <w:r>
        <w:rPr>
          <w:rFonts w:hint="eastAsia" w:ascii="仿宋" w:hAnsi="仿宋" w:eastAsia="仿宋" w:cs="仿宋_GB2312"/>
          <w:sz w:val="32"/>
          <w:szCs w:val="32"/>
        </w:rPr>
        <w:t>万元，其中：基本支出增加4</w:t>
      </w:r>
      <w:r>
        <w:rPr>
          <w:rFonts w:ascii="仿宋" w:hAnsi="仿宋" w:eastAsia="仿宋" w:cs="仿宋_GB2312"/>
          <w:sz w:val="32"/>
          <w:szCs w:val="32"/>
        </w:rPr>
        <w:t>6.76</w:t>
      </w:r>
      <w:r>
        <w:rPr>
          <w:rFonts w:hint="eastAsia" w:ascii="仿宋" w:hAnsi="仿宋" w:eastAsia="仿宋" w:cs="仿宋_GB2312"/>
          <w:sz w:val="32"/>
          <w:szCs w:val="32"/>
        </w:rPr>
        <w:t>万元，主要是人员调资所致。</w:t>
      </w:r>
    </w:p>
    <w:p>
      <w:pPr>
        <w:spacing w:before="10" w:after="10" w:line="360" w:lineRule="auto"/>
        <w:ind w:firstLine="640"/>
        <w:outlineLvl w:val="2"/>
      </w:pPr>
      <w:r>
        <w:rPr>
          <w:rFonts w:ascii="黑体" w:hAnsi="黑体" w:eastAsia="黑体" w:cs="黑体"/>
          <w:color w:val="000000"/>
          <w:sz w:val="32"/>
        </w:rPr>
        <w:t>三、机关运行经费安排情况</w:t>
      </w:r>
    </w:p>
    <w:p>
      <w:pPr>
        <w:pStyle w:val="23"/>
      </w:pPr>
      <w:r>
        <w:rPr>
          <w:rFonts w:hint="eastAsia" w:ascii="仿宋" w:hAnsi="仿宋" w:eastAsia="仿宋" w:cs="仿宋_GB2312"/>
          <w:sz w:val="32"/>
          <w:szCs w:val="32"/>
        </w:rPr>
        <w:t>日常公用经费安排</w:t>
      </w:r>
      <w:r>
        <w:rPr>
          <w:rFonts w:ascii="仿宋" w:hAnsi="仿宋" w:eastAsia="仿宋" w:cs="仿宋_GB2312"/>
          <w:sz w:val="32"/>
          <w:szCs w:val="32"/>
        </w:rPr>
        <w:t>60.95</w:t>
      </w:r>
      <w:r>
        <w:rPr>
          <w:rFonts w:hint="eastAsia" w:ascii="仿宋" w:hAnsi="仿宋" w:eastAsia="仿宋" w:cs="仿宋_GB2312"/>
          <w:sz w:val="32"/>
          <w:szCs w:val="32"/>
        </w:rPr>
        <w:t>万元，包括：办公费、差旅费、交通费、会议费、文印费、办公设备购置费、其他支出等。</w:t>
      </w: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spacing w:line="580" w:lineRule="exact"/>
        <w:ind w:firstLine="640"/>
        <w:rPr>
          <w:lang w:eastAsia="zh-CN"/>
        </w:rPr>
      </w:pPr>
      <w:r>
        <w:rPr>
          <w:rFonts w:hint="eastAsia" w:ascii="仿宋" w:hAnsi="仿宋" w:eastAsia="仿宋" w:cs="仿宋_GB2312"/>
          <w:sz w:val="32"/>
          <w:szCs w:val="32"/>
        </w:rPr>
        <w:t>2022年度“三公”预算支出</w:t>
      </w:r>
      <w:r>
        <w:rPr>
          <w:rFonts w:hint="eastAsia" w:ascii="仿宋" w:hAnsi="仿宋" w:eastAsia="仿宋" w:cs="仿宋_GB2312"/>
          <w:sz w:val="32"/>
          <w:szCs w:val="32"/>
          <w:lang w:eastAsia="zh-CN"/>
        </w:rPr>
        <w:t>4</w:t>
      </w:r>
      <w:r>
        <w:rPr>
          <w:rFonts w:hint="eastAsia" w:ascii="仿宋" w:hAnsi="仿宋" w:eastAsia="仿宋" w:cs="仿宋_GB2312"/>
          <w:sz w:val="32"/>
          <w:szCs w:val="32"/>
        </w:rPr>
        <w:t>万元，其中，因公出国（境）费0元，与上年持平</w:t>
      </w:r>
      <w:r>
        <w:rPr>
          <w:rFonts w:hint="eastAsia" w:ascii="仿宋" w:hAnsi="仿宋" w:eastAsia="仿宋" w:cs="仿宋_GB2312"/>
          <w:sz w:val="32"/>
          <w:szCs w:val="32"/>
          <w:lang w:eastAsia="zh-CN"/>
        </w:rPr>
        <w:t>；</w:t>
      </w:r>
      <w:r>
        <w:rPr>
          <w:rFonts w:hint="eastAsia" w:ascii="仿宋" w:hAnsi="仿宋" w:eastAsia="仿宋" w:cs="仿宋_GB2312"/>
          <w:sz w:val="32"/>
          <w:szCs w:val="32"/>
        </w:rPr>
        <w:t>安排公务用车维护费4万元（其中公务用车购置费0万元，与上年持平。公务用车运行维护费4万元，比上年减少了</w:t>
      </w:r>
      <w:r>
        <w:rPr>
          <w:rFonts w:ascii="仿宋" w:hAnsi="仿宋" w:eastAsia="仿宋" w:cs="仿宋_GB2312"/>
          <w:sz w:val="32"/>
          <w:szCs w:val="32"/>
        </w:rPr>
        <w:t>9</w:t>
      </w:r>
      <w:r>
        <w:rPr>
          <w:rFonts w:hint="eastAsia" w:ascii="仿宋" w:hAnsi="仿宋" w:eastAsia="仿宋" w:cs="仿宋_GB2312"/>
          <w:sz w:val="32"/>
          <w:szCs w:val="32"/>
        </w:rPr>
        <w:t>%，主要原因是厉行节俭。）</w:t>
      </w:r>
    </w:p>
    <w:p>
      <w:pPr>
        <w:spacing w:before="10" w:after="10" w:line="360" w:lineRule="auto"/>
        <w:ind w:firstLine="640"/>
        <w:outlineLvl w:val="2"/>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围绕县委中心工作积极开展各项活动，认真履行宪法和法律赋予的立法权、监督权、人事任免权及重大事项决定权，依法召开成安县人民代表大会、常委会和主任会议，组织常委会组成人员和人大代表积极开展执法检查、视察、调研等活动，为推动我县民主法制化建设，促进经济社会又好又快发展提出合理的议案、建议。</w:t>
      </w:r>
    </w:p>
    <w:p>
      <w:pPr>
        <w:pStyle w:val="25"/>
      </w:pPr>
    </w:p>
    <w:p>
      <w:pPr>
        <w:spacing w:line="500" w:lineRule="exact"/>
        <w:ind w:firstLine="560"/>
      </w:pPr>
      <w:r>
        <w:rPr>
          <w:rFonts w:eastAsia="方正仿宋_GBK"/>
          <w:color w:val="000000"/>
          <w:sz w:val="28"/>
        </w:rPr>
        <w:t>（二）分项绩效目标</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人大会议职责绩效目标：县人民代表大会和常务委员会各种会议的筹备、会务工作，负责常委会文件起草、审核把关，常委会会议、主任会议及常委会党组会议决定事项、工作部署、重要文件及领导批示的传达和督办。人民代表大会每年一次，会期三天，代表人数</w:t>
      </w:r>
      <w:r>
        <w:rPr>
          <w:rFonts w:hint="eastAsia" w:ascii="仿宋" w:hAnsi="仿宋" w:eastAsia="仿宋" w:cs="仿宋_GB2312"/>
          <w:sz w:val="32"/>
          <w:szCs w:val="32"/>
        </w:rPr>
        <w:t>180</w:t>
      </w:r>
      <w:r>
        <w:rPr>
          <w:rFonts w:ascii="仿宋" w:hAnsi="仿宋" w:eastAsia="仿宋" w:cs="仿宋_GB2312"/>
          <w:sz w:val="32"/>
          <w:szCs w:val="32"/>
        </w:rPr>
        <w:t>人，常委会会议每年至少6次，主任会议至少6次。</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人大监督职责绩效目标：开展执法调研和执法检查；围绕全县中心工作和“一府一委两院”专项工作报告涉及内容开展调查研究，开展专题询问和工作评议；对“一府一委两院”工作进行监督。组织专门委员会委员、各工作委员会对法律实施情况进行执法检查；组织县人民代表大会常务委员会及县人大代表开展集中视察和调研；组织对常委会组成人员和代表培训；加强全县代表之家（站）的建设与维护。</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选举和任免职责绩效目标：负责常委会人事任免的服务工作；负责对县政府组成人员和县人民法院、县人民检察院主要负责人的目标责任书、述职报告的督办工作；对人大代表人员进行培训。</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人大事务管理职责绩效目标：人大系列工作的宣传报道；信息化设备维护；代表大会和常委会会议公报等编写及印刷；负责与省、市及兄弟县人民代表大会常务委员会联系交流工作；重大课题调研。负责机关文书档案印刷管理和保密；机关人事、离退休人员服务，财务、后勤服务工作；机关办公自动化维护；机关车辆维修与维护；领导交办的其他工作。</w:t>
      </w:r>
    </w:p>
    <w:p>
      <w:pPr>
        <w:spacing w:line="5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（三）工作保障措施</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强化责任，确保落实。对每一项工作目标任务，尚未落实的再次进行量化细化、逐一分解，定任务、定时间，明确责任，集中精力打好攻坚战。</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理清思路,重点突击。明确目标任务中哪些是重点和难点工作，确定责任领导，强化工作措施，进行重点突击。严格工作制度，完善工作措施，杜绝工作漏洞，加大督导检查，消除监管薄弱环节，确保重点工作措施到位。</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完善制度建设。制定完善预算绩效管理制度、资金管理办法、工作保障制度等，为全年预算绩效目标的实现奠定制度基础。</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加强支出管理。通过优化支出结构、编细编实预算、加快履行政府采购手续、尽快启动项目、及时支付资金、6月底前细化代编预算、按规定及时下达资金等多种措施，确保支出进度达标。</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加强绩效运行监控。按要求开展绩效运行监控，发现问题及时采取措施，确保绩效目标如期保质实现。</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做好绩效自评。按要求开展上年度部门预算绩效自评和重点评价工作，对评价中发现的问题及时整改，调整优化支出结构，提高财政资金使用效益。</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规范财务资产管理。完善财务管理制度，严格审批程序，加强固定资产登记、使用和报废处置管理，做到支出合理，物尽其用。</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6"/>
      </w:pPr>
      <w:r>
        <w:rPr>
          <w:rFonts w:ascii="仿宋" w:hAnsi="仿宋" w:eastAsia="仿宋" w:cs="仿宋_GB2312"/>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p>
    <w:p>
      <w:pPr>
        <w:pStyle w:val="27"/>
        <w:ind w:firstLine="0"/>
        <w:rPr>
          <w:lang w:val="uk-UA"/>
        </w:r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楷体_GBK" w:cs="方正楷体_GBK" w:asciiTheme="minorHAnsi" w:hAnsiTheme="minorHAnsi"/>
          <w:b/>
          <w:color w:val="000000"/>
          <w:sz w:val="32"/>
          <w:lang w:val="uk-UA"/>
        </w:rPr>
      </w:pPr>
    </w:p>
    <w:p>
      <w:pPr>
        <w:spacing w:line="560" w:lineRule="exact"/>
        <w:jc w:val="center"/>
        <w:outlineLvl w:val="0"/>
        <w:rPr>
          <w:rFonts w:ascii="宋体" w:hAnsi="宋体" w:eastAsia="宋体"/>
          <w:sz w:val="32"/>
          <w:szCs w:val="32"/>
        </w:rPr>
      </w:pPr>
      <w:r>
        <w:rPr>
          <w:rFonts w:hint="eastAsia" w:ascii="宋体" w:hAnsi="宋体" w:eastAsia="宋体" w:cs="方正小标宋_GBK"/>
          <w:sz w:val="32"/>
          <w:szCs w:val="32"/>
        </w:rPr>
        <w:t>部门职责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p>
    <w:tbl>
      <w:tblPr>
        <w:tblStyle w:val="8"/>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851"/>
        <w:gridCol w:w="1701"/>
        <w:gridCol w:w="3259"/>
        <w:gridCol w:w="652"/>
        <w:gridCol w:w="531"/>
        <w:gridCol w:w="467"/>
        <w:gridCol w:w="467"/>
        <w:gridCol w:w="4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7138" w:type="dxa"/>
            <w:gridSpan w:val="5"/>
            <w:tcBorders>
              <w:top w:val="single" w:color="FFFFFF" w:sz="6" w:space="0"/>
              <w:left w:val="single" w:color="FFFFFF" w:sz="6" w:space="0"/>
              <w:right w:val="single" w:color="FFFFFF" w:sz="6" w:space="0"/>
            </w:tcBorders>
            <w:vAlign w:val="center"/>
          </w:tcPr>
          <w:p>
            <w:pPr>
              <w:spacing w:line="560" w:lineRule="exact"/>
              <w:rPr>
                <w:rFonts w:ascii="宋体" w:hAnsi="宋体" w:eastAsia="宋体"/>
              </w:rPr>
            </w:pPr>
            <w:r>
              <w:rPr>
                <w:rFonts w:hint="eastAsia" w:ascii="宋体" w:hAnsi="宋体" w:eastAsia="宋体" w:cs="方正小标宋_GBK"/>
              </w:rPr>
              <w:t>部门（单位）名称：101成安县人民代表大会常务委员会办公室</w:t>
            </w:r>
          </w:p>
        </w:tc>
        <w:tc>
          <w:tcPr>
            <w:tcW w:w="1922" w:type="dxa"/>
            <w:gridSpan w:val="4"/>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sz w:val="18"/>
                <w:szCs w:val="18"/>
              </w:rPr>
            </w:pPr>
            <w:r>
              <w:rPr>
                <w:rFonts w:hint="eastAsia" w:ascii="宋体" w:hAnsi="宋体" w:eastAsia="宋体" w:cs="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675"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职责活动</w:t>
            </w:r>
          </w:p>
        </w:tc>
        <w:tc>
          <w:tcPr>
            <w:tcW w:w="851"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年度预算数</w:t>
            </w:r>
          </w:p>
        </w:tc>
        <w:tc>
          <w:tcPr>
            <w:tcW w:w="1701"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内容描述</w:t>
            </w:r>
          </w:p>
        </w:tc>
        <w:tc>
          <w:tcPr>
            <w:tcW w:w="3259"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绩效目标</w:t>
            </w:r>
          </w:p>
        </w:tc>
        <w:tc>
          <w:tcPr>
            <w:tcW w:w="652"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绩效指标</w:t>
            </w:r>
          </w:p>
        </w:tc>
        <w:tc>
          <w:tcPr>
            <w:tcW w:w="1922" w:type="dxa"/>
            <w:gridSpan w:val="4"/>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675" w:type="dxa"/>
            <w:vMerge w:val="continue"/>
            <w:vAlign w:val="center"/>
          </w:tcPr>
          <w:p>
            <w:pPr>
              <w:spacing w:line="560" w:lineRule="exact"/>
              <w:outlineLvl w:val="0"/>
              <w:rPr>
                <w:rFonts w:ascii="宋体" w:hAnsi="宋体" w:eastAsia="宋体"/>
                <w:sz w:val="18"/>
                <w:szCs w:val="18"/>
              </w:rPr>
            </w:pPr>
          </w:p>
        </w:tc>
        <w:tc>
          <w:tcPr>
            <w:tcW w:w="851" w:type="dxa"/>
            <w:vMerge w:val="continue"/>
            <w:vAlign w:val="center"/>
          </w:tcPr>
          <w:p>
            <w:pPr>
              <w:spacing w:line="560" w:lineRule="exact"/>
              <w:outlineLvl w:val="0"/>
              <w:rPr>
                <w:rFonts w:ascii="宋体" w:hAnsi="宋体" w:eastAsia="宋体"/>
                <w:sz w:val="18"/>
                <w:szCs w:val="18"/>
              </w:rPr>
            </w:pPr>
          </w:p>
        </w:tc>
        <w:tc>
          <w:tcPr>
            <w:tcW w:w="1701" w:type="dxa"/>
            <w:vMerge w:val="continue"/>
            <w:vAlign w:val="center"/>
          </w:tcPr>
          <w:p>
            <w:pPr>
              <w:spacing w:line="560" w:lineRule="exact"/>
              <w:outlineLvl w:val="0"/>
              <w:rPr>
                <w:rFonts w:ascii="宋体" w:hAnsi="宋体" w:eastAsia="宋体"/>
                <w:sz w:val="18"/>
                <w:szCs w:val="18"/>
              </w:rPr>
            </w:pPr>
          </w:p>
        </w:tc>
        <w:tc>
          <w:tcPr>
            <w:tcW w:w="3259" w:type="dxa"/>
            <w:vMerge w:val="continue"/>
            <w:vAlign w:val="center"/>
          </w:tcPr>
          <w:p>
            <w:pPr>
              <w:spacing w:line="560" w:lineRule="exact"/>
              <w:outlineLvl w:val="0"/>
              <w:rPr>
                <w:rFonts w:ascii="宋体" w:hAnsi="宋体" w:eastAsia="宋体"/>
                <w:sz w:val="18"/>
                <w:szCs w:val="18"/>
              </w:rPr>
            </w:pPr>
          </w:p>
        </w:tc>
        <w:tc>
          <w:tcPr>
            <w:tcW w:w="652" w:type="dxa"/>
            <w:vMerge w:val="continue"/>
            <w:vAlign w:val="center"/>
          </w:tcPr>
          <w:p>
            <w:pPr>
              <w:spacing w:line="560" w:lineRule="exact"/>
              <w:outlineLvl w:val="0"/>
              <w:rPr>
                <w:rFonts w:ascii="宋体" w:hAnsi="宋体" w:eastAsia="宋体"/>
                <w:sz w:val="18"/>
                <w:szCs w:val="18"/>
              </w:rPr>
            </w:pPr>
          </w:p>
        </w:tc>
        <w:tc>
          <w:tcPr>
            <w:tcW w:w="531" w:type="dxa"/>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优</w:t>
            </w:r>
          </w:p>
        </w:tc>
        <w:tc>
          <w:tcPr>
            <w:tcW w:w="467" w:type="dxa"/>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良</w:t>
            </w:r>
          </w:p>
        </w:tc>
        <w:tc>
          <w:tcPr>
            <w:tcW w:w="467" w:type="dxa"/>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中</w:t>
            </w:r>
          </w:p>
        </w:tc>
        <w:tc>
          <w:tcPr>
            <w:tcW w:w="457" w:type="dxa"/>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人大会议</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25</w:t>
            </w:r>
          </w:p>
        </w:tc>
        <w:tc>
          <w:tcPr>
            <w:tcW w:w="1701" w:type="dxa"/>
            <w:vAlign w:val="center"/>
          </w:tcPr>
          <w:p>
            <w:pPr>
              <w:spacing w:line="260" w:lineRule="exact"/>
              <w:ind w:firstLine="729" w:firstLineChars="304"/>
              <w:rPr>
                <w:rFonts w:ascii="方正书宋_GBK" w:eastAsia="方正书宋_GBK"/>
              </w:rPr>
            </w:pPr>
            <w:r>
              <w:rPr>
                <w:rFonts w:hint="eastAsia" w:ascii="方正书宋_GBK" w:eastAsia="方正书宋_GBK"/>
              </w:rPr>
              <w:t>县人民代表大会和常务委员会各种会议的筹备、会务工作，负责常委会文件起草、审核把关，常委会会议、主任会议及常委会党组会议决定事项、工作部署、重要文件及领导批示的传达和督办。</w:t>
            </w:r>
          </w:p>
        </w:tc>
        <w:tc>
          <w:tcPr>
            <w:tcW w:w="3259" w:type="dxa"/>
            <w:vAlign w:val="center"/>
          </w:tcPr>
          <w:p>
            <w:pPr>
              <w:spacing w:line="260" w:lineRule="exact"/>
              <w:ind w:firstLine="729" w:firstLineChars="304"/>
              <w:rPr>
                <w:rFonts w:ascii="方正书宋_GBK" w:eastAsia="方正书宋_GBK"/>
              </w:rPr>
            </w:pPr>
            <w:r>
              <w:rPr>
                <w:rFonts w:ascii="方正书宋_GBK" w:eastAsia="方正书宋_GBK"/>
              </w:rPr>
              <w:t>1</w:t>
            </w:r>
            <w:r>
              <w:rPr>
                <w:rFonts w:hint="eastAsia" w:ascii="方正书宋_GBK" w:eastAsia="方正书宋_GBK"/>
              </w:rPr>
              <w:t>、在人大代表和县人民代表大会常务委员会充分发表审议意见的基础上，作出我县县经济社会发展计划、县总预算和县本级预算等决议。</w:t>
            </w:r>
          </w:p>
          <w:p>
            <w:pPr>
              <w:spacing w:line="260" w:lineRule="exact"/>
              <w:ind w:firstLine="729" w:firstLineChars="304"/>
              <w:rPr>
                <w:rFonts w:ascii="方正书宋_GBK" w:eastAsia="方正书宋_GBK"/>
              </w:rPr>
            </w:pPr>
            <w:r>
              <w:rPr>
                <w:rFonts w:ascii="方正书宋_GBK" w:eastAsia="方正书宋_GBK"/>
              </w:rPr>
              <w:t>2</w:t>
            </w:r>
            <w:r>
              <w:rPr>
                <w:rFonts w:hint="eastAsia" w:ascii="方正书宋_GBK" w:eastAsia="方正书宋_GBK"/>
              </w:rPr>
              <w:t>、通过听取和审议一府两院等工作报告，作出有关报告的决议。</w:t>
            </w:r>
          </w:p>
          <w:p>
            <w:pPr>
              <w:spacing w:line="260" w:lineRule="exact"/>
              <w:ind w:firstLine="729" w:firstLineChars="304"/>
              <w:rPr>
                <w:rFonts w:ascii="方正书宋_GBK" w:eastAsia="方正书宋_GBK"/>
              </w:rPr>
            </w:pPr>
            <w:r>
              <w:rPr>
                <w:rFonts w:ascii="方正书宋_GBK" w:eastAsia="方正书宋_GBK"/>
              </w:rPr>
              <w:t>3</w:t>
            </w:r>
            <w:r>
              <w:rPr>
                <w:rFonts w:hint="eastAsia" w:ascii="方正书宋_GBK" w:eastAsia="方正书宋_GBK"/>
              </w:rPr>
              <w:t>、通过质询、专题询问和工作评议的方式就一府两院的工作进行监督。</w:t>
            </w:r>
          </w:p>
          <w:p>
            <w:pPr>
              <w:spacing w:line="260" w:lineRule="exact"/>
              <w:ind w:firstLine="729" w:firstLineChars="304"/>
              <w:rPr>
                <w:rFonts w:ascii="方正书宋_GBK" w:eastAsia="方正书宋_GBK"/>
              </w:rPr>
            </w:pPr>
            <w:r>
              <w:rPr>
                <w:rFonts w:ascii="方正书宋_GBK" w:eastAsia="方正书宋_GBK"/>
              </w:rPr>
              <w:t>4</w:t>
            </w:r>
            <w:r>
              <w:rPr>
                <w:rFonts w:hint="eastAsia" w:ascii="方正书宋_GBK" w:eastAsia="方正书宋_GBK"/>
              </w:rPr>
              <w:t>、为保证我县重大决策的科学性和法定性，实施作出有关我县重大问题的决定。</w:t>
            </w:r>
            <w:r>
              <w:rPr>
                <w:rFonts w:ascii="方正书宋_GBK" w:eastAsia="方正书宋_GBK"/>
              </w:rPr>
              <w:t>5</w:t>
            </w:r>
            <w:r>
              <w:rPr>
                <w:rFonts w:hint="eastAsia" w:ascii="方正书宋_GBK" w:eastAsia="方正书宋_GBK"/>
              </w:rPr>
              <w:t>、高效、精细的筹备县人大会。</w:t>
            </w:r>
          </w:p>
        </w:tc>
        <w:tc>
          <w:tcPr>
            <w:tcW w:w="652" w:type="dxa"/>
            <w:vAlign w:val="center"/>
          </w:tcPr>
          <w:p>
            <w:pPr>
              <w:spacing w:line="300" w:lineRule="exact"/>
              <w:rPr>
                <w:rFonts w:ascii="仿宋" w:hAnsi="仿宋" w:eastAsia="仿宋"/>
              </w:rPr>
            </w:pPr>
            <w:r>
              <w:rPr>
                <w:rFonts w:hint="eastAsia" w:ascii="仿宋" w:hAnsi="仿宋" w:eastAsia="仿宋"/>
              </w:rPr>
              <w:t>政治任务实现率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人大监督</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3</w:t>
            </w:r>
          </w:p>
        </w:tc>
        <w:tc>
          <w:tcPr>
            <w:tcW w:w="1701" w:type="dxa"/>
            <w:vAlign w:val="center"/>
          </w:tcPr>
          <w:p>
            <w:pPr>
              <w:spacing w:line="260" w:lineRule="exact"/>
              <w:ind w:firstLine="729" w:firstLineChars="304"/>
              <w:rPr>
                <w:rFonts w:ascii="方正书宋_GBK" w:eastAsia="方正书宋_GBK"/>
              </w:rPr>
            </w:pPr>
            <w:r>
              <w:rPr>
                <w:rFonts w:hint="eastAsia" w:ascii="方正书宋_GBK" w:eastAsia="方正书宋_GBK"/>
              </w:rPr>
              <w:t>进行执法检查；围绕政府工作报告内容开展调查研究，开展专题询问和工作评议；对</w:t>
            </w:r>
            <w:r>
              <w:rPr>
                <w:rFonts w:hint="cs" w:ascii="方正书宋_GBK" w:eastAsia="方正书宋_GBK"/>
                <w:cs/>
              </w:rPr>
              <w:t>“</w:t>
            </w:r>
            <w:r>
              <w:rPr>
                <w:rFonts w:hint="eastAsia" w:ascii="方正书宋_GBK" w:eastAsia="方正书宋_GBK"/>
              </w:rPr>
              <w:t>一府两院</w:t>
            </w:r>
            <w:r>
              <w:rPr>
                <w:rFonts w:hint="cs" w:ascii="方正书宋_GBK" w:eastAsia="方正书宋_GBK"/>
                <w:cs/>
              </w:rPr>
              <w:t>”</w:t>
            </w:r>
            <w:r>
              <w:rPr>
                <w:rFonts w:hint="eastAsia" w:ascii="方正书宋_GBK" w:eastAsia="方正书宋_GBK"/>
              </w:rPr>
              <w:t>进行监督。</w:t>
            </w:r>
          </w:p>
        </w:tc>
        <w:tc>
          <w:tcPr>
            <w:tcW w:w="3259" w:type="dxa"/>
            <w:vAlign w:val="center"/>
          </w:tcPr>
          <w:p>
            <w:pPr>
              <w:spacing w:line="260" w:lineRule="exact"/>
              <w:ind w:firstLine="729" w:firstLineChars="304"/>
              <w:rPr>
                <w:rFonts w:ascii="方正书宋_GBK" w:eastAsia="方正书宋_GBK"/>
              </w:rPr>
            </w:pPr>
            <w:r>
              <w:rPr>
                <w:rFonts w:ascii="方正书宋_GBK" w:eastAsia="方正书宋_GBK"/>
              </w:rPr>
              <w:t>1</w:t>
            </w:r>
            <w:r>
              <w:rPr>
                <w:rFonts w:hint="eastAsia" w:ascii="方正书宋_GBK" w:eastAsia="方正书宋_GBK"/>
              </w:rPr>
              <w:t>、监督宪法和法律在我县县行政区域内正确实施。</w:t>
            </w:r>
            <w:r>
              <w:rPr>
                <w:rFonts w:ascii="方正书宋_GBK" w:eastAsia="方正书宋_GBK"/>
              </w:rPr>
              <w:t>2</w:t>
            </w:r>
            <w:r>
              <w:rPr>
                <w:rFonts w:hint="eastAsia" w:ascii="方正书宋_GBK" w:eastAsia="方正书宋_GBK"/>
              </w:rPr>
              <w:t>、监督一府两院依法开展工作。</w:t>
            </w:r>
            <w:r>
              <w:rPr>
                <w:rFonts w:ascii="方正书宋_GBK" w:eastAsia="方正书宋_GBK"/>
              </w:rPr>
              <w:t>3</w:t>
            </w:r>
            <w:r>
              <w:rPr>
                <w:rFonts w:hint="eastAsia" w:ascii="方正书宋_GBK" w:eastAsia="方正书宋_GBK"/>
              </w:rPr>
              <w:t>、监督县本级预算按照县代会通过的预算有效实施。</w:t>
            </w:r>
            <w:r>
              <w:rPr>
                <w:rFonts w:ascii="方正书宋_GBK" w:eastAsia="方正书宋_GBK"/>
              </w:rPr>
              <w:t>4</w:t>
            </w:r>
            <w:r>
              <w:rPr>
                <w:rFonts w:hint="eastAsia" w:ascii="方正书宋_GBK" w:eastAsia="方正书宋_GBK"/>
              </w:rPr>
              <w:t>、监督经济和社会发展计划有效实施。</w:t>
            </w:r>
          </w:p>
        </w:tc>
        <w:tc>
          <w:tcPr>
            <w:tcW w:w="652" w:type="dxa"/>
            <w:vAlign w:val="center"/>
          </w:tcPr>
          <w:p>
            <w:pPr>
              <w:spacing w:line="300" w:lineRule="exact"/>
              <w:rPr>
                <w:rFonts w:ascii="仿宋" w:hAnsi="仿宋" w:eastAsia="仿宋"/>
              </w:rPr>
            </w:pPr>
            <w:r>
              <w:rPr>
                <w:rFonts w:hint="eastAsia" w:ascii="仿宋" w:hAnsi="仿宋" w:eastAsia="仿宋"/>
              </w:rPr>
              <w:t>建议督办完成率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专门委员会、常委及人大代表活动</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2</w:t>
            </w:r>
          </w:p>
        </w:tc>
        <w:tc>
          <w:tcPr>
            <w:tcW w:w="1701" w:type="dxa"/>
            <w:vAlign w:val="center"/>
          </w:tcPr>
          <w:p>
            <w:pPr>
              <w:spacing w:line="260" w:lineRule="exact"/>
              <w:ind w:firstLine="729" w:firstLineChars="304"/>
              <w:rPr>
                <w:rFonts w:ascii="方正书宋_GBK" w:eastAsia="方正书宋_GBK"/>
              </w:rPr>
            </w:pPr>
            <w:r>
              <w:rPr>
                <w:rFonts w:hint="eastAsia" w:ascii="方正书宋_GBK" w:eastAsia="方正书宋_GBK"/>
              </w:rPr>
              <w:t>组织专门委员会委员对法律实施情况进行检查；组织县人民代表大会常务委员会及县人大代表进行执法检查和集中视察；开展代表建议督办；组织对常委及代表培训。</w:t>
            </w:r>
          </w:p>
        </w:tc>
        <w:tc>
          <w:tcPr>
            <w:tcW w:w="3259" w:type="dxa"/>
            <w:vAlign w:val="center"/>
          </w:tcPr>
          <w:p>
            <w:pPr>
              <w:spacing w:line="260" w:lineRule="exact"/>
              <w:ind w:firstLine="729" w:firstLineChars="304"/>
              <w:rPr>
                <w:rFonts w:ascii="方正书宋_GBK" w:eastAsia="方正书宋_GBK"/>
              </w:rPr>
            </w:pPr>
            <w:r>
              <w:rPr>
                <w:rFonts w:hint="eastAsia" w:ascii="方正书宋_GBK" w:eastAsia="方正书宋_GBK"/>
              </w:rPr>
              <w:t>提高法规质量，保障其有效实施；发挥常委及代表的桥梁纽带作用，集中反映民意，促进依法履职。</w:t>
            </w:r>
          </w:p>
        </w:tc>
        <w:tc>
          <w:tcPr>
            <w:tcW w:w="652" w:type="dxa"/>
            <w:vAlign w:val="center"/>
          </w:tcPr>
          <w:p>
            <w:pPr>
              <w:spacing w:line="300" w:lineRule="exact"/>
              <w:rPr>
                <w:rFonts w:ascii="仿宋" w:hAnsi="仿宋" w:eastAsia="仿宋"/>
              </w:rPr>
            </w:pPr>
            <w:r>
              <w:rPr>
                <w:rFonts w:hint="eastAsia" w:ascii="仿宋" w:hAnsi="仿宋" w:eastAsia="仿宋"/>
              </w:rPr>
              <w:t>立法调研计划完成率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选举和任免</w:t>
            </w:r>
          </w:p>
        </w:tc>
        <w:tc>
          <w:tcPr>
            <w:tcW w:w="851" w:type="dxa"/>
            <w:vAlign w:val="center"/>
          </w:tcPr>
          <w:p>
            <w:pPr>
              <w:spacing w:line="300" w:lineRule="exact"/>
              <w:ind w:firstLine="729" w:firstLineChars="304"/>
              <w:jc w:val="center"/>
              <w:rPr>
                <w:rFonts w:ascii="方正书宋_GBK" w:eastAsia="方正书宋_GBK"/>
              </w:rPr>
            </w:pPr>
            <w:r>
              <w:rPr>
                <w:rFonts w:hint="eastAsia" w:ascii="方正书宋_GBK" w:eastAsia="方正书宋_GBK"/>
              </w:rPr>
              <w:t>1</w:t>
            </w:r>
          </w:p>
        </w:tc>
        <w:tc>
          <w:tcPr>
            <w:tcW w:w="1701" w:type="dxa"/>
            <w:vAlign w:val="center"/>
          </w:tcPr>
          <w:p>
            <w:pPr>
              <w:spacing w:line="300" w:lineRule="exact"/>
              <w:ind w:firstLine="729" w:firstLineChars="304"/>
              <w:rPr>
                <w:rFonts w:ascii="方正书宋_GBK" w:eastAsia="方正书宋_GBK"/>
              </w:rPr>
            </w:pPr>
            <w:r>
              <w:rPr>
                <w:rFonts w:hint="eastAsia" w:ascii="方正书宋_GBK" w:eastAsia="方正书宋_GBK"/>
              </w:rPr>
              <w:t>检查监督代表法、选举法及其实施办法的贯彻实施；承担人大换届选举及人事任免服务工作；负责对县政府组成人员和县级人民法院、县人民检察院主要负责人的目标责任书、述职报告的督办工作。</w:t>
            </w:r>
          </w:p>
        </w:tc>
        <w:tc>
          <w:tcPr>
            <w:tcW w:w="3259" w:type="dxa"/>
            <w:vAlign w:val="center"/>
          </w:tcPr>
          <w:p>
            <w:pPr>
              <w:spacing w:line="300" w:lineRule="exact"/>
              <w:ind w:firstLine="729" w:firstLineChars="304"/>
              <w:rPr>
                <w:rFonts w:ascii="方正书宋_GBK" w:eastAsia="方正书宋_GBK"/>
              </w:rPr>
            </w:pPr>
            <w:r>
              <w:rPr>
                <w:rFonts w:ascii="方正书宋_GBK" w:eastAsia="方正书宋_GBK"/>
              </w:rPr>
              <w:t>1</w:t>
            </w:r>
            <w:r>
              <w:rPr>
                <w:rFonts w:hint="eastAsia" w:ascii="方正书宋_GBK" w:eastAsia="方正书宋_GBK"/>
              </w:rPr>
              <w:t>、根据一府两院的工作需要和县委的建议，在充分酝酿和审议的基础上，选举产生一府两院的领导成员，确保选出能力突出、责任心强、有开拓精神的同志担任一府两院的领导同志。</w:t>
            </w:r>
            <w:r>
              <w:rPr>
                <w:rFonts w:ascii="方正书宋_GBK" w:eastAsia="方正书宋_GBK"/>
              </w:rPr>
              <w:t>2</w:t>
            </w:r>
            <w:r>
              <w:rPr>
                <w:rFonts w:hint="eastAsia" w:ascii="方正书宋_GBK" w:eastAsia="方正书宋_GBK"/>
              </w:rPr>
              <w:t>、为确保有关选举的法律法规符合实际，在充分考察调研的基础上，实施对其进行修改。</w:t>
            </w:r>
            <w:r>
              <w:rPr>
                <w:rFonts w:ascii="方正书宋_GBK" w:eastAsia="方正书宋_GBK"/>
              </w:rPr>
              <w:t>3</w:t>
            </w:r>
            <w:r>
              <w:rPr>
                <w:rFonts w:hint="eastAsia" w:ascii="方正书宋_GBK" w:eastAsia="方正书宋_GBK"/>
              </w:rPr>
              <w:t>、对县政府组成人员和县人民法院、县人民检察院主要负责人进行目标责任监督，确保依法履行职责，完成目标任务。</w:t>
            </w:r>
          </w:p>
        </w:tc>
        <w:tc>
          <w:tcPr>
            <w:tcW w:w="652" w:type="dxa"/>
            <w:vAlign w:val="center"/>
          </w:tcPr>
          <w:p>
            <w:pPr>
              <w:spacing w:line="300" w:lineRule="exact"/>
              <w:rPr>
                <w:rFonts w:ascii="仿宋" w:hAnsi="仿宋" w:eastAsia="仿宋"/>
              </w:rPr>
            </w:pPr>
            <w:r>
              <w:rPr>
                <w:rFonts w:hint="eastAsia" w:ascii="仿宋" w:hAnsi="仿宋" w:eastAsia="仿宋"/>
              </w:rPr>
              <w:t>换届选举工作完成率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换届选举及人事任免</w:t>
            </w:r>
          </w:p>
        </w:tc>
        <w:tc>
          <w:tcPr>
            <w:tcW w:w="851" w:type="dxa"/>
            <w:vAlign w:val="center"/>
          </w:tcPr>
          <w:p>
            <w:pPr>
              <w:spacing w:line="300" w:lineRule="exact"/>
              <w:ind w:firstLine="729" w:firstLineChars="304"/>
              <w:jc w:val="center"/>
              <w:rPr>
                <w:rFonts w:ascii="方正书宋_GBK" w:eastAsia="方正书宋_GBK"/>
              </w:rPr>
            </w:pPr>
            <w:r>
              <w:rPr>
                <w:rFonts w:hint="eastAsia" w:ascii="方正书宋_GBK" w:eastAsia="方正书宋_GBK"/>
              </w:rPr>
              <w:t>0</w:t>
            </w:r>
          </w:p>
        </w:tc>
        <w:tc>
          <w:tcPr>
            <w:tcW w:w="1701" w:type="dxa"/>
            <w:vAlign w:val="center"/>
          </w:tcPr>
          <w:p>
            <w:pPr>
              <w:spacing w:line="300" w:lineRule="exact"/>
              <w:ind w:firstLine="729" w:firstLineChars="304"/>
              <w:rPr>
                <w:rFonts w:ascii="方正书宋_GBK" w:eastAsia="方正书宋_GBK"/>
              </w:rPr>
            </w:pPr>
            <w:r>
              <w:rPr>
                <w:rFonts w:hint="eastAsia" w:ascii="方正书宋_GBK" w:eastAsia="方正书宋_GBK"/>
              </w:rPr>
              <w:t>承担县人大换届选举、县领导人的选举和常委会人事任免的服务工作；指导乡人大换届选举工作；负责对县政府组成人员和县人民法院、县人民检察院主要负责人的目标责任书、述职报告的督办工作。</w:t>
            </w:r>
          </w:p>
        </w:tc>
        <w:tc>
          <w:tcPr>
            <w:tcW w:w="3259" w:type="dxa"/>
            <w:vAlign w:val="center"/>
          </w:tcPr>
          <w:p>
            <w:pPr>
              <w:spacing w:line="300" w:lineRule="exact"/>
              <w:ind w:firstLine="729" w:firstLineChars="304"/>
              <w:rPr>
                <w:rFonts w:ascii="方正书宋_GBK" w:eastAsia="方正书宋_GBK"/>
              </w:rPr>
            </w:pPr>
            <w:r>
              <w:rPr>
                <w:rFonts w:hint="eastAsia" w:ascii="方正书宋_GBK" w:eastAsia="方正书宋_GBK"/>
              </w:rPr>
              <w:t>确保县乡人大换届选举工作顺利完成，提高组织换届选举工作水平；高质量完成机关领导人选举和常委会人事任免服务工作；高效督办有关部门负责人的目标责任书和述职报告。</w:t>
            </w:r>
          </w:p>
        </w:tc>
        <w:tc>
          <w:tcPr>
            <w:tcW w:w="652" w:type="dxa"/>
            <w:vAlign w:val="center"/>
          </w:tcPr>
          <w:p>
            <w:pPr>
              <w:spacing w:line="300" w:lineRule="exact"/>
              <w:rPr>
                <w:rFonts w:ascii="仿宋" w:hAnsi="仿宋" w:eastAsia="仿宋"/>
              </w:rPr>
            </w:pPr>
            <w:r>
              <w:rPr>
                <w:rFonts w:hint="eastAsia" w:ascii="仿宋" w:hAnsi="仿宋" w:eastAsia="仿宋"/>
              </w:rPr>
              <w:t>换届选举工作完成率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人大事务管理</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50</w:t>
            </w:r>
          </w:p>
        </w:tc>
        <w:tc>
          <w:tcPr>
            <w:tcW w:w="1701" w:type="dxa"/>
            <w:vAlign w:val="center"/>
          </w:tcPr>
          <w:p>
            <w:pPr>
              <w:spacing w:line="300" w:lineRule="exact"/>
              <w:ind w:firstLine="729" w:firstLineChars="304"/>
              <w:rPr>
                <w:rFonts w:ascii="方正书宋_GBK" w:eastAsia="方正书宋_GBK"/>
              </w:rPr>
            </w:pPr>
            <w:r>
              <w:rPr>
                <w:rFonts w:hint="eastAsia" w:ascii="方正书宋_GBK" w:eastAsia="方正书宋_GBK"/>
              </w:rPr>
              <w:t>新闻宣传和机关信息化建设与维护；人代会及常委会机关基础设施建设与维护；县人大常委会机关日常管理事务；信访工作。</w:t>
            </w:r>
          </w:p>
        </w:tc>
        <w:tc>
          <w:tcPr>
            <w:tcW w:w="3259" w:type="dxa"/>
            <w:vAlign w:val="center"/>
          </w:tcPr>
          <w:p>
            <w:pPr>
              <w:spacing w:line="300" w:lineRule="exact"/>
              <w:ind w:firstLine="729" w:firstLineChars="304"/>
              <w:rPr>
                <w:rFonts w:ascii="方正书宋_GBK" w:eastAsia="方正书宋_GBK"/>
              </w:rPr>
            </w:pPr>
            <w:r>
              <w:rPr>
                <w:rFonts w:hint="eastAsia" w:ascii="方正书宋_GBK" w:eastAsia="方正书宋_GBK"/>
              </w:rPr>
              <w:t>确保新闻宣传工作正常开展，信息系统运行正常，会议表决系统运转良好，机关基础设施运转良好，人大公报等正常出版，信访工作平稳。</w:t>
            </w:r>
          </w:p>
        </w:tc>
        <w:tc>
          <w:tcPr>
            <w:tcW w:w="652" w:type="dxa"/>
            <w:vAlign w:val="center"/>
          </w:tcPr>
          <w:p>
            <w:pPr>
              <w:spacing w:line="300" w:lineRule="exact"/>
              <w:rPr>
                <w:rFonts w:ascii="仿宋" w:hAnsi="仿宋" w:eastAsia="仿宋"/>
              </w:rPr>
            </w:pPr>
            <w:r>
              <w:rPr>
                <w:rFonts w:hint="eastAsia" w:ascii="仿宋" w:hAnsi="仿宋" w:eastAsia="仿宋"/>
              </w:rPr>
              <w:t>综合事务管理工作完成率</w:t>
            </w:r>
          </w:p>
        </w:tc>
        <w:tc>
          <w:tcPr>
            <w:tcW w:w="531" w:type="dxa"/>
            <w:vAlign w:val="center"/>
          </w:tcPr>
          <w:p>
            <w:pPr>
              <w:spacing w:line="300" w:lineRule="exact"/>
              <w:jc w:val="center"/>
              <w:rPr>
                <w:rFonts w:ascii="仿宋" w:hAnsi="仿宋" w:eastAsia="仿宋"/>
              </w:rPr>
            </w:pPr>
            <w:r>
              <w:rPr>
                <w:rFonts w:ascii="仿宋" w:hAnsi="仿宋" w:eastAsia="仿宋"/>
              </w:rPr>
              <w:t>100%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r>
    </w:tbl>
    <w:p>
      <w:pPr>
        <w:ind w:firstLine="640"/>
        <w:rPr>
          <w:rFonts w:asciiTheme="minorHAnsi" w:hAnsiTheme="minorHAnsi"/>
          <w:lang w:val="uk-UA"/>
        </w:rPr>
        <w:sectPr>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ind w:firstLine="640"/>
        <w:rPr>
          <w:rFonts w:eastAsia="方正楷体_GBK" w:cs="方正楷体_GBK" w:asciiTheme="minorHAnsi" w:hAnsiTheme="minorHAnsi"/>
          <w:b/>
          <w:color w:val="000000"/>
          <w:sz w:val="32"/>
          <w:lang w:val="uk-UA"/>
        </w:rPr>
      </w:pPr>
    </w:p>
    <w:p>
      <w:pPr>
        <w:spacing w:line="560" w:lineRule="exact"/>
        <w:jc w:val="center"/>
        <w:outlineLvl w:val="0"/>
        <w:rPr>
          <w:rFonts w:ascii="宋体" w:hAnsi="宋体" w:eastAsia="宋体"/>
          <w:sz w:val="32"/>
          <w:szCs w:val="32"/>
        </w:rPr>
      </w:pPr>
      <w:r>
        <w:rPr>
          <w:rFonts w:hint="eastAsia" w:ascii="宋体" w:hAnsi="宋体" w:eastAsia="宋体" w:cs="方正小标宋_GBK"/>
          <w:sz w:val="32"/>
          <w:szCs w:val="32"/>
        </w:rPr>
        <w:t>部门职责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p>
    <w:tbl>
      <w:tblPr>
        <w:tblStyle w:val="8"/>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851"/>
        <w:gridCol w:w="1701"/>
        <w:gridCol w:w="3259"/>
        <w:gridCol w:w="652"/>
        <w:gridCol w:w="531"/>
        <w:gridCol w:w="467"/>
        <w:gridCol w:w="467"/>
        <w:gridCol w:w="4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7138" w:type="dxa"/>
            <w:gridSpan w:val="5"/>
            <w:tcBorders>
              <w:top w:val="single" w:color="FFFFFF" w:sz="6" w:space="0"/>
              <w:left w:val="single" w:color="FFFFFF" w:sz="6" w:space="0"/>
              <w:right w:val="single" w:color="FFFFFF" w:sz="6" w:space="0"/>
            </w:tcBorders>
            <w:vAlign w:val="center"/>
          </w:tcPr>
          <w:p>
            <w:pPr>
              <w:spacing w:line="560" w:lineRule="exact"/>
              <w:rPr>
                <w:rFonts w:ascii="宋体" w:hAnsi="宋体" w:eastAsia="宋体"/>
              </w:rPr>
            </w:pPr>
            <w:r>
              <w:rPr>
                <w:rFonts w:hint="eastAsia" w:ascii="宋体" w:hAnsi="宋体" w:eastAsia="宋体" w:cs="方正小标宋_GBK"/>
              </w:rPr>
              <w:t>部门（单位）名称：101成安县人民代表大会常务委员会办公室</w:t>
            </w:r>
          </w:p>
        </w:tc>
        <w:tc>
          <w:tcPr>
            <w:tcW w:w="1922" w:type="dxa"/>
            <w:gridSpan w:val="4"/>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sz w:val="18"/>
                <w:szCs w:val="18"/>
              </w:rPr>
            </w:pPr>
            <w:r>
              <w:rPr>
                <w:rFonts w:hint="eastAsia" w:ascii="宋体" w:hAnsi="宋体" w:eastAsia="宋体" w:cs="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675"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职责活动</w:t>
            </w:r>
          </w:p>
        </w:tc>
        <w:tc>
          <w:tcPr>
            <w:tcW w:w="851"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年度预算数</w:t>
            </w:r>
          </w:p>
        </w:tc>
        <w:tc>
          <w:tcPr>
            <w:tcW w:w="1701"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内容描述</w:t>
            </w:r>
          </w:p>
        </w:tc>
        <w:tc>
          <w:tcPr>
            <w:tcW w:w="3259"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绩效目标</w:t>
            </w:r>
          </w:p>
        </w:tc>
        <w:tc>
          <w:tcPr>
            <w:tcW w:w="652" w:type="dxa"/>
            <w:vMerge w:val="restart"/>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绩效指标</w:t>
            </w:r>
          </w:p>
        </w:tc>
        <w:tc>
          <w:tcPr>
            <w:tcW w:w="1922" w:type="dxa"/>
            <w:gridSpan w:val="4"/>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675" w:type="dxa"/>
            <w:vMerge w:val="continue"/>
            <w:vAlign w:val="center"/>
          </w:tcPr>
          <w:p>
            <w:pPr>
              <w:spacing w:line="560" w:lineRule="exact"/>
              <w:outlineLvl w:val="0"/>
              <w:rPr>
                <w:rFonts w:ascii="宋体" w:hAnsi="宋体" w:eastAsia="宋体"/>
                <w:sz w:val="18"/>
                <w:szCs w:val="18"/>
              </w:rPr>
            </w:pPr>
          </w:p>
        </w:tc>
        <w:tc>
          <w:tcPr>
            <w:tcW w:w="851" w:type="dxa"/>
            <w:vMerge w:val="continue"/>
            <w:vAlign w:val="center"/>
          </w:tcPr>
          <w:p>
            <w:pPr>
              <w:spacing w:line="560" w:lineRule="exact"/>
              <w:outlineLvl w:val="0"/>
              <w:rPr>
                <w:rFonts w:ascii="宋体" w:hAnsi="宋体" w:eastAsia="宋体"/>
                <w:sz w:val="18"/>
                <w:szCs w:val="18"/>
              </w:rPr>
            </w:pPr>
          </w:p>
        </w:tc>
        <w:tc>
          <w:tcPr>
            <w:tcW w:w="1701" w:type="dxa"/>
            <w:vMerge w:val="continue"/>
            <w:vAlign w:val="center"/>
          </w:tcPr>
          <w:p>
            <w:pPr>
              <w:spacing w:line="560" w:lineRule="exact"/>
              <w:outlineLvl w:val="0"/>
              <w:rPr>
                <w:rFonts w:ascii="宋体" w:hAnsi="宋体" w:eastAsia="宋体"/>
                <w:sz w:val="18"/>
                <w:szCs w:val="18"/>
              </w:rPr>
            </w:pPr>
          </w:p>
        </w:tc>
        <w:tc>
          <w:tcPr>
            <w:tcW w:w="3259" w:type="dxa"/>
            <w:vMerge w:val="continue"/>
            <w:vAlign w:val="center"/>
          </w:tcPr>
          <w:p>
            <w:pPr>
              <w:spacing w:line="560" w:lineRule="exact"/>
              <w:outlineLvl w:val="0"/>
              <w:rPr>
                <w:rFonts w:ascii="宋体" w:hAnsi="宋体" w:eastAsia="宋体"/>
                <w:sz w:val="18"/>
                <w:szCs w:val="18"/>
              </w:rPr>
            </w:pPr>
          </w:p>
        </w:tc>
        <w:tc>
          <w:tcPr>
            <w:tcW w:w="652" w:type="dxa"/>
            <w:vMerge w:val="continue"/>
            <w:vAlign w:val="center"/>
          </w:tcPr>
          <w:p>
            <w:pPr>
              <w:spacing w:line="560" w:lineRule="exact"/>
              <w:outlineLvl w:val="0"/>
              <w:rPr>
                <w:rFonts w:ascii="宋体" w:hAnsi="宋体" w:eastAsia="宋体"/>
                <w:sz w:val="18"/>
                <w:szCs w:val="18"/>
              </w:rPr>
            </w:pPr>
          </w:p>
        </w:tc>
        <w:tc>
          <w:tcPr>
            <w:tcW w:w="531" w:type="dxa"/>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优</w:t>
            </w:r>
          </w:p>
        </w:tc>
        <w:tc>
          <w:tcPr>
            <w:tcW w:w="467" w:type="dxa"/>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良</w:t>
            </w:r>
          </w:p>
        </w:tc>
        <w:tc>
          <w:tcPr>
            <w:tcW w:w="467" w:type="dxa"/>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中</w:t>
            </w:r>
          </w:p>
        </w:tc>
        <w:tc>
          <w:tcPr>
            <w:tcW w:w="457" w:type="dxa"/>
            <w:vAlign w:val="center"/>
          </w:tcPr>
          <w:p>
            <w:pPr>
              <w:spacing w:line="560" w:lineRule="exact"/>
              <w:jc w:val="center"/>
              <w:rPr>
                <w:rFonts w:ascii="宋体" w:hAnsi="宋体" w:eastAsia="宋体"/>
                <w:b/>
                <w:bCs/>
                <w:sz w:val="18"/>
                <w:szCs w:val="18"/>
              </w:rPr>
            </w:pPr>
            <w:r>
              <w:rPr>
                <w:rFonts w:hint="eastAsia" w:ascii="宋体" w:hAnsi="宋体" w:eastAsia="宋体" w:cs="方正书宋_GBK"/>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人大会议</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25</w:t>
            </w:r>
          </w:p>
        </w:tc>
        <w:tc>
          <w:tcPr>
            <w:tcW w:w="1701" w:type="dxa"/>
            <w:vAlign w:val="center"/>
          </w:tcPr>
          <w:p>
            <w:pPr>
              <w:spacing w:line="260" w:lineRule="exact"/>
              <w:ind w:firstLine="729" w:firstLineChars="304"/>
              <w:rPr>
                <w:rFonts w:ascii="方正书宋_GBK" w:eastAsia="方正书宋_GBK"/>
              </w:rPr>
            </w:pPr>
            <w:r>
              <w:rPr>
                <w:rFonts w:hint="eastAsia" w:ascii="方正书宋_GBK" w:eastAsia="方正书宋_GBK"/>
              </w:rPr>
              <w:t>县人民代表大会和常务委员会各种会议的筹备、会务工作，负责常委会文件起草、审核把关，常委会会议、主任会议及常委会党组会议决定事项、工作部署、重要文件及领导批示的传达和督办。</w:t>
            </w:r>
          </w:p>
        </w:tc>
        <w:tc>
          <w:tcPr>
            <w:tcW w:w="3259" w:type="dxa"/>
            <w:vAlign w:val="center"/>
          </w:tcPr>
          <w:p>
            <w:pPr>
              <w:spacing w:line="260" w:lineRule="exact"/>
              <w:ind w:firstLine="729" w:firstLineChars="304"/>
              <w:rPr>
                <w:rFonts w:ascii="方正书宋_GBK" w:eastAsia="方正书宋_GBK"/>
              </w:rPr>
            </w:pPr>
            <w:r>
              <w:rPr>
                <w:rFonts w:ascii="方正书宋_GBK" w:eastAsia="方正书宋_GBK"/>
              </w:rPr>
              <w:t>1</w:t>
            </w:r>
            <w:r>
              <w:rPr>
                <w:rFonts w:hint="eastAsia" w:ascii="方正书宋_GBK" w:eastAsia="方正书宋_GBK"/>
              </w:rPr>
              <w:t>、在人大代表和县人民代表大会常务委员会充分发表审议意见的基础上，作出我县县经济社会发展计划、县总预算和县本级预算等决议。</w:t>
            </w:r>
          </w:p>
          <w:p>
            <w:pPr>
              <w:spacing w:line="260" w:lineRule="exact"/>
              <w:ind w:firstLine="729" w:firstLineChars="304"/>
              <w:rPr>
                <w:rFonts w:ascii="方正书宋_GBK" w:eastAsia="方正书宋_GBK"/>
              </w:rPr>
            </w:pPr>
            <w:r>
              <w:rPr>
                <w:rFonts w:ascii="方正书宋_GBK" w:eastAsia="方正书宋_GBK"/>
              </w:rPr>
              <w:t>2</w:t>
            </w:r>
            <w:r>
              <w:rPr>
                <w:rFonts w:hint="eastAsia" w:ascii="方正书宋_GBK" w:eastAsia="方正书宋_GBK"/>
              </w:rPr>
              <w:t>、通过听取和审议一府两院等工作报告，作出有关报告的决议。</w:t>
            </w:r>
          </w:p>
          <w:p>
            <w:pPr>
              <w:spacing w:line="260" w:lineRule="exact"/>
              <w:ind w:firstLine="729" w:firstLineChars="304"/>
              <w:rPr>
                <w:rFonts w:ascii="方正书宋_GBK" w:eastAsia="方正书宋_GBK"/>
              </w:rPr>
            </w:pPr>
            <w:r>
              <w:rPr>
                <w:rFonts w:ascii="方正书宋_GBK" w:eastAsia="方正书宋_GBK"/>
              </w:rPr>
              <w:t>3</w:t>
            </w:r>
            <w:r>
              <w:rPr>
                <w:rFonts w:hint="eastAsia" w:ascii="方正书宋_GBK" w:eastAsia="方正书宋_GBK"/>
              </w:rPr>
              <w:t>、通过质询、专题询问和工作评议的方式就一府两院的工作进行监督。</w:t>
            </w:r>
          </w:p>
          <w:p>
            <w:pPr>
              <w:spacing w:line="260" w:lineRule="exact"/>
              <w:ind w:firstLine="729" w:firstLineChars="304"/>
              <w:rPr>
                <w:rFonts w:ascii="方正书宋_GBK" w:eastAsia="方正书宋_GBK"/>
              </w:rPr>
            </w:pPr>
            <w:r>
              <w:rPr>
                <w:rFonts w:ascii="方正书宋_GBK" w:eastAsia="方正书宋_GBK"/>
              </w:rPr>
              <w:t>4</w:t>
            </w:r>
            <w:r>
              <w:rPr>
                <w:rFonts w:hint="eastAsia" w:ascii="方正书宋_GBK" w:eastAsia="方正书宋_GBK"/>
              </w:rPr>
              <w:t>、为保证我县重大决策的科学性和法定性，实施作出有关我县重大问题的决定。</w:t>
            </w:r>
            <w:r>
              <w:rPr>
                <w:rFonts w:ascii="方正书宋_GBK" w:eastAsia="方正书宋_GBK"/>
              </w:rPr>
              <w:t>5</w:t>
            </w:r>
            <w:r>
              <w:rPr>
                <w:rFonts w:hint="eastAsia" w:ascii="方正书宋_GBK" w:eastAsia="方正书宋_GBK"/>
              </w:rPr>
              <w:t>、高效、精细的筹备县人大会。</w:t>
            </w:r>
          </w:p>
        </w:tc>
        <w:tc>
          <w:tcPr>
            <w:tcW w:w="652" w:type="dxa"/>
            <w:vAlign w:val="center"/>
          </w:tcPr>
          <w:p>
            <w:pPr>
              <w:spacing w:line="300" w:lineRule="exact"/>
              <w:rPr>
                <w:rFonts w:ascii="仿宋" w:hAnsi="仿宋" w:eastAsia="仿宋"/>
              </w:rPr>
            </w:pPr>
            <w:r>
              <w:rPr>
                <w:rFonts w:hint="eastAsia" w:ascii="仿宋" w:hAnsi="仿宋" w:eastAsia="仿宋"/>
              </w:rPr>
              <w:t>政治任务实现率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人大监督</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3</w:t>
            </w:r>
          </w:p>
        </w:tc>
        <w:tc>
          <w:tcPr>
            <w:tcW w:w="1701" w:type="dxa"/>
            <w:vAlign w:val="center"/>
          </w:tcPr>
          <w:p>
            <w:pPr>
              <w:spacing w:line="260" w:lineRule="exact"/>
              <w:ind w:firstLine="729" w:firstLineChars="304"/>
              <w:rPr>
                <w:rFonts w:ascii="方正书宋_GBK" w:eastAsia="方正书宋_GBK"/>
              </w:rPr>
            </w:pPr>
            <w:r>
              <w:rPr>
                <w:rFonts w:hint="eastAsia" w:ascii="方正书宋_GBK" w:eastAsia="方正书宋_GBK"/>
              </w:rPr>
              <w:t>进行执法检查；围绕政府工作报告内容开展调查研究，开展专题询问和工作评议；对</w:t>
            </w:r>
            <w:r>
              <w:rPr>
                <w:rFonts w:hint="cs" w:ascii="方正书宋_GBK" w:eastAsia="方正书宋_GBK"/>
                <w:cs/>
              </w:rPr>
              <w:t>“</w:t>
            </w:r>
            <w:r>
              <w:rPr>
                <w:rFonts w:hint="eastAsia" w:ascii="方正书宋_GBK" w:eastAsia="方正书宋_GBK"/>
              </w:rPr>
              <w:t>一府两院</w:t>
            </w:r>
            <w:r>
              <w:rPr>
                <w:rFonts w:hint="cs" w:ascii="方正书宋_GBK" w:eastAsia="方正书宋_GBK"/>
                <w:cs/>
              </w:rPr>
              <w:t>”</w:t>
            </w:r>
            <w:r>
              <w:rPr>
                <w:rFonts w:hint="eastAsia" w:ascii="方正书宋_GBK" w:eastAsia="方正书宋_GBK"/>
              </w:rPr>
              <w:t>进行监督。</w:t>
            </w:r>
          </w:p>
        </w:tc>
        <w:tc>
          <w:tcPr>
            <w:tcW w:w="3259" w:type="dxa"/>
            <w:vAlign w:val="center"/>
          </w:tcPr>
          <w:p>
            <w:pPr>
              <w:spacing w:line="260" w:lineRule="exact"/>
              <w:ind w:firstLine="729" w:firstLineChars="304"/>
              <w:rPr>
                <w:rFonts w:ascii="方正书宋_GBK" w:eastAsia="方正书宋_GBK"/>
              </w:rPr>
            </w:pPr>
            <w:r>
              <w:rPr>
                <w:rFonts w:ascii="方正书宋_GBK" w:eastAsia="方正书宋_GBK"/>
              </w:rPr>
              <w:t>1</w:t>
            </w:r>
            <w:r>
              <w:rPr>
                <w:rFonts w:hint="eastAsia" w:ascii="方正书宋_GBK" w:eastAsia="方正书宋_GBK"/>
              </w:rPr>
              <w:t>、监督宪法和法律在我县县行政区域内正确实施。</w:t>
            </w:r>
            <w:r>
              <w:rPr>
                <w:rFonts w:ascii="方正书宋_GBK" w:eastAsia="方正书宋_GBK"/>
              </w:rPr>
              <w:t>2</w:t>
            </w:r>
            <w:r>
              <w:rPr>
                <w:rFonts w:hint="eastAsia" w:ascii="方正书宋_GBK" w:eastAsia="方正书宋_GBK"/>
              </w:rPr>
              <w:t>、监督一府两院依法开展工作。</w:t>
            </w:r>
            <w:r>
              <w:rPr>
                <w:rFonts w:ascii="方正书宋_GBK" w:eastAsia="方正书宋_GBK"/>
              </w:rPr>
              <w:t>3</w:t>
            </w:r>
            <w:r>
              <w:rPr>
                <w:rFonts w:hint="eastAsia" w:ascii="方正书宋_GBK" w:eastAsia="方正书宋_GBK"/>
              </w:rPr>
              <w:t>、监督县本级预算按照县代会通过的预算有效实施。</w:t>
            </w:r>
            <w:r>
              <w:rPr>
                <w:rFonts w:ascii="方正书宋_GBK" w:eastAsia="方正书宋_GBK"/>
              </w:rPr>
              <w:t>4</w:t>
            </w:r>
            <w:r>
              <w:rPr>
                <w:rFonts w:hint="eastAsia" w:ascii="方正书宋_GBK" w:eastAsia="方正书宋_GBK"/>
              </w:rPr>
              <w:t>、监督经济和社会发展计划有效实施。</w:t>
            </w:r>
          </w:p>
        </w:tc>
        <w:tc>
          <w:tcPr>
            <w:tcW w:w="652" w:type="dxa"/>
            <w:vAlign w:val="center"/>
          </w:tcPr>
          <w:p>
            <w:pPr>
              <w:spacing w:line="300" w:lineRule="exact"/>
              <w:rPr>
                <w:rFonts w:ascii="仿宋" w:hAnsi="仿宋" w:eastAsia="仿宋"/>
              </w:rPr>
            </w:pPr>
            <w:r>
              <w:rPr>
                <w:rFonts w:hint="eastAsia" w:ascii="仿宋" w:hAnsi="仿宋" w:eastAsia="仿宋"/>
              </w:rPr>
              <w:t>建议督办完成率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专门委员会、常委及人大代表活动</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2</w:t>
            </w:r>
          </w:p>
        </w:tc>
        <w:tc>
          <w:tcPr>
            <w:tcW w:w="1701" w:type="dxa"/>
            <w:vAlign w:val="center"/>
          </w:tcPr>
          <w:p>
            <w:pPr>
              <w:spacing w:line="260" w:lineRule="exact"/>
              <w:ind w:firstLine="729" w:firstLineChars="304"/>
              <w:rPr>
                <w:rFonts w:ascii="方正书宋_GBK" w:eastAsia="方正书宋_GBK"/>
              </w:rPr>
            </w:pPr>
            <w:r>
              <w:rPr>
                <w:rFonts w:hint="eastAsia" w:ascii="方正书宋_GBK" w:eastAsia="方正书宋_GBK"/>
              </w:rPr>
              <w:t>组织专门委员会委员对法律实施情况进行检查；组织县人民代表大会常务委员会及县人大代表进行执法检查和集中视察；开展代表建议督办；组织对常委及代表培训。</w:t>
            </w:r>
          </w:p>
        </w:tc>
        <w:tc>
          <w:tcPr>
            <w:tcW w:w="3259" w:type="dxa"/>
            <w:vAlign w:val="center"/>
          </w:tcPr>
          <w:p>
            <w:pPr>
              <w:spacing w:line="260" w:lineRule="exact"/>
              <w:ind w:firstLine="729" w:firstLineChars="304"/>
              <w:rPr>
                <w:rFonts w:ascii="方正书宋_GBK" w:eastAsia="方正书宋_GBK"/>
              </w:rPr>
            </w:pPr>
            <w:r>
              <w:rPr>
                <w:rFonts w:hint="eastAsia" w:ascii="方正书宋_GBK" w:eastAsia="方正书宋_GBK"/>
              </w:rPr>
              <w:t>提高法规质量，保障其有效实施；发挥常委及代表的桥梁纽带作用，集中反映民意，促进依法履职。</w:t>
            </w:r>
          </w:p>
        </w:tc>
        <w:tc>
          <w:tcPr>
            <w:tcW w:w="652" w:type="dxa"/>
            <w:vAlign w:val="center"/>
          </w:tcPr>
          <w:p>
            <w:pPr>
              <w:spacing w:line="300" w:lineRule="exact"/>
              <w:rPr>
                <w:rFonts w:ascii="仿宋" w:hAnsi="仿宋" w:eastAsia="仿宋"/>
              </w:rPr>
            </w:pPr>
            <w:r>
              <w:rPr>
                <w:rFonts w:hint="eastAsia" w:ascii="仿宋" w:hAnsi="仿宋" w:eastAsia="仿宋"/>
              </w:rPr>
              <w:t>立法调研计划完成率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选举和任免</w:t>
            </w:r>
          </w:p>
        </w:tc>
        <w:tc>
          <w:tcPr>
            <w:tcW w:w="851" w:type="dxa"/>
            <w:vAlign w:val="center"/>
          </w:tcPr>
          <w:p>
            <w:pPr>
              <w:spacing w:line="300" w:lineRule="exact"/>
              <w:ind w:firstLine="729" w:firstLineChars="304"/>
              <w:jc w:val="center"/>
              <w:rPr>
                <w:rFonts w:ascii="方正书宋_GBK" w:eastAsia="方正书宋_GBK"/>
              </w:rPr>
            </w:pPr>
            <w:r>
              <w:rPr>
                <w:rFonts w:hint="eastAsia" w:ascii="方正书宋_GBK" w:eastAsia="方正书宋_GBK"/>
              </w:rPr>
              <w:t>1</w:t>
            </w:r>
          </w:p>
        </w:tc>
        <w:tc>
          <w:tcPr>
            <w:tcW w:w="1701" w:type="dxa"/>
            <w:vAlign w:val="center"/>
          </w:tcPr>
          <w:p>
            <w:pPr>
              <w:spacing w:line="300" w:lineRule="exact"/>
              <w:ind w:firstLine="729" w:firstLineChars="304"/>
              <w:rPr>
                <w:rFonts w:ascii="方正书宋_GBK" w:eastAsia="方正书宋_GBK"/>
              </w:rPr>
            </w:pPr>
            <w:r>
              <w:rPr>
                <w:rFonts w:hint="eastAsia" w:ascii="方正书宋_GBK" w:eastAsia="方正书宋_GBK"/>
              </w:rPr>
              <w:t>检查监督代表法、选举法及其实施办法的贯彻实施；承担人大换届选举及人事任免服务工作；负责对县政府组成人员和县级人民法院、县人民检察院主要负责人的目标责任书、述职报告的督办工作。</w:t>
            </w:r>
          </w:p>
        </w:tc>
        <w:tc>
          <w:tcPr>
            <w:tcW w:w="3259" w:type="dxa"/>
            <w:vAlign w:val="center"/>
          </w:tcPr>
          <w:p>
            <w:pPr>
              <w:spacing w:line="300" w:lineRule="exact"/>
              <w:ind w:firstLine="729" w:firstLineChars="304"/>
              <w:rPr>
                <w:rFonts w:ascii="方正书宋_GBK" w:eastAsia="方正书宋_GBK"/>
              </w:rPr>
            </w:pPr>
            <w:r>
              <w:rPr>
                <w:rFonts w:ascii="方正书宋_GBK" w:eastAsia="方正书宋_GBK"/>
              </w:rPr>
              <w:t>1</w:t>
            </w:r>
            <w:r>
              <w:rPr>
                <w:rFonts w:hint="eastAsia" w:ascii="方正书宋_GBK" w:eastAsia="方正书宋_GBK"/>
              </w:rPr>
              <w:t>、根据一府两院的工作需要和县委的建议，在充分酝酿和审议的基础上，选举产生一府两院的领导成员，确保选出能力突出、责任心强、有开拓精神的同志担任一府两院的领导同志。</w:t>
            </w:r>
            <w:r>
              <w:rPr>
                <w:rFonts w:ascii="方正书宋_GBK" w:eastAsia="方正书宋_GBK"/>
              </w:rPr>
              <w:t>2</w:t>
            </w:r>
            <w:r>
              <w:rPr>
                <w:rFonts w:hint="eastAsia" w:ascii="方正书宋_GBK" w:eastAsia="方正书宋_GBK"/>
              </w:rPr>
              <w:t>、为确保有关选举的法律法规符合实际，在充分考察调研的基础上，实施对其进行修改。</w:t>
            </w:r>
            <w:r>
              <w:rPr>
                <w:rFonts w:ascii="方正书宋_GBK" w:eastAsia="方正书宋_GBK"/>
              </w:rPr>
              <w:t>3</w:t>
            </w:r>
            <w:r>
              <w:rPr>
                <w:rFonts w:hint="eastAsia" w:ascii="方正书宋_GBK" w:eastAsia="方正书宋_GBK"/>
              </w:rPr>
              <w:t>、对县政府组成人员和县人民法院、县人民检察院主要负责人进行目标责任监督，确保依法履行职责，完成目标任务。</w:t>
            </w:r>
          </w:p>
        </w:tc>
        <w:tc>
          <w:tcPr>
            <w:tcW w:w="652" w:type="dxa"/>
            <w:vAlign w:val="center"/>
          </w:tcPr>
          <w:p>
            <w:pPr>
              <w:spacing w:line="300" w:lineRule="exact"/>
              <w:rPr>
                <w:rFonts w:ascii="仿宋" w:hAnsi="仿宋" w:eastAsia="仿宋"/>
              </w:rPr>
            </w:pPr>
            <w:r>
              <w:rPr>
                <w:rFonts w:hint="eastAsia" w:ascii="仿宋" w:hAnsi="仿宋" w:eastAsia="仿宋"/>
              </w:rPr>
              <w:t>换届选举工作完成率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换届选举及人事任免</w:t>
            </w:r>
          </w:p>
        </w:tc>
        <w:tc>
          <w:tcPr>
            <w:tcW w:w="851" w:type="dxa"/>
            <w:vAlign w:val="center"/>
          </w:tcPr>
          <w:p>
            <w:pPr>
              <w:spacing w:line="300" w:lineRule="exact"/>
              <w:ind w:firstLine="729" w:firstLineChars="304"/>
              <w:jc w:val="center"/>
              <w:rPr>
                <w:rFonts w:ascii="方正书宋_GBK" w:eastAsia="方正书宋_GBK"/>
              </w:rPr>
            </w:pPr>
            <w:r>
              <w:rPr>
                <w:rFonts w:hint="eastAsia" w:ascii="方正书宋_GBK" w:eastAsia="方正书宋_GBK"/>
              </w:rPr>
              <w:t>0</w:t>
            </w:r>
          </w:p>
        </w:tc>
        <w:tc>
          <w:tcPr>
            <w:tcW w:w="1701" w:type="dxa"/>
            <w:vAlign w:val="center"/>
          </w:tcPr>
          <w:p>
            <w:pPr>
              <w:spacing w:line="300" w:lineRule="exact"/>
              <w:ind w:firstLine="729" w:firstLineChars="304"/>
              <w:rPr>
                <w:rFonts w:ascii="方正书宋_GBK" w:eastAsia="方正书宋_GBK"/>
              </w:rPr>
            </w:pPr>
            <w:r>
              <w:rPr>
                <w:rFonts w:hint="eastAsia" w:ascii="方正书宋_GBK" w:eastAsia="方正书宋_GBK"/>
              </w:rPr>
              <w:t>承担县人大换届选举、县领导人的选举和常委会人事任免的服务工作；指导乡人大换届选举工作；负责对县政府组成人员和县人民法院、县人民检察院主要负责人的目标责任书、述职报告的督办工作。</w:t>
            </w:r>
          </w:p>
        </w:tc>
        <w:tc>
          <w:tcPr>
            <w:tcW w:w="3259" w:type="dxa"/>
            <w:vAlign w:val="center"/>
          </w:tcPr>
          <w:p>
            <w:pPr>
              <w:spacing w:line="300" w:lineRule="exact"/>
              <w:ind w:firstLine="729" w:firstLineChars="304"/>
              <w:rPr>
                <w:rFonts w:ascii="方正书宋_GBK" w:eastAsia="方正书宋_GBK"/>
              </w:rPr>
            </w:pPr>
            <w:r>
              <w:rPr>
                <w:rFonts w:hint="eastAsia" w:ascii="方正书宋_GBK" w:eastAsia="方正书宋_GBK"/>
              </w:rPr>
              <w:t>确保县乡人大换届选举工作顺利完成，提高组织换届选举工作水平；高质量完成机关领导人选举和常委会人事任免服务工作；高效督办有关部门负责人的目标责任书和述职报告。</w:t>
            </w:r>
          </w:p>
        </w:tc>
        <w:tc>
          <w:tcPr>
            <w:tcW w:w="652" w:type="dxa"/>
            <w:vAlign w:val="center"/>
          </w:tcPr>
          <w:p>
            <w:pPr>
              <w:spacing w:line="300" w:lineRule="exact"/>
              <w:rPr>
                <w:rFonts w:ascii="仿宋" w:hAnsi="仿宋" w:eastAsia="仿宋"/>
              </w:rPr>
            </w:pPr>
            <w:r>
              <w:rPr>
                <w:rFonts w:hint="eastAsia" w:ascii="仿宋" w:hAnsi="仿宋" w:eastAsia="仿宋"/>
              </w:rPr>
              <w:t>换届选举工作完成率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rPr>
                <w:rFonts w:ascii="方正书宋_GBK" w:eastAsia="方正书宋_GBK"/>
                <w:b/>
              </w:rPr>
            </w:pPr>
            <w:r>
              <w:rPr>
                <w:rFonts w:hint="eastAsia" w:ascii="方正书宋_GBK" w:eastAsia="方正书宋_GBK"/>
                <w:b/>
              </w:rPr>
              <w:t>人大事务管理</w:t>
            </w:r>
          </w:p>
        </w:tc>
        <w:tc>
          <w:tcPr>
            <w:tcW w:w="851" w:type="dxa"/>
            <w:vAlign w:val="center"/>
          </w:tcPr>
          <w:p>
            <w:pPr>
              <w:spacing w:line="300" w:lineRule="exact"/>
              <w:jc w:val="center"/>
              <w:rPr>
                <w:rFonts w:ascii="方正书宋_GBK" w:eastAsia="方正书宋_GBK"/>
              </w:rPr>
            </w:pPr>
            <w:r>
              <w:rPr>
                <w:rFonts w:hint="eastAsia" w:ascii="方正书宋_GBK" w:eastAsia="方正书宋_GBK"/>
              </w:rPr>
              <w:t>50</w:t>
            </w:r>
          </w:p>
        </w:tc>
        <w:tc>
          <w:tcPr>
            <w:tcW w:w="1701" w:type="dxa"/>
            <w:vAlign w:val="center"/>
          </w:tcPr>
          <w:p>
            <w:pPr>
              <w:spacing w:line="300" w:lineRule="exact"/>
              <w:ind w:firstLine="729" w:firstLineChars="304"/>
              <w:rPr>
                <w:rFonts w:ascii="方正书宋_GBK" w:eastAsia="方正书宋_GBK"/>
              </w:rPr>
            </w:pPr>
            <w:r>
              <w:rPr>
                <w:rFonts w:hint="eastAsia" w:ascii="方正书宋_GBK" w:eastAsia="方正书宋_GBK"/>
              </w:rPr>
              <w:t>新闻宣传和机关信息化建设与维护；人代会及常委会机关基础设施建设与维护；县人大常委会机关日常管理事务；信访工作。</w:t>
            </w:r>
          </w:p>
        </w:tc>
        <w:tc>
          <w:tcPr>
            <w:tcW w:w="3259" w:type="dxa"/>
            <w:vAlign w:val="center"/>
          </w:tcPr>
          <w:p>
            <w:pPr>
              <w:spacing w:line="300" w:lineRule="exact"/>
              <w:ind w:firstLine="729" w:firstLineChars="304"/>
              <w:rPr>
                <w:rFonts w:ascii="方正书宋_GBK" w:eastAsia="方正书宋_GBK"/>
              </w:rPr>
            </w:pPr>
            <w:r>
              <w:rPr>
                <w:rFonts w:hint="eastAsia" w:ascii="方正书宋_GBK" w:eastAsia="方正书宋_GBK"/>
              </w:rPr>
              <w:t>确保新闻宣传工作正常开展，信息系统运行正常，会议表决系统运转良好，机关基础设施运转良好，人大公报等正常出版，信访工作平稳。</w:t>
            </w:r>
          </w:p>
        </w:tc>
        <w:tc>
          <w:tcPr>
            <w:tcW w:w="652" w:type="dxa"/>
            <w:vAlign w:val="center"/>
          </w:tcPr>
          <w:p>
            <w:pPr>
              <w:spacing w:line="300" w:lineRule="exact"/>
              <w:rPr>
                <w:rFonts w:ascii="仿宋" w:hAnsi="仿宋" w:eastAsia="仿宋"/>
              </w:rPr>
            </w:pPr>
            <w:r>
              <w:rPr>
                <w:rFonts w:hint="eastAsia" w:ascii="仿宋" w:hAnsi="仿宋" w:eastAsia="仿宋"/>
              </w:rPr>
              <w:t>综合事务管理工作完成率</w:t>
            </w:r>
          </w:p>
        </w:tc>
        <w:tc>
          <w:tcPr>
            <w:tcW w:w="531" w:type="dxa"/>
            <w:vAlign w:val="center"/>
          </w:tcPr>
          <w:p>
            <w:pPr>
              <w:spacing w:line="300" w:lineRule="exact"/>
              <w:jc w:val="center"/>
              <w:rPr>
                <w:rFonts w:ascii="仿宋" w:hAnsi="仿宋" w:eastAsia="仿宋"/>
              </w:rPr>
            </w:pPr>
            <w:r>
              <w:rPr>
                <w:rFonts w:ascii="仿宋" w:hAnsi="仿宋" w:eastAsia="仿宋"/>
              </w:rPr>
              <w:t>100%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r>
    </w:tbl>
    <w:p>
      <w:pPr>
        <w:ind w:firstLine="640"/>
        <w:rPr>
          <w:rFonts w:asciiTheme="minorHAnsi" w:hAnsiTheme="minorHAnsi"/>
          <w:lang w:val="uk-UA"/>
        </w:r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1、工作经费   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1.有效提高预算编制及执行的准确性及保证政府施政目的的实现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培训次数</w:t>
            </w:r>
          </w:p>
        </w:tc>
        <w:tc>
          <w:tcPr>
            <w:tcW w:w="2835" w:type="dxa"/>
            <w:vAlign w:val="center"/>
          </w:tcPr>
          <w:p>
            <w:pPr>
              <w:pStyle w:val="16"/>
            </w:pPr>
            <w:r>
              <w:t>人员培训次数</w:t>
            </w:r>
          </w:p>
        </w:tc>
        <w:tc>
          <w:tcPr>
            <w:tcW w:w="2551" w:type="dxa"/>
            <w:vAlign w:val="center"/>
          </w:tcPr>
          <w:p>
            <w:pPr>
              <w:pStyle w:val="16"/>
            </w:pPr>
            <w:r>
              <w:t>1次</w:t>
            </w:r>
          </w:p>
        </w:tc>
        <w:tc>
          <w:tcPr>
            <w:tcW w:w="2268" w:type="dxa"/>
            <w:vAlign w:val="center"/>
          </w:tcPr>
          <w:p>
            <w:pPr>
              <w:pStyle w:val="16"/>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预算监督系统维护</w:t>
            </w:r>
          </w:p>
        </w:tc>
        <w:tc>
          <w:tcPr>
            <w:tcW w:w="2835" w:type="dxa"/>
            <w:vAlign w:val="center"/>
          </w:tcPr>
          <w:p>
            <w:pPr>
              <w:pStyle w:val="16"/>
            </w:pPr>
            <w:r>
              <w:t>预算监督系统维护次数</w:t>
            </w:r>
          </w:p>
        </w:tc>
        <w:tc>
          <w:tcPr>
            <w:tcW w:w="2551" w:type="dxa"/>
            <w:vAlign w:val="center"/>
          </w:tcPr>
          <w:p>
            <w:pPr>
              <w:pStyle w:val="16"/>
            </w:pPr>
            <w:r>
              <w:t>≥5次</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监督系统满足工作需求</w:t>
            </w:r>
          </w:p>
        </w:tc>
        <w:tc>
          <w:tcPr>
            <w:tcW w:w="2835" w:type="dxa"/>
            <w:vAlign w:val="center"/>
          </w:tcPr>
          <w:p>
            <w:pPr>
              <w:pStyle w:val="16"/>
            </w:pPr>
            <w:r>
              <w:t>监督系统满足工作需求</w:t>
            </w:r>
          </w:p>
        </w:tc>
        <w:tc>
          <w:tcPr>
            <w:tcW w:w="2551" w:type="dxa"/>
            <w:vAlign w:val="center"/>
          </w:tcPr>
          <w:p>
            <w:pPr>
              <w:pStyle w:val="16"/>
            </w:pPr>
            <w:r>
              <w:t>满足工作需求</w:t>
            </w:r>
          </w:p>
        </w:tc>
        <w:tc>
          <w:tcPr>
            <w:tcW w:w="2268" w:type="dxa"/>
            <w:vAlign w:val="center"/>
          </w:tcPr>
          <w:p>
            <w:pPr>
              <w:pStyle w:val="16"/>
            </w:pPr>
            <w:r>
              <w:t>监督方案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资金支付及时</w:t>
            </w:r>
          </w:p>
        </w:tc>
        <w:tc>
          <w:tcPr>
            <w:tcW w:w="2835" w:type="dxa"/>
            <w:vAlign w:val="center"/>
          </w:tcPr>
          <w:p>
            <w:pPr>
              <w:pStyle w:val="16"/>
            </w:pPr>
            <w:r>
              <w:t>资金到位后及时支付</w:t>
            </w:r>
          </w:p>
        </w:tc>
        <w:tc>
          <w:tcPr>
            <w:tcW w:w="2551" w:type="dxa"/>
            <w:vAlign w:val="center"/>
          </w:tcPr>
          <w:p>
            <w:pPr>
              <w:pStyle w:val="16"/>
            </w:pPr>
            <w:r>
              <w:t>≥100%</w:t>
            </w:r>
          </w:p>
        </w:tc>
        <w:tc>
          <w:tcPr>
            <w:tcW w:w="2268" w:type="dxa"/>
            <w:vAlign w:val="center"/>
          </w:tcPr>
          <w:p>
            <w:pPr>
              <w:pStyle w:val="16"/>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培训成本</w:t>
            </w:r>
          </w:p>
        </w:tc>
        <w:tc>
          <w:tcPr>
            <w:tcW w:w="2835" w:type="dxa"/>
            <w:vAlign w:val="center"/>
          </w:tcPr>
          <w:p>
            <w:pPr>
              <w:pStyle w:val="16"/>
            </w:pPr>
            <w:r>
              <w:t>每次培训成本</w:t>
            </w:r>
          </w:p>
        </w:tc>
        <w:tc>
          <w:tcPr>
            <w:tcW w:w="2551" w:type="dxa"/>
            <w:vAlign w:val="center"/>
          </w:tcPr>
          <w:p>
            <w:pPr>
              <w:pStyle w:val="16"/>
            </w:pPr>
            <w:r>
              <w:t>0.3万元</w:t>
            </w:r>
          </w:p>
        </w:tc>
        <w:tc>
          <w:tcPr>
            <w:tcW w:w="2268" w:type="dxa"/>
            <w:vAlign w:val="center"/>
          </w:tcPr>
          <w:p>
            <w:pPr>
              <w:pStyle w:val="16"/>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有效提高预算编制执行的准确性及保证政府施政目标的实现</w:t>
            </w:r>
          </w:p>
        </w:tc>
        <w:tc>
          <w:tcPr>
            <w:tcW w:w="2835" w:type="dxa"/>
            <w:vAlign w:val="center"/>
          </w:tcPr>
          <w:p>
            <w:pPr>
              <w:pStyle w:val="16"/>
            </w:pPr>
            <w:r>
              <w:t>有效提高预算编制执行的准确性及保证政府施政目标的实现</w:t>
            </w:r>
          </w:p>
        </w:tc>
        <w:tc>
          <w:tcPr>
            <w:tcW w:w="2551" w:type="dxa"/>
            <w:vAlign w:val="center"/>
          </w:tcPr>
          <w:p>
            <w:pPr>
              <w:pStyle w:val="16"/>
            </w:pPr>
            <w:r>
              <w:t>有效提高</w:t>
            </w:r>
          </w:p>
        </w:tc>
        <w:tc>
          <w:tcPr>
            <w:tcW w:w="2268" w:type="dxa"/>
            <w:vAlign w:val="center"/>
          </w:tcPr>
          <w:p>
            <w:pPr>
              <w:pStyle w:val="16"/>
            </w:pPr>
            <w:r>
              <w:t>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培训持续时间</w:t>
            </w:r>
          </w:p>
        </w:tc>
        <w:tc>
          <w:tcPr>
            <w:tcW w:w="2835" w:type="dxa"/>
            <w:vAlign w:val="center"/>
          </w:tcPr>
          <w:p>
            <w:pPr>
              <w:pStyle w:val="16"/>
            </w:pPr>
            <w:r>
              <w:t>培训持续时间</w:t>
            </w:r>
          </w:p>
        </w:tc>
        <w:tc>
          <w:tcPr>
            <w:tcW w:w="2551" w:type="dxa"/>
            <w:vAlign w:val="center"/>
          </w:tcPr>
          <w:p>
            <w:pPr>
              <w:pStyle w:val="16"/>
            </w:pPr>
            <w:r>
              <w:t>1年</w:t>
            </w:r>
          </w:p>
        </w:tc>
        <w:tc>
          <w:tcPr>
            <w:tcW w:w="2268" w:type="dxa"/>
            <w:vAlign w:val="center"/>
          </w:tcPr>
          <w:p>
            <w:pPr>
              <w:pStyle w:val="16"/>
            </w:pPr>
            <w:r>
              <w:t>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工作人员满意度</w:t>
            </w:r>
          </w:p>
        </w:tc>
        <w:tc>
          <w:tcPr>
            <w:tcW w:w="2835" w:type="dxa"/>
            <w:vAlign w:val="center"/>
          </w:tcPr>
          <w:p>
            <w:pPr>
              <w:pStyle w:val="16"/>
            </w:pPr>
            <w:r>
              <w:t>工作人员满意和较满意人数占总人数的比例</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2、会议费绩效目标表</w:t>
      </w:r>
    </w:p>
    <w:tbl>
      <w:tblPr>
        <w:tblStyle w:val="8"/>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1.组织召开十七届二次人代会一次、常委会至少6次及根据工作需求召开的其他会议。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参会人数</w:t>
            </w:r>
          </w:p>
        </w:tc>
        <w:tc>
          <w:tcPr>
            <w:tcW w:w="2835" w:type="dxa"/>
            <w:vAlign w:val="center"/>
          </w:tcPr>
          <w:p>
            <w:pPr>
              <w:pStyle w:val="16"/>
            </w:pPr>
            <w:r>
              <w:t>参会人数</w:t>
            </w:r>
          </w:p>
        </w:tc>
        <w:tc>
          <w:tcPr>
            <w:tcW w:w="2551" w:type="dxa"/>
            <w:vAlign w:val="center"/>
          </w:tcPr>
          <w:p>
            <w:pPr>
              <w:pStyle w:val="16"/>
            </w:pPr>
            <w:r>
              <w:t>≥360人</w:t>
            </w:r>
          </w:p>
        </w:tc>
        <w:tc>
          <w:tcPr>
            <w:tcW w:w="2268" w:type="dxa"/>
            <w:vAlign w:val="center"/>
          </w:tcPr>
          <w:p>
            <w:pPr>
              <w:pStyle w:val="16"/>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会议召开次数</w:t>
            </w:r>
          </w:p>
        </w:tc>
        <w:tc>
          <w:tcPr>
            <w:tcW w:w="2835" w:type="dxa"/>
            <w:vAlign w:val="center"/>
          </w:tcPr>
          <w:p>
            <w:pPr>
              <w:pStyle w:val="16"/>
            </w:pPr>
            <w:r>
              <w:t>十七届二次人代会及常委会6次等</w:t>
            </w:r>
          </w:p>
        </w:tc>
        <w:tc>
          <w:tcPr>
            <w:tcW w:w="2551" w:type="dxa"/>
            <w:vAlign w:val="center"/>
          </w:tcPr>
          <w:p>
            <w:pPr>
              <w:pStyle w:val="16"/>
            </w:pPr>
            <w:r>
              <w:t>≥6次</w:t>
            </w:r>
          </w:p>
        </w:tc>
        <w:tc>
          <w:tcPr>
            <w:tcW w:w="2268" w:type="dxa"/>
            <w:vAlign w:val="center"/>
          </w:tcPr>
          <w:p>
            <w:pPr>
              <w:pStyle w:val="16"/>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会议议程完成率</w:t>
            </w:r>
          </w:p>
        </w:tc>
        <w:tc>
          <w:tcPr>
            <w:tcW w:w="2835" w:type="dxa"/>
            <w:vAlign w:val="center"/>
          </w:tcPr>
          <w:p>
            <w:pPr>
              <w:pStyle w:val="16"/>
            </w:pPr>
            <w:r>
              <w:t>会议议程完成率</w:t>
            </w:r>
          </w:p>
        </w:tc>
        <w:tc>
          <w:tcPr>
            <w:tcW w:w="2551" w:type="dxa"/>
            <w:vAlign w:val="center"/>
          </w:tcPr>
          <w:p>
            <w:pPr>
              <w:pStyle w:val="16"/>
            </w:pPr>
            <w:r>
              <w:t>≥98%</w:t>
            </w:r>
          </w:p>
        </w:tc>
        <w:tc>
          <w:tcPr>
            <w:tcW w:w="2268" w:type="dxa"/>
            <w:vAlign w:val="center"/>
          </w:tcPr>
          <w:p>
            <w:pPr>
              <w:pStyle w:val="16"/>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会议完成及时率</w:t>
            </w:r>
          </w:p>
        </w:tc>
        <w:tc>
          <w:tcPr>
            <w:tcW w:w="2835" w:type="dxa"/>
            <w:vAlign w:val="center"/>
          </w:tcPr>
          <w:p>
            <w:pPr>
              <w:pStyle w:val="16"/>
            </w:pPr>
            <w:r>
              <w:t>会议完成及时率</w:t>
            </w:r>
          </w:p>
        </w:tc>
        <w:tc>
          <w:tcPr>
            <w:tcW w:w="2551" w:type="dxa"/>
            <w:vAlign w:val="center"/>
          </w:tcPr>
          <w:p>
            <w:pPr>
              <w:pStyle w:val="16"/>
            </w:pPr>
            <w:r>
              <w:t>≥98%</w:t>
            </w:r>
          </w:p>
        </w:tc>
        <w:tc>
          <w:tcPr>
            <w:tcW w:w="2268" w:type="dxa"/>
            <w:vAlign w:val="center"/>
          </w:tcPr>
          <w:p>
            <w:pPr>
              <w:pStyle w:val="16"/>
            </w:pPr>
            <w:r>
              <w:t>会议议程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人均参会成本</w:t>
            </w:r>
          </w:p>
        </w:tc>
        <w:tc>
          <w:tcPr>
            <w:tcW w:w="2835" w:type="dxa"/>
            <w:vAlign w:val="center"/>
          </w:tcPr>
          <w:p>
            <w:pPr>
              <w:pStyle w:val="16"/>
            </w:pPr>
            <w:r>
              <w:t>人均参会成本</w:t>
            </w:r>
          </w:p>
        </w:tc>
        <w:tc>
          <w:tcPr>
            <w:tcW w:w="2551" w:type="dxa"/>
            <w:vAlign w:val="center"/>
          </w:tcPr>
          <w:p>
            <w:pPr>
              <w:pStyle w:val="16"/>
            </w:pPr>
            <w:r>
              <w:t>≤333元</w:t>
            </w:r>
          </w:p>
        </w:tc>
        <w:tc>
          <w:tcPr>
            <w:tcW w:w="2268" w:type="dxa"/>
            <w:vAlign w:val="center"/>
          </w:tcPr>
          <w:p>
            <w:pPr>
              <w:pStyle w:val="16"/>
            </w:pPr>
            <w:r>
              <w:t>定点会议地点协议价格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人大职能作用发挥</w:t>
            </w:r>
          </w:p>
        </w:tc>
        <w:tc>
          <w:tcPr>
            <w:tcW w:w="2835" w:type="dxa"/>
            <w:vAlign w:val="center"/>
          </w:tcPr>
          <w:p>
            <w:pPr>
              <w:pStyle w:val="16"/>
            </w:pPr>
            <w:r>
              <w:t>形成代表批评意见和建议68件</w:t>
            </w:r>
          </w:p>
        </w:tc>
        <w:tc>
          <w:tcPr>
            <w:tcW w:w="2551" w:type="dxa"/>
            <w:vAlign w:val="center"/>
          </w:tcPr>
          <w:p>
            <w:pPr>
              <w:pStyle w:val="16"/>
            </w:pPr>
            <w:r>
              <w:t>≥68件</w:t>
            </w:r>
          </w:p>
        </w:tc>
        <w:tc>
          <w:tcPr>
            <w:tcW w:w="2268" w:type="dxa"/>
            <w:vAlign w:val="center"/>
          </w:tcPr>
          <w:p>
            <w:pPr>
              <w:pStyle w:val="16"/>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加强人大监督</w:t>
            </w:r>
          </w:p>
        </w:tc>
        <w:tc>
          <w:tcPr>
            <w:tcW w:w="2835" w:type="dxa"/>
            <w:vAlign w:val="center"/>
          </w:tcPr>
          <w:p>
            <w:pPr>
              <w:pStyle w:val="16"/>
            </w:pPr>
            <w:r>
              <w:t>加强人大监督，促进环境进一步改善</w:t>
            </w:r>
          </w:p>
        </w:tc>
        <w:tc>
          <w:tcPr>
            <w:tcW w:w="2551" w:type="dxa"/>
            <w:vAlign w:val="center"/>
          </w:tcPr>
          <w:p>
            <w:pPr>
              <w:pStyle w:val="16"/>
            </w:pPr>
            <w:r>
              <w:t>加强监督</w:t>
            </w:r>
          </w:p>
        </w:tc>
        <w:tc>
          <w:tcPr>
            <w:tcW w:w="2268" w:type="dxa"/>
            <w:vAlign w:val="center"/>
          </w:tcPr>
          <w:p>
            <w:pPr>
              <w:pStyle w:val="16"/>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参会人员满意度</w:t>
            </w:r>
          </w:p>
        </w:tc>
        <w:tc>
          <w:tcPr>
            <w:tcW w:w="2835" w:type="dxa"/>
            <w:vAlign w:val="center"/>
          </w:tcPr>
          <w:p>
            <w:pPr>
              <w:pStyle w:val="16"/>
            </w:pPr>
            <w:r>
              <w:t>参会人员满意和较满意人数占总人数的比例</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2022年，成安县人民代表</w:t>
      </w:r>
    </w:p>
    <w:p>
      <w:pPr>
        <w:spacing w:line="500" w:lineRule="exact"/>
        <w:ind w:firstLine="560"/>
      </w:pPr>
      <w:r>
        <w:rPr>
          <w:rFonts w:eastAsia="方正仿宋_GBK"/>
          <w:color w:val="000000"/>
          <w:sz w:val="28"/>
        </w:rPr>
        <w:t>大会常务委员会安排政府采购预算0.00万元。具体内容见下表。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101成安县人民代表大会常务委员会</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成安县人民代表大会常务委员会（含所属单位）上年末固定资产金额为39.39万元（详见下表）。本年度拟购置固定资产总额为0.00万元，已按要求列入政府采购预算，详见政府采购预算表。</w:t>
      </w:r>
    </w:p>
    <w:tbl>
      <w:tblPr>
        <w:tblStyle w:val="8"/>
        <w:tblW w:w="9060" w:type="dxa"/>
        <w:tblInd w:w="-106" w:type="dxa"/>
        <w:tblLayout w:type="fixed"/>
        <w:tblCellMar>
          <w:top w:w="0" w:type="dxa"/>
          <w:left w:w="108" w:type="dxa"/>
          <w:bottom w:w="0" w:type="dxa"/>
          <w:right w:w="108" w:type="dxa"/>
        </w:tblCellMar>
      </w:tblPr>
      <w:tblGrid>
        <w:gridCol w:w="4139"/>
        <w:gridCol w:w="855"/>
        <w:gridCol w:w="4066"/>
      </w:tblGrid>
      <w:tr>
        <w:tblPrEx>
          <w:tblCellMar>
            <w:top w:w="0" w:type="dxa"/>
            <w:left w:w="108" w:type="dxa"/>
            <w:bottom w:w="0" w:type="dxa"/>
            <w:right w:w="108" w:type="dxa"/>
          </w:tblCellMar>
        </w:tblPrEx>
        <w:trPr>
          <w:trHeight w:val="705" w:hRule="atLeast"/>
        </w:trPr>
        <w:tc>
          <w:tcPr>
            <w:tcW w:w="9060" w:type="dxa"/>
            <w:gridSpan w:val="3"/>
            <w:tcBorders>
              <w:top w:val="nil"/>
              <w:left w:val="nil"/>
              <w:bottom w:val="nil"/>
              <w:right w:val="nil"/>
            </w:tcBorders>
            <w:vAlign w:val="center"/>
          </w:tcPr>
          <w:p>
            <w:pPr>
              <w:jc w:val="center"/>
              <w:rPr>
                <w:rFonts w:ascii="宋体" w:hAnsi="宋体" w:eastAsia="宋体"/>
                <w:b/>
                <w:bCs/>
                <w:sz w:val="32"/>
                <w:szCs w:val="32"/>
              </w:rPr>
            </w:pPr>
            <w:r>
              <w:rPr>
                <w:rFonts w:hint="eastAsia" w:ascii="宋体" w:hAnsi="宋体" w:eastAsia="宋体" w:cs="宋体"/>
                <w:b/>
                <w:bCs/>
                <w:sz w:val="32"/>
                <w:szCs w:val="32"/>
              </w:rPr>
              <w:t>部门固定资产占用情况表</w:t>
            </w:r>
          </w:p>
        </w:tc>
      </w:tr>
      <w:tr>
        <w:tblPrEx>
          <w:tblCellMar>
            <w:top w:w="0" w:type="dxa"/>
            <w:left w:w="108" w:type="dxa"/>
            <w:bottom w:w="0" w:type="dxa"/>
            <w:right w:w="108" w:type="dxa"/>
          </w:tblCellMar>
        </w:tblPrEx>
        <w:trPr>
          <w:trHeight w:val="510" w:hRule="atLeast"/>
        </w:trPr>
        <w:tc>
          <w:tcPr>
            <w:tcW w:w="4994" w:type="dxa"/>
            <w:gridSpan w:val="2"/>
            <w:tcBorders>
              <w:top w:val="nil"/>
              <w:left w:val="nil"/>
              <w:bottom w:val="nil"/>
              <w:right w:val="nil"/>
            </w:tcBorders>
            <w:vAlign w:val="center"/>
          </w:tcPr>
          <w:p>
            <w:pPr>
              <w:rPr>
                <w:rFonts w:ascii="宋体" w:hAnsi="宋体" w:eastAsia="宋体" w:cs="宋体"/>
                <w:sz w:val="22"/>
                <w:szCs w:val="22"/>
              </w:rPr>
            </w:pPr>
            <w:r>
              <w:rPr>
                <w:rFonts w:hint="eastAsia" w:ascii="宋体" w:hAnsi="宋体" w:eastAsia="宋体" w:cs="宋体"/>
                <w:sz w:val="22"/>
                <w:szCs w:val="22"/>
              </w:rPr>
              <w:t>编制部门：101成安县人民代表大会</w:t>
            </w:r>
          </w:p>
          <w:p>
            <w:pPr>
              <w:rPr>
                <w:rFonts w:ascii="宋体" w:hAnsi="宋体" w:eastAsia="宋体"/>
                <w:sz w:val="22"/>
              </w:rPr>
            </w:pPr>
            <w:r>
              <w:rPr>
                <w:rFonts w:hint="eastAsia" w:ascii="宋体" w:hAnsi="宋体" w:eastAsia="宋体" w:cs="宋体"/>
                <w:sz w:val="22"/>
                <w:szCs w:val="22"/>
              </w:rPr>
              <w:t>常务委员会办公室</w:t>
            </w:r>
          </w:p>
        </w:tc>
        <w:tc>
          <w:tcPr>
            <w:tcW w:w="4066" w:type="dxa"/>
            <w:tcBorders>
              <w:top w:val="nil"/>
              <w:left w:val="nil"/>
              <w:bottom w:val="nil"/>
              <w:right w:val="nil"/>
            </w:tcBorders>
            <w:vAlign w:val="center"/>
          </w:tcPr>
          <w:p>
            <w:pPr>
              <w:ind w:firstLine="550" w:firstLineChars="250"/>
              <w:rPr>
                <w:rFonts w:ascii="宋体" w:hAnsi="宋体" w:eastAsia="宋体" w:cs="宋体"/>
                <w:sz w:val="22"/>
              </w:rPr>
            </w:pPr>
            <w:r>
              <w:rPr>
                <w:rFonts w:hint="eastAsia" w:ascii="宋体" w:hAnsi="宋体" w:eastAsia="宋体" w:cs="宋体"/>
                <w:sz w:val="22"/>
                <w:szCs w:val="22"/>
              </w:rPr>
              <w:t>截止时间：202</w:t>
            </w:r>
            <w:r>
              <w:rPr>
                <w:rFonts w:ascii="宋体" w:hAnsi="宋体" w:eastAsia="宋体" w:cs="宋体"/>
                <w:sz w:val="22"/>
                <w:szCs w:val="22"/>
              </w:rPr>
              <w:t>1</w:t>
            </w:r>
            <w:r>
              <w:rPr>
                <w:rFonts w:hint="eastAsia" w:ascii="宋体" w:hAnsi="宋体" w:eastAsia="宋体" w:cs="宋体"/>
                <w:sz w:val="22"/>
                <w:szCs w:val="22"/>
              </w:rPr>
              <w:t>年</w:t>
            </w:r>
            <w:r>
              <w:rPr>
                <w:rFonts w:ascii="宋体" w:hAnsi="宋体" w:eastAsia="宋体" w:cs="宋体"/>
                <w:sz w:val="22"/>
                <w:szCs w:val="22"/>
              </w:rPr>
              <w:t>12</w:t>
            </w:r>
            <w:r>
              <w:rPr>
                <w:rFonts w:hint="eastAsia" w:ascii="宋体" w:hAnsi="宋体" w:eastAsia="宋体" w:cs="宋体"/>
                <w:sz w:val="22"/>
                <w:szCs w:val="22"/>
              </w:rPr>
              <w:t>月</w:t>
            </w:r>
            <w:r>
              <w:rPr>
                <w:rFonts w:ascii="宋体" w:hAnsi="宋体" w:eastAsia="宋体" w:cs="宋体"/>
                <w:sz w:val="22"/>
                <w:szCs w:val="22"/>
              </w:rPr>
              <w:t>31</w:t>
            </w:r>
            <w:r>
              <w:rPr>
                <w:rFonts w:hint="eastAsia" w:ascii="宋体" w:hAnsi="宋体" w:eastAsia="宋体" w:cs="宋体"/>
                <w:sz w:val="22"/>
                <w:szCs w:val="22"/>
              </w:rPr>
              <w:t>日</w:t>
            </w:r>
          </w:p>
        </w:tc>
      </w:tr>
      <w:tr>
        <w:tblPrEx>
          <w:tblCellMar>
            <w:top w:w="0" w:type="dxa"/>
            <w:left w:w="108" w:type="dxa"/>
            <w:bottom w:w="0" w:type="dxa"/>
            <w:right w:w="108" w:type="dxa"/>
          </w:tblCellMar>
        </w:tblPrEx>
        <w:trPr>
          <w:trHeight w:val="645" w:hRule="atLeast"/>
        </w:trPr>
        <w:tc>
          <w:tcPr>
            <w:tcW w:w="4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szCs w:val="22"/>
              </w:rPr>
              <w:t>项目</w:t>
            </w:r>
          </w:p>
        </w:tc>
        <w:tc>
          <w:tcPr>
            <w:tcW w:w="855"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szCs w:val="22"/>
              </w:rPr>
              <w:t>数量</w:t>
            </w:r>
          </w:p>
        </w:tc>
        <w:tc>
          <w:tcPr>
            <w:tcW w:w="4066" w:type="dxa"/>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szCs w:val="22"/>
              </w:rPr>
              <w:t>价值（金额单位：万元）</w:t>
            </w:r>
          </w:p>
        </w:tc>
      </w:tr>
      <w:tr>
        <w:tblPrEx>
          <w:tblCellMar>
            <w:top w:w="0" w:type="dxa"/>
            <w:left w:w="108" w:type="dxa"/>
            <w:bottom w:w="0" w:type="dxa"/>
            <w:right w:w="108" w:type="dxa"/>
          </w:tblCellMar>
        </w:tblPrEx>
        <w:trPr>
          <w:trHeight w:val="723" w:hRule="atLeast"/>
        </w:trPr>
        <w:tc>
          <w:tcPr>
            <w:tcW w:w="4139" w:type="dxa"/>
            <w:tcBorders>
              <w:top w:val="nil"/>
              <w:left w:val="single" w:color="auto" w:sz="4" w:space="0"/>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cs="宋体"/>
                <w:sz w:val="22"/>
                <w:szCs w:val="22"/>
              </w:rPr>
              <w:t>资产总额</w:t>
            </w:r>
          </w:p>
        </w:tc>
        <w:tc>
          <w:tcPr>
            <w:tcW w:w="855" w:type="dxa"/>
            <w:tcBorders>
              <w:top w:val="nil"/>
              <w:left w:val="nil"/>
              <w:bottom w:val="single" w:color="auto" w:sz="4" w:space="0"/>
              <w:right w:val="single" w:color="auto" w:sz="4" w:space="0"/>
            </w:tcBorders>
            <w:vAlign w:val="center"/>
          </w:tcPr>
          <w:p>
            <w:pPr>
              <w:jc w:val="center"/>
              <w:rPr>
                <w:rFonts w:ascii="宋体" w:hAnsi="宋体" w:eastAsia="宋体" w:cs="宋体"/>
                <w:sz w:val="22"/>
              </w:rPr>
            </w:pPr>
            <w:r>
              <w:rPr>
                <w:rFonts w:ascii="宋体" w:hAnsi="宋体" w:eastAsia="宋体" w:cs="宋体"/>
                <w:sz w:val="22"/>
                <w:szCs w:val="22"/>
              </w:rPr>
              <w:t>——</w:t>
            </w:r>
          </w:p>
        </w:tc>
        <w:tc>
          <w:tcPr>
            <w:tcW w:w="4066" w:type="dxa"/>
            <w:tcBorders>
              <w:top w:val="nil"/>
              <w:left w:val="nil"/>
              <w:bottom w:val="single" w:color="auto" w:sz="4" w:space="0"/>
              <w:right w:val="single" w:color="auto" w:sz="4" w:space="0"/>
            </w:tcBorders>
            <w:vAlign w:val="center"/>
          </w:tcPr>
          <w:p>
            <w:pPr>
              <w:jc w:val="center"/>
              <w:rPr>
                <w:rFonts w:ascii="宋体" w:hAnsi="宋体" w:eastAsia="宋体" w:cs="宋体"/>
                <w:sz w:val="22"/>
              </w:rPr>
            </w:pPr>
            <w:r>
              <w:rPr>
                <w:rFonts w:ascii="宋体" w:hAnsi="宋体" w:eastAsia="宋体" w:cs="宋体"/>
                <w:sz w:val="22"/>
              </w:rPr>
              <w:t>39.39</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1</w:t>
            </w:r>
            <w:r>
              <w:rPr>
                <w:rFonts w:hint="eastAsia" w:ascii="宋体" w:hAnsi="宋体" w:eastAsia="宋体" w:cs="宋体"/>
                <w:sz w:val="22"/>
                <w:szCs w:val="22"/>
              </w:rPr>
              <w:t>、房屋（平方米）</w:t>
            </w:r>
          </w:p>
        </w:tc>
        <w:tc>
          <w:tcPr>
            <w:tcW w:w="855"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600</w:t>
            </w:r>
          </w:p>
        </w:tc>
        <w:tc>
          <w:tcPr>
            <w:tcW w:w="4066" w:type="dxa"/>
            <w:tcBorders>
              <w:top w:val="nil"/>
              <w:left w:val="nil"/>
              <w:bottom w:val="single" w:color="auto" w:sz="4" w:space="0"/>
              <w:right w:val="single" w:color="auto" w:sz="4" w:space="0"/>
            </w:tcBorders>
            <w:vAlign w:val="center"/>
          </w:tcPr>
          <w:p>
            <w:pPr>
              <w:jc w:val="center"/>
              <w:rPr>
                <w:rFonts w:ascii="宋体" w:hAnsi="宋体" w:eastAsia="宋体"/>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hint="eastAsia" w:ascii="宋体" w:hAnsi="宋体" w:eastAsia="宋体" w:cs="宋体"/>
                <w:sz w:val="22"/>
                <w:szCs w:val="22"/>
              </w:rPr>
              <w:t>其中：办公用房（平方米）</w:t>
            </w:r>
          </w:p>
        </w:tc>
        <w:tc>
          <w:tcPr>
            <w:tcW w:w="855"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600</w:t>
            </w:r>
          </w:p>
        </w:tc>
        <w:tc>
          <w:tcPr>
            <w:tcW w:w="4066"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在政府集中办公</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2</w:t>
            </w:r>
            <w:r>
              <w:rPr>
                <w:rFonts w:hint="eastAsia" w:ascii="宋体" w:hAnsi="宋体" w:eastAsia="宋体" w:cs="宋体"/>
                <w:sz w:val="22"/>
                <w:szCs w:val="22"/>
              </w:rPr>
              <w:t>、车辆（台、辆）</w:t>
            </w:r>
          </w:p>
        </w:tc>
        <w:tc>
          <w:tcPr>
            <w:tcW w:w="855"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4</w:t>
            </w:r>
          </w:p>
        </w:tc>
        <w:tc>
          <w:tcPr>
            <w:tcW w:w="4066"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0</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3</w:t>
            </w:r>
            <w:r>
              <w:rPr>
                <w:rFonts w:hint="eastAsia" w:ascii="宋体" w:hAnsi="宋体" w:eastAsia="宋体" w:cs="宋体"/>
                <w:sz w:val="22"/>
                <w:szCs w:val="22"/>
              </w:rPr>
              <w:t>、单价在</w:t>
            </w:r>
            <w:r>
              <w:rPr>
                <w:rFonts w:ascii="宋体" w:hAnsi="宋体" w:eastAsia="宋体" w:cs="宋体"/>
                <w:sz w:val="22"/>
                <w:szCs w:val="22"/>
              </w:rPr>
              <w:t>50</w:t>
            </w:r>
            <w:r>
              <w:rPr>
                <w:rFonts w:hint="eastAsia" w:ascii="宋体" w:hAnsi="宋体" w:eastAsia="宋体" w:cs="宋体"/>
                <w:sz w:val="22"/>
                <w:szCs w:val="22"/>
              </w:rPr>
              <w:t>万元以上的设备</w:t>
            </w:r>
          </w:p>
        </w:tc>
        <w:tc>
          <w:tcPr>
            <w:tcW w:w="855" w:type="dxa"/>
            <w:tcBorders>
              <w:top w:val="nil"/>
              <w:left w:val="nil"/>
              <w:bottom w:val="single" w:color="auto" w:sz="4" w:space="0"/>
              <w:right w:val="single" w:color="auto" w:sz="4" w:space="0"/>
            </w:tcBorders>
            <w:vAlign w:val="center"/>
          </w:tcPr>
          <w:p>
            <w:pPr>
              <w:jc w:val="center"/>
              <w:rPr>
                <w:rFonts w:ascii="宋体" w:hAnsi="宋体" w:eastAsia="宋体"/>
                <w:sz w:val="22"/>
              </w:rPr>
            </w:pPr>
          </w:p>
        </w:tc>
        <w:tc>
          <w:tcPr>
            <w:tcW w:w="4066"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0</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4</w:t>
            </w:r>
            <w:r>
              <w:rPr>
                <w:rFonts w:hint="eastAsia" w:ascii="宋体" w:hAnsi="宋体" w:eastAsia="宋体" w:cs="宋体"/>
                <w:sz w:val="22"/>
                <w:szCs w:val="22"/>
              </w:rPr>
              <w:t>、其他固定资产</w:t>
            </w:r>
          </w:p>
        </w:tc>
        <w:tc>
          <w:tcPr>
            <w:tcW w:w="855"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83</w:t>
            </w:r>
          </w:p>
        </w:tc>
        <w:tc>
          <w:tcPr>
            <w:tcW w:w="4066"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ascii="宋体" w:hAnsi="宋体" w:eastAsia="宋体" w:cs="宋体"/>
                <w:sz w:val="22"/>
              </w:rPr>
              <w:t>39.39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941D6"/>
    <w:multiLevelType w:val="singleLevel"/>
    <w:tmpl w:val="820941D6"/>
    <w:lvl w:ilvl="0" w:tentative="0">
      <w:start w:val="1"/>
      <w:numFmt w:val="decimal"/>
      <w:suff w:val="nothing"/>
      <w:lvlText w:val="%1、"/>
      <w:lvlJc w:val="left"/>
      <w:pPr>
        <w:ind w:left="0" w:firstLine="0"/>
      </w:pPr>
    </w:lvl>
  </w:abstractNum>
  <w:abstractNum w:abstractNumId="1">
    <w:nsid w:val="AF32FEC8"/>
    <w:multiLevelType w:val="singleLevel"/>
    <w:tmpl w:val="AF32FEC8"/>
    <w:lvl w:ilvl="0" w:tentative="0">
      <w:start w:val="1"/>
      <w:numFmt w:val="decimal"/>
      <w:suff w:val="nothing"/>
      <w:lvlText w:val="%1、"/>
      <w:lvlJc w:val="left"/>
      <w:pPr>
        <w:ind w:left="0" w:firstLine="0"/>
      </w:pPr>
    </w:lvl>
  </w:abstractNum>
  <w:abstractNum w:abstractNumId="2">
    <w:nsid w:val="E8A75D36"/>
    <w:multiLevelType w:val="singleLevel"/>
    <w:tmpl w:val="E8A75D36"/>
    <w:lvl w:ilvl="0" w:tentative="0">
      <w:start w:val="1"/>
      <w:numFmt w:val="decimal"/>
      <w:suff w:val="nothing"/>
      <w:lvlText w:val="%1、"/>
      <w:lvlJc w:val="left"/>
      <w:pPr>
        <w:ind w:left="0" w:firstLine="0"/>
      </w:pPr>
    </w:lvl>
  </w:abstractNum>
  <w:abstractNum w:abstractNumId="3">
    <w:nsid w:val="1468C8DD"/>
    <w:multiLevelType w:val="singleLevel"/>
    <w:tmpl w:val="1468C8DD"/>
    <w:lvl w:ilvl="0" w:tentative="0">
      <w:start w:val="1"/>
      <w:numFmt w:val="decimal"/>
      <w:suff w:val="nothing"/>
      <w:lvlText w:val="%1、"/>
      <w:lvlJc w:val="left"/>
      <w:pPr>
        <w:ind w:left="0" w:firstLine="0"/>
      </w:pPr>
    </w:lvl>
  </w:abstractNum>
  <w:abstractNum w:abstractNumId="4">
    <w:nsid w:val="15A9DBAF"/>
    <w:multiLevelType w:val="singleLevel"/>
    <w:tmpl w:val="15A9DBAF"/>
    <w:lvl w:ilvl="0" w:tentative="0">
      <w:start w:val="1"/>
      <w:numFmt w:val="decimal"/>
      <w:suff w:val="nothing"/>
      <w:lvlText w:val="%1、"/>
      <w:lvlJc w:val="left"/>
      <w:pPr>
        <w:ind w:left="0" w:firstLine="0"/>
      </w:pPr>
    </w:lvl>
  </w:abstractNum>
  <w:num w:numId="1">
    <w:abstractNumId w:val="3"/>
    <w:lvlOverride w:ilvl="0">
      <w:startOverride w:val="1"/>
    </w:lvlOverride>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673264"/>
    <w:rsid w:val="00092437"/>
    <w:rsid w:val="00231CB2"/>
    <w:rsid w:val="00263E5E"/>
    <w:rsid w:val="004C7AFB"/>
    <w:rsid w:val="005C5274"/>
    <w:rsid w:val="00673264"/>
    <w:rsid w:val="006D04C9"/>
    <w:rsid w:val="00816F7F"/>
    <w:rsid w:val="00882312"/>
    <w:rsid w:val="00A72C5D"/>
    <w:rsid w:val="00E44321"/>
    <w:rsid w:val="00E475D2"/>
    <w:rsid w:val="00FC4635"/>
    <w:rsid w:val="1D381D28"/>
    <w:rsid w:val="1D3D14FA"/>
    <w:rsid w:val="23B05D04"/>
    <w:rsid w:val="266B33CF"/>
    <w:rsid w:val="27147835"/>
    <w:rsid w:val="3A0D7D90"/>
    <w:rsid w:val="3EEF46A3"/>
    <w:rsid w:val="417F0214"/>
    <w:rsid w:val="5CFF6052"/>
    <w:rsid w:val="613876CD"/>
    <w:rsid w:val="672C7CD4"/>
    <w:rsid w:val="6D7D6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autoRedefine/>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2022-03-18T10:59:23Z</dcterms:created>
  <dcterms:modified xsi:type="dcterms:W3CDTF">2022-03-18T02:59:23Z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2022-03-18T10:59:28Z</dcterms:created>
  <dcterms:modified xsi:type="dcterms:W3CDTF">2022-03-18T02:59:28Z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2022-03-18T10:59:29Z</dcterms:created>
  <dcterms:modified xsi:type="dcterms:W3CDTF">2022-03-18T02:59:29Z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2022-03-18T10:59:28Z</dcterms:created>
  <dcterms:modified xsi:type="dcterms:W3CDTF">2022-03-18T02:59:28Z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2022-03-18T10:59:28Z</dcterms:created>
  <dcterms:modified xsi:type="dcterms:W3CDTF">2022-03-18T02:59:28Z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2022-03-18T10:59:23Z</dcterms:created>
  <dcterms:modified xsi:type="dcterms:W3CDTF">2022-03-18T02:59:23Z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2022-03-18T10:59:23Z</dcterms:created>
  <dcterms:modified xsi:type="dcterms:W3CDTF">2022-03-18T02:59:23Z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2022-03-18T10:59:22Z</dcterms:created>
  <dcterms:modified xsi:type="dcterms:W3CDTF">2022-03-18T02:59:22Z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2022-03-18T10:59:24Z</dcterms:created>
  <dcterms:modified xsi:type="dcterms:W3CDTF">2022-03-18T02:59:24Z</dcterms:modified>
</cp:coreProperties>
</file>

<file path=customXml/itemProps1.xml><?xml version="1.0" encoding="utf-8"?>
<ds:datastoreItem xmlns:ds="http://schemas.openxmlformats.org/officeDocument/2006/customXml" ds:itemID="{DEFA00D0-F08F-4176-9069-C5F40F9B0CC3}">
  <ds:schemaRefs/>
</ds:datastoreItem>
</file>

<file path=customXml/itemProps10.xml><?xml version="1.0" encoding="utf-8"?>
<ds:datastoreItem xmlns:ds="http://schemas.openxmlformats.org/officeDocument/2006/customXml" ds:itemID="{B6050B07-E7BE-4042-9366-757A2289E169}">
  <ds:schemaRefs/>
</ds:datastoreItem>
</file>

<file path=customXml/itemProps11.xml><?xml version="1.0" encoding="utf-8"?>
<ds:datastoreItem xmlns:ds="http://schemas.openxmlformats.org/officeDocument/2006/customXml" ds:itemID="{5AB00DBA-8A6C-4127-A07B-A7D7BD8CE0A0}">
  <ds:schemaRefs/>
</ds:datastoreItem>
</file>

<file path=customXml/itemProps12.xml><?xml version="1.0" encoding="utf-8"?>
<ds:datastoreItem xmlns:ds="http://schemas.openxmlformats.org/officeDocument/2006/customXml" ds:itemID="{F71E31B7-CC9D-44DC-8415-CFB314D560BF}">
  <ds:schemaRefs/>
</ds:datastoreItem>
</file>

<file path=customXml/itemProps13.xml><?xml version="1.0" encoding="utf-8"?>
<ds:datastoreItem xmlns:ds="http://schemas.openxmlformats.org/officeDocument/2006/customXml" ds:itemID="{C1581332-48EA-4A35-985E-B815597F48C5}">
  <ds:schemaRefs/>
</ds:datastoreItem>
</file>

<file path=customXml/itemProps14.xml><?xml version="1.0" encoding="utf-8"?>
<ds:datastoreItem xmlns:ds="http://schemas.openxmlformats.org/officeDocument/2006/customXml" ds:itemID="{5A6A9AD1-6783-4BD8-A4CE-68B6CFDB14B5}">
  <ds:schemaRefs/>
</ds:datastoreItem>
</file>

<file path=customXml/itemProps15.xml><?xml version="1.0" encoding="utf-8"?>
<ds:datastoreItem xmlns:ds="http://schemas.openxmlformats.org/officeDocument/2006/customXml" ds:itemID="{1DD34D36-0C2D-4868-92F7-D31FA14C9373}">
  <ds:schemaRefs/>
</ds:datastoreItem>
</file>

<file path=customXml/itemProps16.xml><?xml version="1.0" encoding="utf-8"?>
<ds:datastoreItem xmlns:ds="http://schemas.openxmlformats.org/officeDocument/2006/customXml" ds:itemID="{4FE1255C-E102-4632-8D90-843334FF130F}">
  <ds:schemaRefs/>
</ds:datastoreItem>
</file>

<file path=customXml/itemProps17.xml><?xml version="1.0" encoding="utf-8"?>
<ds:datastoreItem xmlns:ds="http://schemas.openxmlformats.org/officeDocument/2006/customXml" ds:itemID="{0B38A455-E3B8-4E4A-B801-A3073B0DC101}">
  <ds:schemaRefs/>
</ds:datastoreItem>
</file>

<file path=customXml/itemProps18.xml><?xml version="1.0" encoding="utf-8"?>
<ds:datastoreItem xmlns:ds="http://schemas.openxmlformats.org/officeDocument/2006/customXml" ds:itemID="{43D61C7A-6DCC-4A87-A679-3A45B8C6CEFC}">
  <ds:schemaRefs/>
</ds:datastoreItem>
</file>

<file path=customXml/itemProps2.xml><?xml version="1.0" encoding="utf-8"?>
<ds:datastoreItem xmlns:ds="http://schemas.openxmlformats.org/officeDocument/2006/customXml" ds:itemID="{BE9CEB30-0827-49D2-BF35-62129E89886A}">
  <ds:schemaRefs/>
</ds:datastoreItem>
</file>

<file path=customXml/itemProps3.xml><?xml version="1.0" encoding="utf-8"?>
<ds:datastoreItem xmlns:ds="http://schemas.openxmlformats.org/officeDocument/2006/customXml" ds:itemID="{5BEA0D51-12B0-434A-8217-EBD7E3E8B180}">
  <ds:schemaRefs/>
</ds:datastoreItem>
</file>

<file path=customXml/itemProps4.xml><?xml version="1.0" encoding="utf-8"?>
<ds:datastoreItem xmlns:ds="http://schemas.openxmlformats.org/officeDocument/2006/customXml" ds:itemID="{6EEA2072-4378-46BF-82DF-5BB9CFA6C17D}">
  <ds:schemaRefs/>
</ds:datastoreItem>
</file>

<file path=customXml/itemProps5.xml><?xml version="1.0" encoding="utf-8"?>
<ds:datastoreItem xmlns:ds="http://schemas.openxmlformats.org/officeDocument/2006/customXml" ds:itemID="{24EA1A4F-5CB5-4A34-A0A6-E81C102B8202}">
  <ds:schemaRefs/>
</ds:datastoreItem>
</file>

<file path=customXml/itemProps6.xml><?xml version="1.0" encoding="utf-8"?>
<ds:datastoreItem xmlns:ds="http://schemas.openxmlformats.org/officeDocument/2006/customXml" ds:itemID="{6E7CCD4D-215C-4244-B2CF-E7432B1108E8}">
  <ds:schemaRefs/>
</ds:datastoreItem>
</file>

<file path=customXml/itemProps7.xml><?xml version="1.0" encoding="utf-8"?>
<ds:datastoreItem xmlns:ds="http://schemas.openxmlformats.org/officeDocument/2006/customXml" ds:itemID="{8FB469C4-A0F5-42DB-9B9F-9A4A174CA190}">
  <ds:schemaRefs/>
</ds:datastoreItem>
</file>

<file path=customXml/itemProps8.xml><?xml version="1.0" encoding="utf-8"?>
<ds:datastoreItem xmlns:ds="http://schemas.openxmlformats.org/officeDocument/2006/customXml" ds:itemID="{22C4BAE7-9645-4E94-902D-21E30B1F734F}">
  <ds:schemaRefs/>
</ds:datastoreItem>
</file>

<file path=customXml/itemProps9.xml><?xml version="1.0" encoding="utf-8"?>
<ds:datastoreItem xmlns:ds="http://schemas.openxmlformats.org/officeDocument/2006/customXml" ds:itemID="{C6FC481C-7FE2-486C-B341-AF54AEAC9A07}">
  <ds:schemaRefs/>
</ds:datastoreItem>
</file>

<file path=docProps/app.xml><?xml version="1.0" encoding="utf-8"?>
<Properties xmlns="http://schemas.openxmlformats.org/officeDocument/2006/extended-properties" xmlns:vt="http://schemas.openxmlformats.org/officeDocument/2006/docPropsVTypes">
  <Template>Normal</Template>
  <Pages>38</Pages>
  <Words>2467</Words>
  <Characters>14062</Characters>
  <Lines>117</Lines>
  <Paragraphs>32</Paragraphs>
  <TotalTime>9</TotalTime>
  <ScaleCrop>false</ScaleCrop>
  <LinksUpToDate>false</LinksUpToDate>
  <CharactersWithSpaces>16497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2022-03-18T10:59:00Z</dcterms:created>
  <dc:creator>Administrator</dc:creator>
  <cp:lastModifiedBy>WPS_1657181579</cp:lastModifiedBy>
  <dcterms:modified xsi:type="dcterms:W3CDTF">2024-01-19T01:16:56Z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4F2A0F815068468B857A60CE7D43AEB8</vt:lpwstr>
  </property>
</Properties>
</file>