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Times New Roman"/>
          <w:sz w:val="32"/>
          <w:szCs w:val="32"/>
        </w:rPr>
      </w:pPr>
      <w:bookmarkStart w:id="3" w:name="_GoBack"/>
      <w:bookmarkEnd w:id="3"/>
    </w:p>
    <w:p>
      <w:pPr>
        <w:jc w:val="center"/>
        <w:rPr>
          <w:rFonts w:ascii="宋体" w:hAnsi="宋体" w:eastAsia="宋体" w:cs="Times New Roman"/>
          <w:b/>
          <w:bCs/>
          <w:sz w:val="44"/>
          <w:szCs w:val="44"/>
        </w:rPr>
      </w:pPr>
      <w:r>
        <w:rPr>
          <w:rFonts w:hint="eastAsia" w:ascii="宋体" w:hAnsi="宋体" w:eastAsia="宋体" w:cs="宋体"/>
          <w:b/>
          <w:bCs/>
          <w:sz w:val="44"/>
          <w:szCs w:val="44"/>
        </w:rPr>
        <w:t>成安县水利局</w:t>
      </w:r>
    </w:p>
    <w:p>
      <w:pPr>
        <w:jc w:val="center"/>
        <w:rPr>
          <w:rFonts w:ascii="宋体" w:hAnsi="宋体" w:eastAsia="宋体" w:cs="Times New Roman"/>
          <w:b/>
          <w:bCs/>
          <w:sz w:val="44"/>
          <w:szCs w:val="44"/>
        </w:rPr>
      </w:pPr>
      <w:r>
        <w:rPr>
          <w:rFonts w:hint="eastAsia" w:ascii="宋体" w:hAnsi="宋体" w:eastAsia="宋体" w:cs="宋体"/>
          <w:b/>
          <w:bCs/>
          <w:sz w:val="44"/>
          <w:szCs w:val="44"/>
        </w:rPr>
        <w:t>2021年部门预算公开情况说明</w:t>
      </w:r>
    </w:p>
    <w:p>
      <w:pPr>
        <w:jc w:val="center"/>
        <w:rPr>
          <w:rFonts w:ascii="黑体" w:hAnsi="黑体" w:eastAsia="黑体" w:cs="Times New Roman"/>
          <w:sz w:val="44"/>
          <w:szCs w:val="44"/>
        </w:rPr>
      </w:pPr>
    </w:p>
    <w:p>
      <w:pPr>
        <w:ind w:firstLine="640"/>
        <w:rPr>
          <w:rFonts w:ascii="仿宋" w:hAnsi="仿宋" w:eastAsia="仿宋" w:cs="Times New Roman"/>
          <w:sz w:val="32"/>
          <w:szCs w:val="32"/>
        </w:rPr>
      </w:pPr>
      <w:r>
        <w:rPr>
          <w:rFonts w:hint="eastAsia" w:ascii="仿宋" w:hAnsi="仿宋" w:eastAsia="仿宋" w:cs="仿宋"/>
          <w:sz w:val="32"/>
          <w:szCs w:val="32"/>
        </w:rPr>
        <w:t>按照《中华人民共和国预算法》有关规定和财政部关于印发《地方预决算公开操作规程》的</w:t>
      </w:r>
      <w:r>
        <w:rPr>
          <w:rFonts w:hint="eastAsia" w:ascii="仿宋" w:hAnsi="仿宋" w:eastAsia="仿宋" w:cs="仿宋_GB2312"/>
          <w:sz w:val="32"/>
          <w:szCs w:val="32"/>
        </w:rPr>
        <w:t>通知要求，现将成安县水利局2021年部门预算公开如下：</w:t>
      </w:r>
    </w:p>
    <w:p>
      <w:pPr>
        <w:ind w:firstLine="640"/>
        <w:rPr>
          <w:rFonts w:ascii="黑体" w:hAnsi="黑体" w:eastAsia="黑体" w:cs="Times New Roman"/>
          <w:sz w:val="32"/>
          <w:szCs w:val="32"/>
        </w:rPr>
      </w:pPr>
      <w:r>
        <w:rPr>
          <w:rFonts w:hint="eastAsia" w:ascii="黑体" w:hAnsi="黑体" w:eastAsia="黑体" w:cs="黑体"/>
          <w:sz w:val="32"/>
          <w:szCs w:val="32"/>
        </w:rPr>
        <w:t>一、部门职责及机构设置情况</w:t>
      </w:r>
    </w:p>
    <w:p>
      <w:pPr>
        <w:ind w:firstLine="640"/>
        <w:rPr>
          <w:rFonts w:ascii="仿宋" w:hAnsi="仿宋" w:eastAsia="仿宋" w:cs="Times New Roman"/>
          <w:b/>
          <w:bCs/>
          <w:sz w:val="32"/>
          <w:szCs w:val="32"/>
        </w:rPr>
      </w:pPr>
      <w:r>
        <w:rPr>
          <w:rFonts w:ascii="仿宋" w:hAnsi="仿宋" w:eastAsia="仿宋" w:cs="楷体"/>
          <w:b/>
          <w:bCs/>
          <w:sz w:val="32"/>
          <w:szCs w:val="32"/>
        </w:rPr>
        <w:t>1</w:t>
      </w:r>
      <w:r>
        <w:rPr>
          <w:rFonts w:hint="eastAsia" w:ascii="仿宋" w:hAnsi="仿宋" w:eastAsia="仿宋" w:cs="楷体"/>
          <w:b/>
          <w:bCs/>
          <w:sz w:val="32"/>
          <w:szCs w:val="32"/>
        </w:rPr>
        <w:t>、部门职责：</w:t>
      </w:r>
    </w:p>
    <w:p>
      <w:pPr>
        <w:ind w:firstLine="640" w:firstLineChars="200"/>
        <w:rPr>
          <w:rFonts w:ascii="仿宋" w:hAnsi="仿宋" w:eastAsia="仿宋"/>
          <w:sz w:val="32"/>
          <w:szCs w:val="32"/>
        </w:rPr>
      </w:pPr>
      <w:r>
        <w:rPr>
          <w:rFonts w:ascii="仿宋" w:hAnsi="仿宋" w:eastAsia="仿宋"/>
          <w:sz w:val="32"/>
          <w:szCs w:val="32"/>
        </w:rPr>
        <w:t>（一）负责保障水资源的合理开发利用。拟订水利战略规划和政策，组织编制全县水资源战略规划、重要流域综合规划、防洪规划等重大水利规划。</w:t>
      </w:r>
    </w:p>
    <w:p>
      <w:pPr>
        <w:ind w:firstLine="640" w:firstLineChars="200"/>
        <w:rPr>
          <w:rFonts w:ascii="仿宋" w:hAnsi="仿宋" w:eastAsia="仿宋"/>
          <w:sz w:val="32"/>
          <w:szCs w:val="32"/>
        </w:rPr>
      </w:pPr>
      <w:r>
        <w:rPr>
          <w:rFonts w:ascii="仿宋" w:hAnsi="仿宋" w:eastAsia="仿宋"/>
          <w:sz w:val="32"/>
          <w:szCs w:val="32"/>
        </w:rPr>
        <w:t>（二）负责生活、生产经营和生态环境用水的统筹兼顾和保障。组织实施最严格水资源管理制度，实施水资源的统一监督管理，拟订全县水中长期供求规划、水量分配方案并监督实施，负责重要流域、区域以及重大调水工程的水资源调度。负责对取水项目、水资源论证和防洪论证有关工作的技术指导和监督管理，指导开展水资源有偿使用工作；指导水利行业供水和乡镇供水工作。</w:t>
      </w:r>
    </w:p>
    <w:p>
      <w:pPr>
        <w:ind w:firstLine="640" w:firstLineChars="200"/>
        <w:rPr>
          <w:rFonts w:ascii="仿宋" w:hAnsi="仿宋" w:eastAsia="仿宋"/>
          <w:sz w:val="32"/>
          <w:szCs w:val="32"/>
        </w:rPr>
      </w:pPr>
      <w:r>
        <w:rPr>
          <w:rFonts w:ascii="仿宋" w:hAnsi="仿宋" w:eastAsia="仿宋"/>
          <w:sz w:val="32"/>
          <w:szCs w:val="32"/>
        </w:rPr>
        <w:t>（三）按规定制定水利工程建设有关制度并组织实施；负责提出县级水利固定资产投资规模、方向、具体安排建议并组织指导实施，按规定权限审查、审核县规划内和年度计划规模内固定资产的投资项目；提出县级水利建设投资安排建议，负责指导项目实施。</w:t>
      </w:r>
    </w:p>
    <w:p>
      <w:pPr>
        <w:ind w:firstLine="640" w:firstLineChars="200"/>
        <w:rPr>
          <w:rFonts w:ascii="仿宋" w:hAnsi="仿宋" w:eastAsia="仿宋"/>
          <w:sz w:val="32"/>
          <w:szCs w:val="32"/>
        </w:rPr>
      </w:pPr>
      <w:r>
        <w:rPr>
          <w:rFonts w:ascii="仿宋" w:hAnsi="仿宋" w:eastAsia="仿宋"/>
          <w:sz w:val="32"/>
          <w:szCs w:val="32"/>
        </w:rPr>
        <w:t>（四）指导水资源保护工作。组织编制并实施水资源保护规划，指导饮用水水源保护有关工作，指导地下水开发利用和地下水资源管理保护。组织指导地下水超采区综合治理。</w:t>
      </w:r>
    </w:p>
    <w:p>
      <w:pPr>
        <w:ind w:firstLine="640" w:firstLineChars="200"/>
        <w:rPr>
          <w:rFonts w:ascii="仿宋" w:hAnsi="仿宋" w:eastAsia="仿宋"/>
          <w:sz w:val="32"/>
          <w:szCs w:val="32"/>
        </w:rPr>
      </w:pPr>
      <w:r>
        <w:rPr>
          <w:rFonts w:ascii="仿宋" w:hAnsi="仿宋" w:eastAsia="仿宋"/>
          <w:sz w:val="32"/>
          <w:szCs w:val="32"/>
        </w:rPr>
        <w:t>（五）负责节约用水工作。拟订节约用水政策，组织编制节约用水规划并监督实施，组织实施有关标准，组织实施用水总量控制等管理制度，指导和推动节水型社会建设工作。</w:t>
      </w:r>
    </w:p>
    <w:p>
      <w:pPr>
        <w:ind w:firstLine="640" w:firstLineChars="200"/>
        <w:rPr>
          <w:rFonts w:ascii="仿宋" w:hAnsi="仿宋" w:eastAsia="仿宋"/>
          <w:sz w:val="32"/>
          <w:szCs w:val="32"/>
        </w:rPr>
      </w:pPr>
      <w:r>
        <w:rPr>
          <w:rFonts w:ascii="仿宋" w:hAnsi="仿宋" w:eastAsia="仿宋"/>
          <w:sz w:val="32"/>
          <w:szCs w:val="32"/>
        </w:rPr>
        <w:t>（六）按规定对江河湖库和地下水等实施监测，组织开展水资源评价工作，组织开展水能资源调查评价工作，发布水资源公报。</w:t>
      </w:r>
    </w:p>
    <w:p>
      <w:pPr>
        <w:ind w:firstLine="640" w:firstLineChars="200"/>
        <w:rPr>
          <w:rFonts w:ascii="仿宋" w:hAnsi="仿宋" w:eastAsia="仿宋"/>
          <w:sz w:val="32"/>
          <w:szCs w:val="32"/>
        </w:rPr>
      </w:pPr>
      <w:r>
        <w:rPr>
          <w:rFonts w:ascii="仿宋" w:hAnsi="仿宋" w:eastAsia="仿宋"/>
          <w:sz w:val="32"/>
          <w:szCs w:val="32"/>
        </w:rPr>
        <w:t>（七）指导水利设施、水域及其岸线的管理、保护与综合利用。组织指导水利基础设施网络建设。指导河湖水生态保护与修复、河湖生态流量水量管理以及河湖水系连通工作。</w:t>
      </w:r>
    </w:p>
    <w:p>
      <w:pPr>
        <w:ind w:firstLine="640" w:firstLineChars="200"/>
        <w:rPr>
          <w:rFonts w:ascii="仿宋" w:hAnsi="仿宋" w:eastAsia="仿宋"/>
          <w:sz w:val="32"/>
          <w:szCs w:val="32"/>
        </w:rPr>
      </w:pPr>
      <w:r>
        <w:rPr>
          <w:rFonts w:ascii="仿宋" w:hAnsi="仿宋" w:eastAsia="仿宋"/>
          <w:sz w:val="32"/>
          <w:szCs w:val="32"/>
        </w:rPr>
        <w:t>（八）指导监督协调水利工程建设与运行管理，组织实施具有控制性的和跨区域的重要水利工程建设与运行管理。协助落实南水北调配套工程运行和后续工程建设的有关政策措施，监督配合工程安全运行，配合工程验收有关工作。</w:t>
      </w:r>
    </w:p>
    <w:p>
      <w:pPr>
        <w:ind w:firstLine="640" w:firstLineChars="200"/>
        <w:rPr>
          <w:rFonts w:ascii="仿宋" w:hAnsi="仿宋" w:eastAsia="仿宋"/>
          <w:sz w:val="32"/>
          <w:szCs w:val="32"/>
        </w:rPr>
      </w:pPr>
      <w:r>
        <w:rPr>
          <w:rFonts w:ascii="仿宋" w:hAnsi="仿宋" w:eastAsia="仿宋"/>
          <w:sz w:val="32"/>
          <w:szCs w:val="32"/>
        </w:rPr>
        <w:t>（九）负责水土保持工作。拟订水土保持规划并监督实施，组织实施水土流失的综合防治、监测预报。负责建设项目水土保持监督管理工作，指导重点水土保持建设项目的实施。</w:t>
      </w:r>
    </w:p>
    <w:p>
      <w:pPr>
        <w:ind w:firstLine="640" w:firstLineChars="200"/>
        <w:rPr>
          <w:rFonts w:ascii="仿宋" w:hAnsi="仿宋" w:eastAsia="仿宋"/>
          <w:sz w:val="32"/>
          <w:szCs w:val="32"/>
        </w:rPr>
      </w:pPr>
      <w:r>
        <w:rPr>
          <w:rFonts w:ascii="仿宋" w:hAnsi="仿宋" w:eastAsia="仿宋"/>
          <w:sz w:val="32"/>
          <w:szCs w:val="32"/>
        </w:rPr>
        <w:t>（十）指导城乡供水和农村水利工作。承担县城和农村供水行业的管理职能，组织协调县城和农村供水建设、管理、维修、维护和运行工作。负责城市二次供水和应急备用水源的监督管理，负责对取用全县地下水取水申请的审核。负责灌排工程相关工作，指导节水灌溉有关工作。指导农村水利改革创新和社会化服务体系建设。</w:t>
      </w:r>
    </w:p>
    <w:p>
      <w:pPr>
        <w:ind w:firstLine="640" w:firstLineChars="200"/>
        <w:rPr>
          <w:rFonts w:ascii="仿宋" w:hAnsi="仿宋" w:eastAsia="仿宋"/>
          <w:sz w:val="32"/>
          <w:szCs w:val="32"/>
        </w:rPr>
      </w:pPr>
      <w:r>
        <w:rPr>
          <w:rFonts w:ascii="仿宋" w:hAnsi="仿宋" w:eastAsia="仿宋"/>
          <w:sz w:val="32"/>
          <w:szCs w:val="32"/>
        </w:rPr>
        <w:t>（十一）指导水库移民管理工作。拟订水库移民有关政策并监督实施，监督检查水库移民安置工作。指导监督水库移民后期扶持政策的实施。</w:t>
      </w:r>
    </w:p>
    <w:p>
      <w:pPr>
        <w:ind w:firstLine="640" w:firstLineChars="200"/>
        <w:rPr>
          <w:rFonts w:ascii="仿宋" w:hAnsi="仿宋" w:eastAsia="仿宋"/>
          <w:sz w:val="32"/>
          <w:szCs w:val="32"/>
        </w:rPr>
      </w:pPr>
      <w:r>
        <w:rPr>
          <w:rFonts w:ascii="仿宋" w:hAnsi="仿宋" w:eastAsia="仿宋"/>
          <w:sz w:val="32"/>
          <w:szCs w:val="32"/>
        </w:rPr>
        <w:t>（十二）负责重大涉水违法事件的查处，协调、仲裁跨部门、跨乡（镇）、工业区水事纠纷，指导水政监察和水行政执法。依法负责水利行业安全生产工作，负责水库、农村水电站、供水站等相关机构的安全监管。指导水利建设市场的监督管理，组织实施水利工程建设的监督。负责水利水电工程相关工作。</w:t>
      </w:r>
    </w:p>
    <w:p>
      <w:pPr>
        <w:ind w:firstLine="640" w:firstLineChars="200"/>
        <w:rPr>
          <w:rFonts w:ascii="仿宋" w:hAnsi="仿宋" w:eastAsia="仿宋"/>
          <w:sz w:val="32"/>
          <w:szCs w:val="32"/>
        </w:rPr>
      </w:pPr>
      <w:r>
        <w:rPr>
          <w:rFonts w:ascii="仿宋" w:hAnsi="仿宋" w:eastAsia="仿宋"/>
          <w:sz w:val="32"/>
          <w:szCs w:val="32"/>
        </w:rPr>
        <w:t>（十三）组织开展水利行业质量监督工作，拟订水利行业的地方技术标准、规程规范的配套政策并监督实施，组织重大水利科学研究、技术引进和科技推广。</w:t>
      </w:r>
    </w:p>
    <w:p>
      <w:pPr>
        <w:ind w:firstLine="640" w:firstLineChars="200"/>
        <w:rPr>
          <w:rFonts w:ascii="仿宋" w:hAnsi="仿宋" w:eastAsia="仿宋"/>
          <w:sz w:val="32"/>
          <w:szCs w:val="32"/>
        </w:rPr>
      </w:pPr>
      <w:r>
        <w:rPr>
          <w:rFonts w:ascii="仿宋" w:hAnsi="仿宋" w:eastAsia="仿宋"/>
          <w:sz w:val="32"/>
          <w:szCs w:val="32"/>
        </w:rPr>
        <w:t>（十四）负责落实水旱灾害防灾减灾规划、标准及相关要求，承担水情旱情监测预警工作。组织编制重要江河湖泊和重要水工程的防御洪水抗御旱灾调度及应急水量调度方案，按程序报批并组织实施。承担防御洪水应急抢险的技术支撑工作。承担台风防御期间重要水工程调度工作。</w:t>
      </w:r>
    </w:p>
    <w:p>
      <w:pPr>
        <w:ind w:firstLine="640" w:firstLineChars="200"/>
        <w:rPr>
          <w:rFonts w:ascii="仿宋" w:hAnsi="仿宋" w:eastAsia="仿宋"/>
          <w:sz w:val="32"/>
          <w:szCs w:val="32"/>
        </w:rPr>
      </w:pPr>
      <w:r>
        <w:rPr>
          <w:rFonts w:ascii="仿宋" w:hAnsi="仿宋" w:eastAsia="仿宋"/>
          <w:sz w:val="32"/>
          <w:szCs w:val="32"/>
        </w:rPr>
        <w:t>（十五）承办县委、县政府交办的其他任务。</w:t>
      </w:r>
    </w:p>
    <w:p>
      <w:pPr>
        <w:widowControl/>
        <w:spacing w:line="600" w:lineRule="atLeast"/>
        <w:jc w:val="left"/>
        <w:rPr>
          <w:rFonts w:ascii="仿宋" w:hAnsi="仿宋" w:eastAsia="仿宋" w:cs="仿宋_GB2312"/>
          <w:b/>
          <w:kern w:val="0"/>
          <w:sz w:val="32"/>
          <w:szCs w:val="32"/>
        </w:rPr>
      </w:pPr>
      <w:r>
        <w:rPr>
          <w:rFonts w:hint="eastAsia" w:ascii="仿宋" w:hAnsi="仿宋" w:eastAsia="仿宋" w:cs="仿宋_GB2312"/>
          <w:b/>
          <w:kern w:val="0"/>
          <w:sz w:val="32"/>
          <w:szCs w:val="32"/>
        </w:rPr>
        <w:t>内设相构职责</w:t>
      </w:r>
    </w:p>
    <w:p>
      <w:pPr>
        <w:ind w:firstLine="640" w:firstLineChars="200"/>
        <w:rPr>
          <w:rFonts w:ascii="仿宋" w:hAnsi="仿宋" w:eastAsia="仿宋"/>
          <w:sz w:val="32"/>
          <w:szCs w:val="32"/>
        </w:rPr>
      </w:pPr>
      <w:r>
        <w:rPr>
          <w:rFonts w:ascii="仿宋" w:hAnsi="仿宋" w:eastAsia="仿宋"/>
          <w:sz w:val="32"/>
          <w:szCs w:val="32"/>
        </w:rPr>
        <w:t>办公室工作职责：负责局综合协调和重点工作的督查落实；负责重要会议的组织、全局性重要文稿的起草、接待等事务性工作；负责文秘档案、信息反馈、机要保密、信访、提案承办；负责水利宣传、政府信息公开、水利信息化建设、政策调研及全县水利志的编纂工作。负责编制县水利部门预算并组织实施；监督落实有关水利的资产、税费、信贷、财务等政策；对县水利局系统国有资产进行监督管理；组织提出县级水利财政资金安排建议。统筹协调项目实施的资金监管和绩效评价；指导全县水利行业的财务、会计管理工作。指导全县水利工程财务决算评审,培训专业技术人员,开展县本级验收项目和本部门的内部审计工作。承担机关和所属单位的人事和机构编制工作；指导全县水利行业职工队伍建设。拟订并实施全县水利科学技术与教育发展规划和年度计划；组织指导水利科学研究、技术引进和科技推广工作；承办全县水利行业对外技术合作与交流工作。</w:t>
      </w:r>
    </w:p>
    <w:p>
      <w:pPr>
        <w:ind w:firstLine="640" w:firstLineChars="200"/>
        <w:rPr>
          <w:rFonts w:ascii="仿宋" w:hAnsi="仿宋" w:eastAsia="仿宋"/>
          <w:sz w:val="32"/>
          <w:szCs w:val="32"/>
        </w:rPr>
      </w:pPr>
      <w:r>
        <w:rPr>
          <w:rFonts w:ascii="仿宋" w:hAnsi="仿宋" w:eastAsia="仿宋"/>
          <w:sz w:val="32"/>
          <w:szCs w:val="32"/>
        </w:rPr>
        <w:t>水利科工作职责：负责组织拟订全县水利发展战略、中长期发展规划和年度投资计划；负责相关水利基建项目工作和水利工程建设项目工作。负责水利综合统计工作。组织拟订全县水利法制建设规划；研究拟订水利工作的政策并监督实施；组织宣传水法规；指导实施水政监察、水行政执法和行政执法监督工作；承担组织查处重大涉水违法事件、水事纠纷协调、行政诉讼、行政复议和行政赔偿工作。指导水域及其岸线的管理、保护和划界，指导江河湖泊的开发、治理和保护，指导江河湖泊水生态保护与修复以及河湖水系连通工作。承担实施最严格水资源管理制度相关工作，负责对取水项目、水资源论证和防洪论证有关工作的技术指导和监督管理，开展水资源有偿使用工作。负责江河水量相关工作并监督实施，指导河湖渠道生态流量工作。组织编制水资源保护规划，指导饮用水水源保护有关工作。配合有关部门开展水资源调查、评价有关工作，组织编制并发布全县水资源公报。配合有关部门制订水功能区划。拟订节约用水政策，组织编制并协调实施全县节约用水规划，组织指导计划用水、节约用水工作。组织实施用水总量控制、用水效率控制、计划用水和定额管理制度。指导和推动节水型社会建设工作。指导城市污水处理回用等非常规水源开发利用工作。负责应急备用水源的监督管理；指导二次供水工程设计、建设、运行和验收工作，负责二次供水的日常监督管理。</w:t>
      </w:r>
    </w:p>
    <w:p>
      <w:pPr>
        <w:ind w:firstLine="640" w:firstLineChars="200"/>
        <w:rPr>
          <w:rFonts w:ascii="仿宋" w:hAnsi="仿宋" w:eastAsia="仿宋"/>
          <w:sz w:val="32"/>
          <w:szCs w:val="32"/>
        </w:rPr>
      </w:pPr>
      <w:r>
        <w:rPr>
          <w:rFonts w:ascii="仿宋" w:hAnsi="仿宋" w:eastAsia="仿宋"/>
          <w:sz w:val="32"/>
          <w:szCs w:val="32"/>
        </w:rPr>
        <w:t>负责全县水利工程建设管理工作，组织制定实施有关制度，贯彻落实技术标准。负责统计、调度新增水利工程与在建工程建设进度，组织实施重要水利工程建设相关工作。负责水利工程蓄水相关工作，负责主要行洪河道堤防、水闸、泵站等水利工程的除险加固工作。组织指导水利工程质量监督工作。指导水利建设市场的监督管理和水利建设市场信用体系建设，负责水利水电工程相关工作。指导水利工程及其设施的管理、保护、安全鉴定和综合利用，组织编制水利方面安全管理应急预案。指导相关水利工程的运行管理与划界。负责灌排工程相关工作，组织指导农村饮水安全工程建设与管理工作，负责对取用全县地下水取水申请的审核，组织实施全县地下水超采综合治理。指导节水灌溉有关工作，指导农村水利社会化服务体系建设。负责全县水土保持工作，承担水土流失综合防治工作；组织编制水土保持规划并监督实施；组织水土保持重点治理区的工作；负责开发建设项目水土保持相关工作；指导生态清洁小流域建设。</w:t>
      </w:r>
    </w:p>
    <w:p>
      <w:pPr>
        <w:ind w:firstLine="640" w:firstLineChars="200"/>
        <w:rPr>
          <w:rFonts w:ascii="仿宋" w:hAnsi="仿宋" w:eastAsia="仿宋"/>
          <w:sz w:val="32"/>
          <w:szCs w:val="32"/>
        </w:rPr>
      </w:pPr>
      <w:r>
        <w:rPr>
          <w:rFonts w:ascii="仿宋" w:hAnsi="仿宋" w:eastAsia="仿宋"/>
          <w:sz w:val="32"/>
          <w:szCs w:val="32"/>
        </w:rPr>
        <w:t>承担水库移民管理工作。拟订水库移民有关政策并监督实施，监督检查水库移民安置工作。指导监督水库移民后期扶持政策的实施。指导水库移民后期扶持人口核查工作。协调配合检查水利重大政策，决策部署和重点工作的贯彻落实情况。负责水利、水电工程安全监督工作。负责水利行业安全生产工作。负责水利工程运行安全管理的监督检查工作。负责协调水利行业监督检查体系建设。组织编制全县洪水干旱防治规划和防护标准、主要行洪</w:t>
      </w:r>
      <w:r>
        <w:rPr>
          <w:rFonts w:hint="eastAsia" w:ascii="仿宋" w:hAnsi="仿宋" w:eastAsia="仿宋"/>
          <w:sz w:val="32"/>
          <w:szCs w:val="32"/>
        </w:rPr>
        <w:t>渠</w:t>
      </w:r>
      <w:r>
        <w:rPr>
          <w:rFonts w:ascii="仿宋" w:hAnsi="仿宋" w:eastAsia="仿宋"/>
          <w:sz w:val="32"/>
          <w:szCs w:val="32"/>
        </w:rPr>
        <w:t>道以及应急水量调度方案并组织实施。负责主要（含骨干）行洪河道和防洪保护区的洪水影响评价工作。组织指导台风防御期间全县重要水利工程调度工作。承担跨区域流域水资源供需形势分析，科学配置水源，指导水量调度工作，统一组织并监督实施外来水和当地水的水量调度管理和生产、生活、生态补水等工作，负责组织多水源统一调度工作。负责全县生态水网管理的组织、指导、协调、监督工作；负责协调各乡（镇）、工业区及有关单位制订用水计划并核定与实施；配合指导、妥善解决跨境调水工程建设与征迁历史遗留问题。协调落实南水北调工程有关重大政策和措施，监督配合南水北调工程安全运行等相关工作。</w:t>
      </w:r>
    </w:p>
    <w:p>
      <w:pPr>
        <w:ind w:firstLine="640" w:firstLineChars="200"/>
        <w:rPr>
          <w:rFonts w:ascii="仿宋" w:hAnsi="仿宋" w:eastAsia="仿宋"/>
          <w:sz w:val="32"/>
          <w:szCs w:val="32"/>
        </w:rPr>
      </w:pPr>
      <w:r>
        <w:rPr>
          <w:rFonts w:ascii="仿宋" w:hAnsi="仿宋" w:eastAsia="仿宋"/>
          <w:sz w:val="32"/>
          <w:szCs w:val="32"/>
        </w:rPr>
        <w:t>成安县农村供水服务中心工作职责：宣传贯彻《中华人民共和国水法》等相关法律法规，对全县农村集中供水工程进行管理，负责保障全县各乡镇、村的生产生活用水供应。</w:t>
      </w:r>
    </w:p>
    <w:p>
      <w:pPr>
        <w:rPr>
          <w:rFonts w:ascii="仿宋" w:hAnsi="仿宋" w:eastAsia="仿宋"/>
          <w:sz w:val="32"/>
          <w:szCs w:val="32"/>
        </w:rPr>
      </w:pPr>
      <w:r>
        <w:rPr>
          <w:rFonts w:ascii="仿宋" w:hAnsi="仿宋" w:eastAsia="仿宋"/>
          <w:sz w:val="32"/>
          <w:szCs w:val="32"/>
        </w:rPr>
        <w:t>打井队工作职责：负责全县的机井建设打井工作。</w:t>
      </w:r>
    </w:p>
    <w:p>
      <w:pPr>
        <w:rPr>
          <w:rFonts w:ascii="仿宋" w:hAnsi="仿宋" w:eastAsia="仿宋"/>
          <w:sz w:val="32"/>
          <w:szCs w:val="32"/>
        </w:rPr>
      </w:pPr>
      <w:r>
        <w:rPr>
          <w:rFonts w:ascii="仿宋" w:hAnsi="仿宋" w:eastAsia="仿宋"/>
          <w:sz w:val="32"/>
          <w:szCs w:val="32"/>
        </w:rPr>
        <w:t>成安县水政水资源管理办公室职责：负责《中华人民共和国水法》、《中华人民共和国防洪法》等法律、法规的宣传及贯彻实施监督检查等工作，负责全县水资源统一管理、规划和保护工作;负责全县机井建设与管理及钻机的管理，负责全县水资源的监测评价和制定全县供水的长期计划及年度计划水量分配方案的制定，组织实施全县取水许可制度和水资源费、河道费征收任务;指导和监督全县节约用水工作;负责全县水行政执法，查处水事违法案件，协调处理全县水事纠纷。</w:t>
      </w:r>
    </w:p>
    <w:p>
      <w:pPr>
        <w:ind w:firstLine="640" w:firstLineChars="200"/>
        <w:rPr>
          <w:rFonts w:ascii="仿宋" w:hAnsi="仿宋" w:eastAsia="仿宋"/>
          <w:sz w:val="32"/>
          <w:szCs w:val="32"/>
        </w:rPr>
      </w:pPr>
      <w:r>
        <w:rPr>
          <w:rFonts w:ascii="仿宋" w:hAnsi="仿宋" w:eastAsia="仿宋"/>
          <w:sz w:val="32"/>
          <w:szCs w:val="32"/>
        </w:rPr>
        <w:t>成安县自来水公司（一水厂）工作职责：按照城市规划要求，搞好供水管网及供水设施的建设、维护和管理工作，负责县城居民的生产生活用水供应，确保出水厂水质符合相关标准。</w:t>
      </w:r>
    </w:p>
    <w:p>
      <w:pPr>
        <w:ind w:firstLine="640" w:firstLineChars="200"/>
        <w:rPr>
          <w:rFonts w:ascii="仿宋" w:hAnsi="仿宋" w:eastAsia="仿宋"/>
          <w:sz w:val="32"/>
          <w:szCs w:val="32"/>
        </w:rPr>
      </w:pPr>
      <w:r>
        <w:rPr>
          <w:rFonts w:ascii="仿宋" w:hAnsi="仿宋" w:eastAsia="仿宋"/>
          <w:sz w:val="32"/>
          <w:szCs w:val="32"/>
        </w:rPr>
        <w:t>成安县第二自来水公司（二水厂）工作职责：按照城市规划要求，搞好供水管网及供水设施的建设、维护和管理工作，负责县城居民的生产生活用水供应，确保出水厂水质符合相关标准。</w:t>
      </w:r>
    </w:p>
    <w:p>
      <w:pPr>
        <w:ind w:firstLine="640" w:firstLineChars="200"/>
        <w:rPr>
          <w:rFonts w:ascii="仿宋" w:hAnsi="仿宋" w:eastAsia="仿宋"/>
          <w:sz w:val="32"/>
          <w:szCs w:val="32"/>
        </w:rPr>
      </w:pPr>
      <w:r>
        <w:rPr>
          <w:rFonts w:ascii="仿宋" w:hAnsi="仿宋" w:eastAsia="仿宋"/>
          <w:sz w:val="32"/>
          <w:szCs w:val="32"/>
        </w:rPr>
        <w:t>成安县水利局第三供水站工作职责：负责城西工业区及部门村的供水工作。</w:t>
      </w:r>
    </w:p>
    <w:p>
      <w:pPr>
        <w:ind w:firstLine="640" w:firstLineChars="200"/>
        <w:rPr>
          <w:rFonts w:ascii="仿宋" w:hAnsi="仿宋" w:eastAsia="仿宋"/>
          <w:sz w:val="32"/>
          <w:szCs w:val="32"/>
        </w:rPr>
      </w:pPr>
      <w:r>
        <w:rPr>
          <w:rFonts w:ascii="仿宋" w:hAnsi="仿宋" w:eastAsia="仿宋"/>
          <w:sz w:val="32"/>
          <w:szCs w:val="32"/>
        </w:rPr>
        <w:t>成安县南水北调水源调配中心职能：承担水厂供水设备运行看护、维修和收费任务；具备向第一、第二、第三自来水公司分水、调蓄水量功能；充分、可靠利用南水北调来水，保证城镇供水安全。</w:t>
      </w:r>
    </w:p>
    <w:p>
      <w:pPr>
        <w:widowControl/>
        <w:ind w:firstLine="600" w:firstLineChars="200"/>
        <w:jc w:val="left"/>
        <w:rPr>
          <w:rFonts w:ascii="仿宋" w:hAnsi="仿宋" w:eastAsia="仿宋" w:cs="Times New Roman"/>
          <w:b/>
          <w:bCs/>
          <w:kern w:val="0"/>
          <w:sz w:val="32"/>
          <w:szCs w:val="32"/>
        </w:rPr>
      </w:pPr>
      <w:r>
        <w:rPr>
          <w:rFonts w:hint="eastAsia" w:ascii="仿宋" w:hAnsi="仿宋" w:eastAsia="仿宋" w:cs="仿宋"/>
          <w:kern w:val="0"/>
          <w:sz w:val="30"/>
          <w:szCs w:val="30"/>
        </w:rPr>
        <w:t> </w:t>
      </w:r>
      <w:r>
        <w:rPr>
          <w:rFonts w:hint="eastAsia" w:ascii="仿宋" w:hAnsi="仿宋" w:eastAsia="仿宋" w:cs="楷体"/>
          <w:b/>
          <w:bCs/>
          <w:kern w:val="0"/>
          <w:sz w:val="32"/>
          <w:szCs w:val="32"/>
        </w:rPr>
        <w:t>人员编制和领导职数</w:t>
      </w:r>
    </w:p>
    <w:p>
      <w:pPr>
        <w:widowControl/>
        <w:spacing w:line="360" w:lineRule="auto"/>
        <w:ind w:firstLine="640" w:firstLineChars="200"/>
        <w:jc w:val="left"/>
        <w:rPr>
          <w:rFonts w:ascii="仿宋" w:hAnsi="仿宋" w:eastAsia="仿宋" w:cs="Times New Roman"/>
          <w:kern w:val="0"/>
          <w:sz w:val="32"/>
          <w:szCs w:val="32"/>
        </w:rPr>
      </w:pPr>
      <w:r>
        <w:rPr>
          <w:rFonts w:hint="eastAsia" w:ascii="仿宋" w:hAnsi="仿宋" w:eastAsia="仿宋" w:cs="仿宋"/>
          <w:kern w:val="0"/>
          <w:sz w:val="32"/>
          <w:szCs w:val="32"/>
        </w:rPr>
        <w:t>人员编制114名，其中领导职数7个。</w:t>
      </w:r>
    </w:p>
    <w:p>
      <w:pPr>
        <w:spacing w:line="360" w:lineRule="auto"/>
        <w:ind w:firstLine="643" w:firstLineChars="200"/>
        <w:jc w:val="left"/>
        <w:rPr>
          <w:rFonts w:ascii="楷体" w:hAnsi="楷体" w:eastAsia="楷体" w:cs="Times New Roman"/>
          <w:b/>
          <w:bCs/>
          <w:sz w:val="32"/>
          <w:szCs w:val="32"/>
        </w:rPr>
      </w:pPr>
      <w:r>
        <w:rPr>
          <w:rFonts w:ascii="楷体" w:hAnsi="楷体" w:eastAsia="楷体" w:cs="楷体"/>
          <w:b/>
          <w:bCs/>
          <w:sz w:val="32"/>
          <w:szCs w:val="32"/>
        </w:rPr>
        <w:t>2</w:t>
      </w:r>
      <w:r>
        <w:rPr>
          <w:rFonts w:hint="eastAsia" w:ascii="楷体" w:hAnsi="楷体" w:eastAsia="楷体" w:cs="楷体"/>
          <w:b/>
          <w:bCs/>
          <w:sz w:val="32"/>
          <w:szCs w:val="32"/>
        </w:rPr>
        <w:t>、机构设置：</w:t>
      </w:r>
    </w:p>
    <w:p>
      <w:pPr>
        <w:jc w:val="center"/>
        <w:outlineLvl w:val="0"/>
        <w:rPr>
          <w:rFonts w:ascii="仿宋_GB2312" w:hAnsi="Times New Roman" w:eastAsia="仿宋_GB2312" w:cs="Times New Roman"/>
          <w:sz w:val="32"/>
          <w:szCs w:val="32"/>
        </w:rPr>
      </w:pPr>
      <w:r>
        <w:rPr>
          <w:rFonts w:hint="eastAsia" w:ascii="仿宋_GB2312" w:hAnsi="Times New Roman" w:eastAsia="仿宋_GB2312" w:cs="仿宋_GB2312"/>
          <w:sz w:val="32"/>
          <w:szCs w:val="32"/>
        </w:rPr>
        <w:t>部门机构设置情况</w:t>
      </w:r>
    </w:p>
    <w:tbl>
      <w:tblPr>
        <w:tblStyle w:val="7"/>
        <w:tblW w:w="86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restart"/>
            <w:vAlign w:val="center"/>
          </w:tcPr>
          <w:p>
            <w:pPr>
              <w:spacing w:line="300" w:lineRule="exact"/>
              <w:jc w:val="center"/>
              <w:rPr>
                <w:rFonts w:ascii="仿宋_GB2312" w:hAnsi="Times New Roman" w:eastAsia="仿宋_GB2312" w:cs="Times New Roman"/>
              </w:rPr>
            </w:pPr>
            <w:r>
              <w:rPr>
                <w:rFonts w:hint="eastAsia" w:ascii="仿宋_GB2312" w:hAnsi="Times New Roman" w:eastAsia="仿宋_GB2312" w:cs="仿宋_GB2312"/>
              </w:rPr>
              <w:t>单位名称</w:t>
            </w:r>
          </w:p>
        </w:tc>
        <w:tc>
          <w:tcPr>
            <w:tcW w:w="1134" w:type="dxa"/>
            <w:vMerge w:val="restart"/>
            <w:vAlign w:val="center"/>
          </w:tcPr>
          <w:p>
            <w:pPr>
              <w:spacing w:line="300" w:lineRule="exact"/>
              <w:jc w:val="center"/>
              <w:rPr>
                <w:rFonts w:ascii="仿宋_GB2312" w:hAnsi="Times New Roman" w:eastAsia="仿宋_GB2312" w:cs="Times New Roman"/>
              </w:rPr>
            </w:pPr>
            <w:r>
              <w:rPr>
                <w:rFonts w:hint="eastAsia" w:ascii="仿宋_GB2312" w:hAnsi="Times New Roman" w:eastAsia="仿宋_GB2312" w:cs="仿宋_GB2312"/>
              </w:rPr>
              <w:t>单位性质</w:t>
            </w:r>
          </w:p>
        </w:tc>
        <w:tc>
          <w:tcPr>
            <w:tcW w:w="1276" w:type="dxa"/>
            <w:vMerge w:val="restart"/>
            <w:vAlign w:val="center"/>
          </w:tcPr>
          <w:p>
            <w:pPr>
              <w:spacing w:line="300" w:lineRule="exact"/>
              <w:jc w:val="center"/>
              <w:rPr>
                <w:rFonts w:ascii="仿宋_GB2312" w:hAnsi="Times New Roman" w:eastAsia="仿宋_GB2312" w:cs="Times New Roman"/>
              </w:rPr>
            </w:pPr>
            <w:r>
              <w:rPr>
                <w:rFonts w:hint="eastAsia" w:ascii="仿宋_GB2312" w:hAnsi="Times New Roman" w:eastAsia="仿宋_GB2312" w:cs="仿宋_GB2312"/>
              </w:rPr>
              <w:t>单位规格</w:t>
            </w:r>
          </w:p>
        </w:tc>
        <w:tc>
          <w:tcPr>
            <w:tcW w:w="2902" w:type="dxa"/>
            <w:vMerge w:val="restart"/>
            <w:vAlign w:val="center"/>
          </w:tcPr>
          <w:p>
            <w:pPr>
              <w:spacing w:line="300" w:lineRule="exact"/>
              <w:jc w:val="center"/>
              <w:rPr>
                <w:rFonts w:ascii="仿宋_GB2312" w:hAnsi="Times New Roman" w:eastAsia="仿宋_GB2312" w:cs="Times New Roman"/>
              </w:rPr>
            </w:pPr>
            <w:r>
              <w:rPr>
                <w:rFonts w:hint="eastAsia" w:ascii="仿宋_GB2312" w:hAnsi="Times New Roman" w:eastAsia="仿宋_GB2312" w:cs="仿宋_GB231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continue"/>
            <w:vAlign w:val="center"/>
          </w:tcPr>
          <w:p>
            <w:pPr>
              <w:spacing w:line="300" w:lineRule="exact"/>
              <w:jc w:val="left"/>
              <w:outlineLvl w:val="0"/>
              <w:rPr>
                <w:rFonts w:ascii="仿宋_GB2312" w:hAnsi="Times New Roman" w:eastAsia="仿宋_GB2312" w:cs="Times New Roman"/>
              </w:rPr>
            </w:pPr>
          </w:p>
        </w:tc>
        <w:tc>
          <w:tcPr>
            <w:tcW w:w="1134" w:type="dxa"/>
            <w:vMerge w:val="continue"/>
            <w:vAlign w:val="center"/>
          </w:tcPr>
          <w:p>
            <w:pPr>
              <w:spacing w:line="300" w:lineRule="exact"/>
              <w:jc w:val="left"/>
              <w:outlineLvl w:val="0"/>
              <w:rPr>
                <w:rFonts w:ascii="仿宋_GB2312" w:hAnsi="Times New Roman" w:eastAsia="仿宋_GB2312" w:cs="Times New Roman"/>
              </w:rPr>
            </w:pPr>
          </w:p>
        </w:tc>
        <w:tc>
          <w:tcPr>
            <w:tcW w:w="1276" w:type="dxa"/>
            <w:vMerge w:val="continue"/>
            <w:vAlign w:val="center"/>
          </w:tcPr>
          <w:p>
            <w:pPr>
              <w:spacing w:line="300" w:lineRule="exact"/>
              <w:jc w:val="left"/>
              <w:outlineLvl w:val="0"/>
              <w:rPr>
                <w:rFonts w:ascii="仿宋_GB2312" w:hAnsi="Times New Roman" w:eastAsia="仿宋_GB2312" w:cs="Times New Roman"/>
              </w:rPr>
            </w:pPr>
          </w:p>
        </w:tc>
        <w:tc>
          <w:tcPr>
            <w:tcW w:w="2902" w:type="dxa"/>
            <w:vMerge w:val="continue"/>
            <w:vAlign w:val="center"/>
          </w:tcPr>
          <w:p>
            <w:pPr>
              <w:spacing w:line="300" w:lineRule="exact"/>
              <w:jc w:val="left"/>
              <w:outlineLvl w:val="0"/>
              <w:rPr>
                <w:rFonts w:ascii="仿宋_GB2312"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6" w:hRule="atLeast"/>
          <w:jc w:val="center"/>
        </w:trPr>
        <w:tc>
          <w:tcPr>
            <w:tcW w:w="3317" w:type="dxa"/>
            <w:vAlign w:val="center"/>
          </w:tcPr>
          <w:p>
            <w:pPr>
              <w:spacing w:line="300" w:lineRule="exact"/>
              <w:jc w:val="center"/>
              <w:rPr>
                <w:rFonts w:ascii="仿宋_GB2312" w:hAnsi="Times New Roman" w:eastAsia="仿宋_GB2312" w:cs="Times New Roman"/>
              </w:rPr>
            </w:pPr>
            <w:r>
              <w:rPr>
                <w:rFonts w:hint="eastAsia" w:ascii="仿宋_GB2312" w:hAnsi="Times New Roman" w:eastAsia="仿宋_GB2312" w:cs="仿宋_GB2312"/>
              </w:rPr>
              <w:t>成安县水利局机关</w:t>
            </w:r>
          </w:p>
        </w:tc>
        <w:tc>
          <w:tcPr>
            <w:tcW w:w="1134" w:type="dxa"/>
            <w:vAlign w:val="center"/>
          </w:tcPr>
          <w:p>
            <w:pPr>
              <w:spacing w:line="300" w:lineRule="exact"/>
              <w:jc w:val="center"/>
              <w:rPr>
                <w:rFonts w:ascii="仿宋_GB2312" w:hAnsi="Times New Roman" w:eastAsia="仿宋_GB2312" w:cs="Times New Roman"/>
              </w:rPr>
            </w:pPr>
            <w:r>
              <w:rPr>
                <w:rFonts w:hint="eastAsia" w:ascii="仿宋_GB2312" w:hAnsi="Times New Roman" w:eastAsia="仿宋_GB2312" w:cs="仿宋_GB2312"/>
              </w:rPr>
              <w:t>行政</w:t>
            </w:r>
          </w:p>
        </w:tc>
        <w:tc>
          <w:tcPr>
            <w:tcW w:w="1276" w:type="dxa"/>
            <w:vAlign w:val="center"/>
          </w:tcPr>
          <w:p>
            <w:pPr>
              <w:spacing w:line="300" w:lineRule="exact"/>
              <w:jc w:val="center"/>
              <w:rPr>
                <w:rFonts w:ascii="仿宋_GB2312" w:hAnsi="Times New Roman" w:eastAsia="仿宋_GB2312" w:cs="Times New Roman"/>
              </w:rPr>
            </w:pPr>
            <w:r>
              <w:rPr>
                <w:rFonts w:hint="eastAsia" w:ascii="仿宋_GB2312" w:hAnsi="Times New Roman" w:eastAsia="仿宋_GB2312" w:cs="仿宋_GB2312"/>
              </w:rPr>
              <w:t>正科级</w:t>
            </w:r>
          </w:p>
        </w:tc>
        <w:tc>
          <w:tcPr>
            <w:tcW w:w="2902" w:type="dxa"/>
            <w:vAlign w:val="center"/>
          </w:tcPr>
          <w:p>
            <w:pPr>
              <w:spacing w:line="300" w:lineRule="exact"/>
              <w:jc w:val="center"/>
              <w:rPr>
                <w:rFonts w:ascii="仿宋_GB2312" w:hAnsi="Times New Roman" w:eastAsia="仿宋_GB2312" w:cs="Times New Roman"/>
              </w:rPr>
            </w:pPr>
            <w:r>
              <w:rPr>
                <w:rFonts w:hint="eastAsia" w:ascii="仿宋_GB2312" w:hAnsi="Times New Roman" w:eastAsia="仿宋_GB2312" w:cs="仿宋_GB2312"/>
              </w:rPr>
              <w:t>财政拨款</w:t>
            </w:r>
          </w:p>
        </w:tc>
      </w:tr>
    </w:tbl>
    <w:p>
      <w:pPr>
        <w:spacing w:line="560" w:lineRule="exact"/>
        <w:ind w:firstLine="640"/>
        <w:rPr>
          <w:rFonts w:ascii="黑体" w:hAnsi="黑体" w:eastAsia="黑体" w:cs="黑体"/>
          <w:sz w:val="32"/>
          <w:szCs w:val="32"/>
        </w:rPr>
      </w:pPr>
    </w:p>
    <w:p>
      <w:pPr>
        <w:spacing w:line="560" w:lineRule="exact"/>
        <w:ind w:firstLine="640"/>
        <w:rPr>
          <w:rFonts w:ascii="黑体" w:hAnsi="黑体" w:eastAsia="黑体" w:cs="Times New Roman"/>
          <w:sz w:val="32"/>
          <w:szCs w:val="32"/>
        </w:rPr>
      </w:pPr>
      <w:r>
        <w:rPr>
          <w:rFonts w:hint="eastAsia" w:ascii="黑体" w:hAnsi="黑体" w:eastAsia="黑体" w:cs="黑体"/>
          <w:sz w:val="32"/>
          <w:szCs w:val="32"/>
        </w:rPr>
        <w:t>二、部门预算安排的总体情况</w:t>
      </w:r>
    </w:p>
    <w:p>
      <w:pPr>
        <w:spacing w:line="560" w:lineRule="exact"/>
        <w:ind w:firstLine="640"/>
        <w:rPr>
          <w:rFonts w:ascii="仿宋" w:hAnsi="仿宋" w:eastAsia="仿宋" w:cs="Times New Roman"/>
          <w:sz w:val="32"/>
          <w:szCs w:val="32"/>
        </w:rPr>
      </w:pPr>
      <w:r>
        <w:rPr>
          <w:rFonts w:hint="eastAsia" w:ascii="仿宋" w:hAnsi="仿宋" w:eastAsia="仿宋" w:cs="仿宋_GB2312"/>
          <w:sz w:val="32"/>
          <w:szCs w:val="32"/>
        </w:rPr>
        <w:t>按照预算管理有关规定，目前我部门预算的编制实行综合预算制度，即全部收入和支出都反映在预算中。</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2021年预算收入3019.2万元，其中：一般公共预算拨款收入3019.2万元，政府性基金收入</w:t>
      </w:r>
      <w:r>
        <w:rPr>
          <w:rFonts w:ascii="仿宋" w:hAnsi="仿宋" w:eastAsia="仿宋" w:cs="仿宋_GB2312"/>
          <w:sz w:val="32"/>
          <w:szCs w:val="32"/>
        </w:rPr>
        <w:t>0</w:t>
      </w:r>
      <w:r>
        <w:rPr>
          <w:rFonts w:hint="eastAsia" w:ascii="仿宋" w:hAnsi="仿宋" w:eastAsia="仿宋" w:cs="仿宋_GB2312"/>
          <w:sz w:val="32"/>
          <w:szCs w:val="32"/>
        </w:rPr>
        <w:t>万元,国有资本经营收入0万元，</w:t>
      </w:r>
      <w:r>
        <w:rPr>
          <w:rFonts w:hint="eastAsia" w:ascii="仿宋" w:hAnsi="仿宋" w:eastAsia="仿宋" w:cs="方正仿宋_GBK"/>
          <w:sz w:val="32"/>
          <w:szCs w:val="32"/>
        </w:rPr>
        <w:t>事业收入0万元，其他收入0万元。</w:t>
      </w:r>
    </w:p>
    <w:p>
      <w:pPr>
        <w:spacing w:line="560" w:lineRule="exact"/>
        <w:ind w:firstLine="640"/>
        <w:rPr>
          <w:rFonts w:ascii="楷体" w:hAnsi="楷体" w:eastAsia="楷体" w:cs="楷体"/>
          <w:b/>
          <w:bCs/>
          <w:sz w:val="32"/>
          <w:szCs w:val="32"/>
        </w:rPr>
      </w:pPr>
      <w:r>
        <w:rPr>
          <w:rFonts w:ascii="楷体" w:hAnsi="楷体" w:eastAsia="楷体" w:cs="楷体"/>
          <w:b/>
          <w:bCs/>
          <w:sz w:val="32"/>
          <w:szCs w:val="32"/>
        </w:rPr>
        <w:t>2</w:t>
      </w:r>
      <w:r>
        <w:rPr>
          <w:rFonts w:hint="eastAsia" w:ascii="楷体" w:hAnsi="楷体" w:eastAsia="楷体" w:cs="楷体"/>
          <w:b/>
          <w:bCs/>
          <w:sz w:val="32"/>
          <w:szCs w:val="32"/>
        </w:rPr>
        <w:t>、支出说明</w:t>
      </w:r>
    </w:p>
    <w:p>
      <w:pPr>
        <w:spacing w:line="560" w:lineRule="exact"/>
        <w:ind w:firstLine="640"/>
        <w:rPr>
          <w:rFonts w:ascii="仿宋" w:hAnsi="仿宋" w:eastAsia="仿宋" w:cs="仿宋_GB2312"/>
          <w:sz w:val="32"/>
          <w:szCs w:val="32"/>
        </w:rPr>
      </w:pPr>
      <w:r>
        <w:rPr>
          <w:rFonts w:hint="eastAsia" w:ascii="仿宋" w:hAnsi="仿宋" w:eastAsia="仿宋" w:cs="仿宋_GB2312"/>
          <w:sz w:val="32"/>
          <w:szCs w:val="32"/>
        </w:rPr>
        <w:t>2021年支出预算3019.2万元，其中基本支出2844.59万元，包括人员经费1162.39万元和日常公用经费1682.2万元；项目支出174.61万元，主要为水利行业业务管理支出、水利工程运行与维护支出、水资源节约管理与保护支出、其他水利支出等。</w:t>
      </w:r>
    </w:p>
    <w:p>
      <w:pPr>
        <w:spacing w:line="560" w:lineRule="exact"/>
        <w:ind w:firstLine="640"/>
        <w:rPr>
          <w:rFonts w:ascii="楷体" w:hAnsi="楷体" w:eastAsia="楷体" w:cs="楷体"/>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spacing w:line="560" w:lineRule="exact"/>
        <w:ind w:firstLine="640"/>
        <w:rPr>
          <w:rFonts w:ascii="仿宋" w:hAnsi="仿宋" w:eastAsia="仿宋" w:cs="仿宋_GB2312"/>
          <w:sz w:val="32"/>
          <w:szCs w:val="32"/>
        </w:rPr>
      </w:pPr>
      <w:r>
        <w:rPr>
          <w:rFonts w:hint="eastAsia" w:ascii="仿宋" w:hAnsi="仿宋" w:eastAsia="仿宋" w:cs="仿宋_GB2312"/>
          <w:sz w:val="32"/>
          <w:szCs w:val="32"/>
        </w:rPr>
        <w:t>2021年预算收支安排3019.2万元，较2020年预算减少186.55万元，其中：基本支出增加1033.1万元，积极贯彻落实新</w:t>
      </w:r>
      <w:r>
        <w:rPr>
          <w:rFonts w:hint="eastAsia" w:ascii="仿宋" w:hAnsi="仿宋" w:eastAsia="仿宋" w:cs="仿宋_GB2312"/>
          <w:sz w:val="32"/>
          <w:szCs w:val="32"/>
          <w:lang w:eastAsia="zh-CN"/>
        </w:rPr>
        <w:t>《中华人民共和国预算法》</w:t>
      </w:r>
      <w:r>
        <w:rPr>
          <w:rFonts w:hint="eastAsia" w:ascii="仿宋" w:hAnsi="仿宋" w:eastAsia="仿宋" w:cs="仿宋_GB2312"/>
          <w:sz w:val="32"/>
          <w:szCs w:val="32"/>
        </w:rPr>
        <w:t>，按照讲求绩效的原则，将水费收入列入年度预算；项目支出减少1219.65万元，原因是水利工程建设项目减少。</w:t>
      </w:r>
    </w:p>
    <w:p>
      <w:pPr>
        <w:spacing w:line="560" w:lineRule="exact"/>
        <w:ind w:firstLine="640"/>
        <w:rPr>
          <w:rFonts w:ascii="黑体" w:hAnsi="黑体" w:eastAsia="黑体" w:cs="仿宋_GB2312"/>
          <w:sz w:val="32"/>
          <w:szCs w:val="32"/>
        </w:rPr>
      </w:pPr>
      <w:r>
        <w:rPr>
          <w:rFonts w:hint="eastAsia" w:ascii="黑体" w:hAnsi="黑体" w:eastAsia="黑体" w:cs="仿宋_GB2312"/>
          <w:sz w:val="32"/>
          <w:szCs w:val="32"/>
        </w:rPr>
        <w:t>三、机关运行经费安排情况</w:t>
      </w:r>
    </w:p>
    <w:p>
      <w:pPr>
        <w:spacing w:line="560" w:lineRule="exact"/>
        <w:ind w:firstLine="640"/>
        <w:rPr>
          <w:rFonts w:ascii="仿宋" w:hAnsi="仿宋" w:eastAsia="仿宋" w:cs="仿宋_GB2312"/>
          <w:sz w:val="32"/>
          <w:szCs w:val="32"/>
        </w:rPr>
      </w:pPr>
      <w:r>
        <w:rPr>
          <w:rFonts w:hint="eastAsia" w:ascii="仿宋" w:hAnsi="仿宋" w:eastAsia="仿宋" w:cs="仿宋_GB2312"/>
          <w:sz w:val="32"/>
          <w:szCs w:val="32"/>
        </w:rPr>
        <w:t>机关公用经费安排1682.2万元（其中：水费收入1552万元），其中机关运行经费安排12.2万元，主要用于办公费、差旅费、交通费、会议费、招待费、其他支出等。</w:t>
      </w:r>
    </w:p>
    <w:p>
      <w:pPr>
        <w:spacing w:line="560" w:lineRule="exact"/>
        <w:ind w:firstLine="640"/>
        <w:rPr>
          <w:rFonts w:ascii="黑体" w:hAnsi="黑体" w:eastAsia="黑体" w:cs="仿宋_GB2312"/>
          <w:sz w:val="32"/>
          <w:szCs w:val="32"/>
        </w:rPr>
      </w:pPr>
      <w:r>
        <w:rPr>
          <w:rFonts w:hint="eastAsia" w:ascii="黑体" w:hAnsi="黑体" w:eastAsia="黑体" w:cs="仿宋_GB2312"/>
          <w:sz w:val="32"/>
          <w:szCs w:val="32"/>
        </w:rPr>
        <w:t>四、财政拨款“三公”经费预算情况及增减变化原因</w:t>
      </w:r>
    </w:p>
    <w:p>
      <w:pPr>
        <w:spacing w:line="560" w:lineRule="exact"/>
        <w:ind w:firstLine="640"/>
        <w:rPr>
          <w:rFonts w:ascii="仿宋" w:hAnsi="仿宋" w:eastAsia="仿宋" w:cs="仿宋_GB2312"/>
          <w:sz w:val="32"/>
          <w:szCs w:val="32"/>
        </w:rPr>
      </w:pPr>
      <w:r>
        <w:rPr>
          <w:rFonts w:hint="eastAsia" w:ascii="仿宋" w:hAnsi="仿宋" w:eastAsia="仿宋" w:cs="仿宋_GB2312"/>
          <w:sz w:val="32"/>
          <w:szCs w:val="32"/>
        </w:rPr>
        <w:t>2021年，我单位“三公”经费预算安排0万元，其中因公出国（境）费</w:t>
      </w:r>
      <w:r>
        <w:rPr>
          <w:rFonts w:ascii="仿宋" w:hAnsi="仿宋" w:eastAsia="仿宋" w:cs="仿宋_GB2312"/>
          <w:sz w:val="32"/>
          <w:szCs w:val="32"/>
        </w:rPr>
        <w:t>0</w:t>
      </w:r>
      <w:r>
        <w:rPr>
          <w:rFonts w:hint="eastAsia" w:ascii="仿宋" w:hAnsi="仿宋" w:eastAsia="仿宋" w:cs="仿宋_GB2312"/>
          <w:sz w:val="32"/>
          <w:szCs w:val="32"/>
        </w:rPr>
        <w:t>万元；公务用车购置及运维护费0万元。；公务接待费</w:t>
      </w:r>
      <w:r>
        <w:rPr>
          <w:rFonts w:ascii="仿宋" w:hAnsi="仿宋" w:eastAsia="仿宋" w:cs="仿宋_GB2312"/>
          <w:sz w:val="32"/>
          <w:szCs w:val="32"/>
        </w:rPr>
        <w:t>0</w:t>
      </w:r>
      <w:r>
        <w:rPr>
          <w:rFonts w:hint="eastAsia" w:ascii="仿宋" w:hAnsi="仿宋" w:eastAsia="仿宋" w:cs="仿宋_GB2312"/>
          <w:sz w:val="32"/>
          <w:szCs w:val="32"/>
        </w:rPr>
        <w:t>万元。其中因公出国（境）费与2020年比较,相持平; 公务用车购置及运维护费与2020年比较;减少1.4万元，主要原因公务用车已经报废; 公务接待费与2020年比较,相持平。</w:t>
      </w:r>
    </w:p>
    <w:p>
      <w:pPr>
        <w:widowControl/>
        <w:numPr>
          <w:ilvl w:val="0"/>
          <w:numId w:val="1"/>
        </w:numPr>
        <w:spacing w:line="360" w:lineRule="auto"/>
        <w:ind w:firstLine="627"/>
        <w:jc w:val="left"/>
        <w:rPr>
          <w:rFonts w:ascii="黑体" w:eastAsia="黑体"/>
          <w:bCs/>
          <w:kern w:val="0"/>
          <w:sz w:val="32"/>
          <w:szCs w:val="32"/>
        </w:rPr>
      </w:pPr>
      <w:bookmarkStart w:id="0" w:name="_Toc471398463"/>
      <w:r>
        <w:rPr>
          <w:rFonts w:hint="eastAsia" w:ascii="黑体" w:hAnsi="黑体" w:eastAsia="黑体"/>
          <w:bCs/>
          <w:kern w:val="0"/>
          <w:sz w:val="32"/>
          <w:szCs w:val="32"/>
        </w:rPr>
        <w:t>绩效预算信息情况</w:t>
      </w:r>
    </w:p>
    <w:p>
      <w:pPr>
        <w:ind w:left="-12" w:firstLine="640" w:firstLineChars="200"/>
        <w:jc w:val="left"/>
        <w:rPr>
          <w:rFonts w:hint="eastAsia" w:ascii="楷体_GB2312" w:hAnsi="楷体_GB2312"/>
          <w:b/>
          <w:sz w:val="32"/>
          <w:szCs w:val="32"/>
        </w:rPr>
      </w:pPr>
      <w:r>
        <w:rPr>
          <w:rFonts w:hint="eastAsia" w:ascii="楷体_GB2312" w:hAnsi="楷体_GB2312"/>
          <w:b/>
          <w:sz w:val="32"/>
          <w:szCs w:val="32"/>
        </w:rPr>
        <w:t>（一）</w:t>
      </w:r>
      <w:r>
        <w:rPr>
          <w:rFonts w:ascii="楷体_GB2312" w:hAnsi="楷体_GB2312"/>
          <w:b/>
          <w:sz w:val="32"/>
          <w:szCs w:val="32"/>
        </w:rPr>
        <w:t>总体绩效目标：</w:t>
      </w:r>
    </w:p>
    <w:p>
      <w:pPr>
        <w:pStyle w:val="6"/>
        <w:ind w:left="0" w:leftChars="0" w:firstLine="640"/>
        <w:rPr>
          <w:rFonts w:ascii="仿宋" w:hAnsi="仿宋" w:eastAsia="仿宋"/>
          <w:sz w:val="32"/>
          <w:szCs w:val="32"/>
        </w:rPr>
      </w:pPr>
      <w:r>
        <w:rPr>
          <w:rFonts w:hint="eastAsia" w:ascii="仿宋" w:hAnsi="仿宋" w:eastAsia="仿宋"/>
          <w:sz w:val="32"/>
          <w:szCs w:val="32"/>
        </w:rPr>
        <w:t>完善水利基础设施体系，提升城市和骨干行洪河道防洪能力，加快进度完成防洪规划的编制工作。推进南水北调受水区农村生活水源置换、地下水超采综合治理项目建设。加强长江水、引滏入成等引水调水工作，完成471.8万立方米江水消纳任务。严格落实河、湖长制，持续开展河道清“四乱”。治理水土流失面积3.97平方公里；全面加强水资源管理；完善应急管理体系，推进蓄滞洪区安全建设。保障防洪、供水、生态安全。</w:t>
      </w:r>
    </w:p>
    <w:p>
      <w:pPr>
        <w:ind w:firstLine="642"/>
        <w:jc w:val="left"/>
        <w:rPr>
          <w:rFonts w:hint="eastAsia" w:ascii="楷体_GB2312" w:hAnsi="楷体_GB2312"/>
          <w:b/>
          <w:sz w:val="32"/>
          <w:szCs w:val="32"/>
        </w:rPr>
      </w:pPr>
      <w:r>
        <w:rPr>
          <w:rFonts w:ascii="楷体_GB2312" w:hAnsi="楷体_GB2312"/>
          <w:b/>
          <w:sz w:val="32"/>
          <w:szCs w:val="32"/>
        </w:rPr>
        <w:t>（二）分项绩效目标：</w:t>
      </w:r>
    </w:p>
    <w:p>
      <w:pPr>
        <w:spacing w:line="600" w:lineRule="exact"/>
        <w:ind w:firstLine="640" w:firstLineChars="200"/>
        <w:rPr>
          <w:rFonts w:ascii="仿宋_GB2312" w:hAnsi="仿宋_GB2312"/>
          <w:b/>
          <w:bCs/>
          <w:sz w:val="32"/>
          <w:szCs w:val="32"/>
          <w:shd w:val="clear" w:color="auto" w:fill="FFFFFF"/>
        </w:rPr>
      </w:pPr>
      <w:r>
        <w:rPr>
          <w:rFonts w:ascii="仿宋_GB2312" w:hAnsi="仿宋_GB2312"/>
          <w:b/>
          <w:bCs/>
          <w:sz w:val="32"/>
          <w:szCs w:val="32"/>
          <w:shd w:val="clear" w:color="auto" w:fill="FFFFFF"/>
        </w:rPr>
        <w:t>1.推进农村生活水源江水置换。</w:t>
      </w:r>
    </w:p>
    <w:p>
      <w:pPr>
        <w:autoSpaceDE w:val="0"/>
        <w:snapToGrid w:val="0"/>
        <w:spacing w:line="560" w:lineRule="atLeast"/>
        <w:ind w:firstLine="640" w:firstLineChars="200"/>
        <w:rPr>
          <w:rFonts w:ascii="仿宋_GB2312" w:hAnsi="仿宋_GB2312"/>
          <w:sz w:val="32"/>
          <w:szCs w:val="32"/>
        </w:rPr>
      </w:pPr>
      <w:r>
        <w:rPr>
          <w:rFonts w:ascii="仿宋_GB2312" w:hAnsi="仿宋_GB2312"/>
          <w:b/>
          <w:bCs/>
          <w:sz w:val="32"/>
          <w:szCs w:val="32"/>
        </w:rPr>
        <w:t>绩效目标：</w:t>
      </w:r>
      <w:r>
        <w:rPr>
          <w:rFonts w:hint="eastAsia" w:ascii="仿宋" w:hAnsi="仿宋" w:eastAsia="仿宋" w:cs="仿宋"/>
          <w:sz w:val="32"/>
          <w:szCs w:val="32"/>
        </w:rPr>
        <w:t>为早日让具备置换条件村庄的群众吃上江水，加快推进项目实施。同时按照县委县政府工作部署，加大推进力度，确保2022年底实现受水区群众江水置换全覆盖目标。</w:t>
      </w:r>
    </w:p>
    <w:p>
      <w:pPr>
        <w:spacing w:line="560" w:lineRule="exact"/>
        <w:ind w:firstLine="640" w:firstLineChars="200"/>
        <w:rPr>
          <w:rFonts w:ascii="仿宋" w:hAnsi="仿宋" w:eastAsia="仿宋" w:cs="仿宋"/>
          <w:sz w:val="32"/>
          <w:szCs w:val="32"/>
        </w:rPr>
      </w:pPr>
      <w:r>
        <w:rPr>
          <w:rFonts w:ascii="仿宋_GB2312" w:hAnsi="仿宋_GB2312"/>
          <w:b/>
          <w:bCs/>
          <w:sz w:val="32"/>
          <w:szCs w:val="32"/>
        </w:rPr>
        <w:t>绩效指标：</w:t>
      </w:r>
      <w:r>
        <w:rPr>
          <w:rFonts w:hint="eastAsia" w:ascii="仿宋" w:hAnsi="仿宋" w:eastAsia="仿宋" w:cs="仿宋"/>
          <w:sz w:val="32"/>
          <w:szCs w:val="32"/>
        </w:rPr>
        <w:t>成安县2021年南水北调受水区农村生活水源置换项目，按照县委县政府工作部署，加大推进力度，加快推进项目实施，年底完成投资的100%。</w:t>
      </w:r>
    </w:p>
    <w:p>
      <w:pPr>
        <w:spacing w:line="560" w:lineRule="exact"/>
        <w:ind w:firstLine="640" w:firstLineChars="200"/>
        <w:rPr>
          <w:rFonts w:ascii="仿宋_GB2312" w:hAnsi="仿宋_GB2312"/>
          <w:b/>
          <w:bCs/>
          <w:sz w:val="32"/>
          <w:szCs w:val="32"/>
          <w:shd w:val="clear" w:color="auto" w:fill="FFFFFF"/>
        </w:rPr>
      </w:pPr>
      <w:r>
        <w:rPr>
          <w:rFonts w:hint="eastAsia" w:ascii="仿宋_GB2312" w:hAnsi="仿宋_GB2312"/>
          <w:sz w:val="32"/>
          <w:szCs w:val="32"/>
        </w:rPr>
        <w:t>2</w:t>
      </w:r>
      <w:r>
        <w:rPr>
          <w:rFonts w:ascii="仿宋_GB2312" w:hAnsi="仿宋_GB2312"/>
          <w:sz w:val="32"/>
          <w:szCs w:val="32"/>
        </w:rPr>
        <w:t>.</w:t>
      </w:r>
      <w:r>
        <w:rPr>
          <w:rFonts w:ascii="仿宋_GB2312" w:hAnsi="仿宋_GB2312"/>
          <w:b/>
          <w:bCs/>
          <w:sz w:val="32"/>
          <w:szCs w:val="32"/>
          <w:shd w:val="clear" w:color="auto" w:fill="FFFFFF"/>
        </w:rPr>
        <w:t>加快骨干防洪工程建设</w:t>
      </w:r>
    </w:p>
    <w:p>
      <w:pPr>
        <w:spacing w:line="560" w:lineRule="exact"/>
        <w:ind w:firstLine="640" w:firstLineChars="200"/>
        <w:jc w:val="left"/>
        <w:rPr>
          <w:rFonts w:ascii="仿宋" w:hAnsi="仿宋" w:eastAsia="仿宋" w:cs="仿宋"/>
          <w:sz w:val="32"/>
          <w:szCs w:val="32"/>
        </w:rPr>
      </w:pPr>
      <w:r>
        <w:rPr>
          <w:rFonts w:ascii="仿宋_GB2312" w:hAnsi="仿宋_GB2312"/>
          <w:b/>
          <w:bCs/>
          <w:sz w:val="32"/>
          <w:szCs w:val="32"/>
        </w:rPr>
        <w:t>绩效目标：</w:t>
      </w:r>
      <w:r>
        <w:rPr>
          <w:rFonts w:hint="eastAsia" w:ascii="仿宋" w:hAnsi="仿宋" w:eastAsia="仿宋" w:cs="仿宋"/>
          <w:sz w:val="32"/>
          <w:szCs w:val="32"/>
        </w:rPr>
        <w:t>进一步完善团结东干渠和团结西干渠防洪体系建设，加快进度完成防洪规划的编制工作。</w:t>
      </w:r>
    </w:p>
    <w:p>
      <w:pPr>
        <w:spacing w:line="560" w:lineRule="exact"/>
        <w:ind w:firstLine="640" w:firstLineChars="200"/>
        <w:rPr>
          <w:rFonts w:ascii="仿宋" w:hAnsi="仿宋" w:eastAsia="仿宋" w:cs="仿宋"/>
          <w:b/>
          <w:bCs/>
          <w:sz w:val="32"/>
          <w:szCs w:val="32"/>
          <w:shd w:val="clear" w:color="auto" w:fill="FFFFFF"/>
        </w:rPr>
      </w:pPr>
      <w:r>
        <w:rPr>
          <w:rFonts w:ascii="仿宋_GB2312" w:hAnsi="仿宋_GB2312"/>
          <w:b/>
          <w:bCs/>
          <w:sz w:val="32"/>
          <w:szCs w:val="32"/>
        </w:rPr>
        <w:t>绩效指标：</w:t>
      </w:r>
      <w:r>
        <w:rPr>
          <w:rFonts w:hint="eastAsia" w:ascii="仿宋" w:hAnsi="仿宋" w:eastAsia="仿宋" w:cs="仿宋"/>
          <w:sz w:val="32"/>
          <w:szCs w:val="32"/>
        </w:rPr>
        <w:t>完成全县防洪规划的编制工作。</w:t>
      </w:r>
    </w:p>
    <w:p>
      <w:pPr>
        <w:spacing w:line="560" w:lineRule="exact"/>
        <w:ind w:firstLine="640" w:firstLineChars="200"/>
        <w:jc w:val="left"/>
        <w:rPr>
          <w:rFonts w:ascii="仿宋_GB2312" w:hAnsi="仿宋_GB2312"/>
          <w:b/>
          <w:bCs/>
          <w:sz w:val="32"/>
          <w:szCs w:val="32"/>
          <w:shd w:val="clear" w:color="auto" w:fill="FFFFFF"/>
        </w:rPr>
      </w:pPr>
      <w:r>
        <w:rPr>
          <w:rFonts w:hint="eastAsia" w:ascii="仿宋_GB2312" w:hAnsi="仿宋_GB2312"/>
          <w:b/>
          <w:bCs/>
          <w:sz w:val="32"/>
          <w:szCs w:val="32"/>
          <w:shd w:val="clear" w:color="auto" w:fill="FFFFFF"/>
        </w:rPr>
        <w:t>3</w:t>
      </w:r>
      <w:r>
        <w:rPr>
          <w:rFonts w:ascii="仿宋_GB2312" w:hAnsi="仿宋_GB2312"/>
          <w:b/>
          <w:bCs/>
          <w:sz w:val="32"/>
          <w:szCs w:val="32"/>
          <w:shd w:val="clear" w:color="auto" w:fill="FFFFFF"/>
        </w:rPr>
        <w:t>.持续做好地下水超采综合治理。</w:t>
      </w:r>
    </w:p>
    <w:p>
      <w:pPr>
        <w:ind w:firstLine="640" w:firstLineChars="200"/>
        <w:rPr>
          <w:rFonts w:ascii="仿宋_GB2312" w:hAnsi="仿宋_GB2312"/>
          <w:sz w:val="32"/>
          <w:szCs w:val="32"/>
          <w:shd w:val="clear" w:color="auto" w:fill="FFFFFF"/>
        </w:rPr>
      </w:pPr>
      <w:r>
        <w:rPr>
          <w:rFonts w:ascii="仿宋_GB2312" w:hAnsi="仿宋_GB2312"/>
          <w:b/>
          <w:bCs/>
          <w:sz w:val="32"/>
          <w:szCs w:val="32"/>
          <w:shd w:val="clear" w:color="auto" w:fill="FFFFFF"/>
        </w:rPr>
        <w:t>绩效目标：</w:t>
      </w:r>
      <w:r>
        <w:rPr>
          <w:rFonts w:hint="eastAsia" w:ascii="仿宋" w:hAnsi="仿宋" w:eastAsia="仿宋" w:cs="仿宋"/>
          <w:sz w:val="32"/>
          <w:szCs w:val="32"/>
          <w:shd w:val="clear" w:color="auto" w:fill="FFFFFF"/>
        </w:rPr>
        <w:t>根据《河北省深入开展地下水超采综合治理工作方案》（冀水超采治理办[2020]4号）要求，在前期治理基础上，进一步摸清底数、压实责任、强化举措、全力推进地下水超采综合治理。</w:t>
      </w:r>
    </w:p>
    <w:p>
      <w:pPr>
        <w:ind w:firstLine="640" w:firstLineChars="200"/>
        <w:rPr>
          <w:rFonts w:ascii="仿宋" w:hAnsi="仿宋" w:eastAsia="仿宋" w:cs="仿宋"/>
          <w:sz w:val="32"/>
          <w:szCs w:val="32"/>
          <w:shd w:val="clear" w:color="auto" w:fill="FFFFFF"/>
        </w:rPr>
      </w:pPr>
      <w:r>
        <w:rPr>
          <w:rFonts w:ascii="仿宋_GB2312" w:hAnsi="仿宋_GB2312"/>
          <w:b/>
          <w:bCs/>
          <w:sz w:val="32"/>
          <w:szCs w:val="32"/>
          <w:shd w:val="clear" w:color="auto" w:fill="FFFFFF"/>
        </w:rPr>
        <w:t>绩效指标：</w:t>
      </w:r>
      <w:r>
        <w:rPr>
          <w:rFonts w:hint="eastAsia" w:ascii="仿宋" w:hAnsi="仿宋" w:eastAsia="仿宋" w:cs="仿宋"/>
          <w:sz w:val="32"/>
          <w:szCs w:val="32"/>
          <w:shd w:val="clear" w:color="auto" w:fill="FFFFFF"/>
        </w:rPr>
        <w:t>2021年计划压减地下水超采量1153万立方米。</w:t>
      </w:r>
    </w:p>
    <w:p>
      <w:pPr>
        <w:ind w:firstLine="640" w:firstLineChars="200"/>
        <w:rPr>
          <w:rFonts w:ascii="仿宋_GB2312" w:hAnsi="仿宋_GB2312"/>
          <w:b/>
          <w:bCs/>
          <w:sz w:val="32"/>
          <w:szCs w:val="32"/>
          <w:shd w:val="clear" w:color="auto" w:fill="FFFFFF"/>
        </w:rPr>
      </w:pPr>
      <w:r>
        <w:rPr>
          <w:rFonts w:hint="eastAsia" w:ascii="仿宋_GB2312" w:hAnsi="仿宋_GB2312"/>
          <w:b/>
          <w:bCs/>
          <w:sz w:val="32"/>
          <w:szCs w:val="32"/>
          <w:shd w:val="clear" w:color="auto" w:fill="FFFFFF"/>
        </w:rPr>
        <w:t>4</w:t>
      </w:r>
      <w:r>
        <w:rPr>
          <w:rFonts w:ascii="仿宋_GB2312" w:hAnsi="仿宋_GB2312"/>
          <w:b/>
          <w:bCs/>
          <w:sz w:val="32"/>
          <w:szCs w:val="32"/>
          <w:shd w:val="clear" w:color="auto" w:fill="FFFFFF"/>
        </w:rPr>
        <w:t>.实施最严格水资源管理制度</w:t>
      </w:r>
    </w:p>
    <w:p>
      <w:pPr>
        <w:ind w:firstLine="640" w:firstLineChars="200"/>
        <w:rPr>
          <w:rFonts w:ascii="仿宋" w:hAnsi="仿宋" w:eastAsia="仿宋" w:cs="仿宋"/>
          <w:sz w:val="32"/>
          <w:szCs w:val="32"/>
          <w:shd w:val="clear" w:color="auto" w:fill="FFFFFF"/>
        </w:rPr>
      </w:pPr>
      <w:r>
        <w:rPr>
          <w:rFonts w:ascii="仿宋_GB2312" w:hAnsi="仿宋_GB2312"/>
          <w:b/>
          <w:bCs/>
          <w:sz w:val="32"/>
          <w:szCs w:val="32"/>
          <w:shd w:val="clear" w:color="auto" w:fill="FFFFFF"/>
        </w:rPr>
        <w:t>绩效目标：</w:t>
      </w:r>
      <w:r>
        <w:rPr>
          <w:rFonts w:hint="eastAsia" w:ascii="仿宋" w:hAnsi="仿宋" w:eastAsia="仿宋" w:cs="仿宋"/>
          <w:sz w:val="32"/>
          <w:szCs w:val="32"/>
          <w:shd w:val="clear" w:color="auto" w:fill="FFFFFF"/>
        </w:rPr>
        <w:t>强化水资源消耗总量和强度双控管理，严格水资源论证和取水许可监督管理，认真落实水资源管理专项监督检查；加快推进国家水资源监控能力建设，按照省、市、县安排，实现年许可水量1万立方米以上的取用水户在线监控全覆盖，提高水资源管理信息化、现代化水平，实现信息共享、互联互通和业务协同。严格执行取水井关停政策，年底在南水北调、引岳受水区及有可靠地表水水源的区域，基本关停城镇自备井。</w:t>
      </w:r>
    </w:p>
    <w:p>
      <w:pPr>
        <w:ind w:firstLine="640" w:firstLineChars="200"/>
        <w:rPr>
          <w:rFonts w:ascii="仿宋" w:hAnsi="仿宋" w:eastAsia="仿宋" w:cs="仿宋"/>
          <w:sz w:val="32"/>
          <w:szCs w:val="32"/>
          <w:shd w:val="clear" w:color="auto" w:fill="FFFFFF"/>
        </w:rPr>
      </w:pPr>
      <w:r>
        <w:rPr>
          <w:rFonts w:ascii="仿宋_GB2312" w:hAnsi="仿宋_GB2312"/>
          <w:b/>
          <w:bCs/>
          <w:sz w:val="32"/>
          <w:szCs w:val="32"/>
          <w:shd w:val="clear" w:color="auto" w:fill="FFFFFF"/>
        </w:rPr>
        <w:t>绩效指标：</w:t>
      </w:r>
      <w:r>
        <w:rPr>
          <w:rFonts w:hint="eastAsia" w:ascii="仿宋" w:hAnsi="仿宋" w:eastAsia="仿宋" w:cs="仿宋"/>
          <w:sz w:val="32"/>
          <w:szCs w:val="32"/>
          <w:shd w:val="clear" w:color="auto" w:fill="FFFFFF"/>
        </w:rPr>
        <w:t>2021年，用水总量和地下水开采总量均控制在 省定指标以内；万元GDP用水量（2015价）控制在66.9立方米/万元以内，相比2020年下降4.4%，万元工业增加值用水量（2015价）控制在6.8立方米/万元以内，相比2020年下降3.1%。</w:t>
      </w:r>
    </w:p>
    <w:p>
      <w:pPr>
        <w:spacing w:line="600" w:lineRule="exact"/>
        <w:ind w:firstLine="640" w:firstLineChars="200"/>
        <w:rPr>
          <w:rFonts w:ascii="仿宋_GB2312" w:hAnsi="仿宋_GB2312"/>
          <w:b/>
          <w:bCs/>
          <w:sz w:val="32"/>
          <w:szCs w:val="32"/>
          <w:shd w:val="clear" w:color="auto" w:fill="FFFFFF"/>
        </w:rPr>
      </w:pPr>
      <w:r>
        <w:rPr>
          <w:rFonts w:hint="eastAsia" w:ascii="仿宋_GB2312" w:hAnsi="仿宋_GB2312"/>
          <w:b/>
          <w:bCs/>
          <w:sz w:val="32"/>
          <w:szCs w:val="32"/>
          <w:shd w:val="clear" w:color="auto" w:fill="FFFFFF"/>
        </w:rPr>
        <w:t>5</w:t>
      </w:r>
      <w:r>
        <w:rPr>
          <w:rFonts w:ascii="仿宋_GB2312" w:hAnsi="仿宋_GB2312"/>
          <w:b/>
          <w:bCs/>
          <w:sz w:val="32"/>
          <w:szCs w:val="32"/>
          <w:shd w:val="clear" w:color="auto" w:fill="FFFFFF"/>
        </w:rPr>
        <w:t>.做好水源引调工作</w:t>
      </w:r>
    </w:p>
    <w:p>
      <w:pPr>
        <w:spacing w:line="600" w:lineRule="exact"/>
        <w:ind w:firstLine="640" w:firstLineChars="200"/>
        <w:rPr>
          <w:rFonts w:ascii="仿宋_GB2312"/>
          <w:sz w:val="32"/>
          <w:szCs w:val="32"/>
        </w:rPr>
      </w:pPr>
      <w:r>
        <w:rPr>
          <w:rFonts w:ascii="仿宋_GB2312" w:hAnsi="仿宋_GB2312"/>
          <w:b/>
          <w:bCs/>
          <w:sz w:val="32"/>
          <w:szCs w:val="32"/>
          <w:shd w:val="clear" w:color="auto" w:fill="FFFFFF"/>
        </w:rPr>
        <w:t>绩效目标：</w:t>
      </w:r>
      <w:r>
        <w:rPr>
          <w:rFonts w:hint="eastAsia" w:ascii="仿宋" w:hAnsi="仿宋" w:eastAsia="仿宋" w:cs="仿宋"/>
          <w:sz w:val="32"/>
          <w:szCs w:val="32"/>
        </w:rPr>
        <w:t>做好水源引调工作，加大引滏入成工作推进力度，把尽量多的水源引入我县境内，充分利用生态水网工程，科学调度有限水源，确保全县用水安全，为地下水超采区提供更多的水源保障。</w:t>
      </w:r>
    </w:p>
    <w:p>
      <w:pPr>
        <w:spacing w:line="600" w:lineRule="exact"/>
        <w:ind w:firstLine="640" w:firstLineChars="200"/>
        <w:rPr>
          <w:rFonts w:ascii="仿宋" w:hAnsi="仿宋" w:eastAsia="仿宋" w:cs="仿宋"/>
          <w:sz w:val="32"/>
          <w:szCs w:val="32"/>
        </w:rPr>
      </w:pPr>
      <w:r>
        <w:rPr>
          <w:rFonts w:ascii="仿宋_GB2312" w:hAnsi="仿宋_GB2312"/>
          <w:b/>
          <w:bCs/>
          <w:sz w:val="32"/>
          <w:szCs w:val="32"/>
          <w:shd w:val="clear" w:color="auto" w:fill="FFFFFF"/>
        </w:rPr>
        <w:t>绩效指标：</w:t>
      </w:r>
      <w:r>
        <w:rPr>
          <w:rFonts w:hint="eastAsia" w:ascii="仿宋" w:hAnsi="仿宋" w:eastAsia="仿宋" w:cs="仿宋"/>
          <w:sz w:val="32"/>
          <w:szCs w:val="32"/>
        </w:rPr>
        <w:t>全年引水量达到2674万立方米左右，保障生态水网区域内农业、生态用水安全，为经济社会可持续发展提供重要水源保障。</w:t>
      </w:r>
    </w:p>
    <w:p>
      <w:pPr>
        <w:pStyle w:val="6"/>
        <w:ind w:left="199" w:leftChars="95" w:firstLine="520" w:firstLineChars="162"/>
      </w:pPr>
      <w:r>
        <w:rPr>
          <w:rFonts w:hint="eastAsia" w:ascii="仿宋_GB2312" w:hAnsi="仿宋_GB2312"/>
          <w:b/>
          <w:bCs/>
          <w:sz w:val="32"/>
          <w:szCs w:val="32"/>
          <w:shd w:val="clear" w:color="auto" w:fill="FFFFFF"/>
        </w:rPr>
        <w:t>6</w:t>
      </w:r>
      <w:r>
        <w:rPr>
          <w:rFonts w:ascii="仿宋_GB2312" w:hAnsi="仿宋_GB2312"/>
          <w:b/>
          <w:bCs/>
          <w:sz w:val="32"/>
          <w:szCs w:val="32"/>
          <w:shd w:val="clear" w:color="auto" w:fill="FFFFFF"/>
        </w:rPr>
        <w:t>.强化引江水利用。</w:t>
      </w:r>
    </w:p>
    <w:p>
      <w:pPr>
        <w:spacing w:line="600" w:lineRule="exact"/>
        <w:ind w:firstLine="640" w:firstLineChars="200"/>
        <w:rPr>
          <w:rFonts w:ascii="仿宋" w:hAnsi="仿宋" w:eastAsia="仿宋" w:cs="仿宋"/>
          <w:spacing w:val="4"/>
          <w:sz w:val="32"/>
          <w:szCs w:val="32"/>
        </w:rPr>
      </w:pPr>
      <w:r>
        <w:rPr>
          <w:rFonts w:ascii="仿宋_GB2312" w:hAnsi="仿宋_GB2312"/>
          <w:b/>
          <w:bCs/>
          <w:sz w:val="32"/>
          <w:szCs w:val="32"/>
          <w:shd w:val="clear" w:color="auto" w:fill="FFFFFF"/>
        </w:rPr>
        <w:t>绩效目标：</w:t>
      </w:r>
      <w:r>
        <w:rPr>
          <w:rFonts w:hint="eastAsia" w:ascii="仿宋" w:hAnsi="仿宋" w:eastAsia="仿宋" w:cs="仿宋"/>
          <w:sz w:val="32"/>
          <w:szCs w:val="32"/>
        </w:rPr>
        <w:t>进一步拓展用水范围，积极争取生态补水，力争多用引江水，努力使江水在</w:t>
      </w:r>
      <w:r>
        <w:rPr>
          <w:rFonts w:hint="eastAsia" w:ascii="仿宋" w:hAnsi="仿宋" w:eastAsia="仿宋" w:cs="仿宋"/>
          <w:spacing w:val="4"/>
          <w:sz w:val="32"/>
          <w:szCs w:val="32"/>
        </w:rPr>
        <w:t>保障水安全、改善水环境等方面，最大限度发挥南水北调工程综合效益。</w:t>
      </w:r>
    </w:p>
    <w:p>
      <w:pPr>
        <w:spacing w:line="600" w:lineRule="exact"/>
        <w:ind w:firstLine="640" w:firstLineChars="200"/>
        <w:rPr>
          <w:rFonts w:ascii="仿宋_GB2312" w:hAnsi="仿宋_GB2312"/>
          <w:bCs/>
          <w:sz w:val="32"/>
          <w:szCs w:val="32"/>
        </w:rPr>
      </w:pPr>
      <w:r>
        <w:rPr>
          <w:rFonts w:ascii="仿宋_GB2312" w:hAnsi="仿宋_GB2312"/>
          <w:b/>
          <w:bCs/>
          <w:sz w:val="32"/>
          <w:szCs w:val="32"/>
          <w:shd w:val="clear" w:color="auto" w:fill="FFFFFF"/>
        </w:rPr>
        <w:t>绩效指标：</w:t>
      </w:r>
      <w:r>
        <w:rPr>
          <w:rFonts w:hint="eastAsia" w:ascii="仿宋" w:hAnsi="仿宋" w:eastAsia="仿宋" w:cs="仿宋"/>
          <w:sz w:val="32"/>
          <w:szCs w:val="32"/>
        </w:rPr>
        <w:t>完成年分水量70%，即</w:t>
      </w:r>
      <w:r>
        <w:rPr>
          <w:rFonts w:hint="eastAsia" w:ascii="仿宋" w:hAnsi="仿宋" w:eastAsia="仿宋" w:cs="仿宋"/>
          <w:sz w:val="30"/>
          <w:szCs w:val="30"/>
        </w:rPr>
        <w:t>471.8</w:t>
      </w:r>
      <w:r>
        <w:rPr>
          <w:rFonts w:hint="eastAsia" w:ascii="仿宋" w:hAnsi="仿宋" w:eastAsia="仿宋" w:cs="仿宋"/>
          <w:sz w:val="32"/>
          <w:szCs w:val="32"/>
        </w:rPr>
        <w:t>万立方米的江水消纳任务。</w:t>
      </w:r>
    </w:p>
    <w:p>
      <w:pPr>
        <w:spacing w:line="600" w:lineRule="exact"/>
        <w:ind w:firstLine="640" w:firstLineChars="200"/>
        <w:rPr>
          <w:rFonts w:ascii="仿宋_GB2312" w:hAnsi="仿宋_GB2312"/>
          <w:b/>
          <w:bCs/>
          <w:sz w:val="32"/>
          <w:szCs w:val="32"/>
          <w:shd w:val="clear" w:color="auto" w:fill="FFFFFF"/>
        </w:rPr>
      </w:pPr>
      <w:r>
        <w:rPr>
          <w:rFonts w:hint="eastAsia" w:ascii="仿宋_GB2312" w:hAnsi="仿宋_GB2312"/>
          <w:b/>
          <w:bCs/>
          <w:sz w:val="32"/>
          <w:szCs w:val="32"/>
          <w:shd w:val="clear" w:color="auto" w:fill="FFFFFF"/>
        </w:rPr>
        <w:t>7</w:t>
      </w:r>
      <w:r>
        <w:rPr>
          <w:rFonts w:ascii="仿宋_GB2312" w:hAnsi="仿宋_GB2312"/>
          <w:b/>
          <w:bCs/>
          <w:sz w:val="32"/>
          <w:szCs w:val="32"/>
          <w:shd w:val="clear" w:color="auto" w:fill="FFFFFF"/>
        </w:rPr>
        <w:t>.抓好</w:t>
      </w:r>
      <w:r>
        <w:rPr>
          <w:rFonts w:hint="eastAsia" w:ascii="仿宋_GB2312" w:hAnsi="仿宋_GB2312"/>
          <w:b/>
          <w:bCs/>
          <w:sz w:val="32"/>
          <w:szCs w:val="32"/>
          <w:shd w:val="clear" w:color="auto" w:fill="FFFFFF"/>
        </w:rPr>
        <w:t>渠</w:t>
      </w:r>
      <w:r>
        <w:rPr>
          <w:rFonts w:ascii="仿宋_GB2312" w:hAnsi="仿宋_GB2312"/>
          <w:b/>
          <w:bCs/>
          <w:sz w:val="32"/>
          <w:szCs w:val="32"/>
          <w:shd w:val="clear" w:color="auto" w:fill="FFFFFF"/>
        </w:rPr>
        <w:t>湖管护。</w:t>
      </w:r>
    </w:p>
    <w:p>
      <w:pPr>
        <w:ind w:firstLine="640" w:firstLineChars="200"/>
        <w:rPr>
          <w:rFonts w:ascii="仿宋" w:hAnsi="仿宋" w:eastAsia="仿宋" w:cs="仿宋"/>
          <w:sz w:val="32"/>
          <w:szCs w:val="32"/>
        </w:rPr>
      </w:pPr>
      <w:r>
        <w:rPr>
          <w:rFonts w:ascii="仿宋_GB2312" w:hAnsi="仿宋_GB2312"/>
          <w:b/>
          <w:bCs/>
          <w:sz w:val="32"/>
          <w:szCs w:val="32"/>
          <w:shd w:val="clear" w:color="auto" w:fill="FFFFFF"/>
        </w:rPr>
        <w:t>绩效目标:</w:t>
      </w:r>
      <w:r>
        <w:rPr>
          <w:rFonts w:hint="eastAsia" w:ascii="仿宋" w:hAnsi="仿宋" w:eastAsia="仿宋" w:cs="仿宋"/>
          <w:sz w:val="32"/>
          <w:szCs w:val="32"/>
        </w:rPr>
        <w:t>提示县、乡、村级河长按巡河频次巡查渠道,督促开展河湖长制社会性宣传,指导落实河长培训。持续开展河道清“四乱”，有序推进河道清理治理，进一步巩固治理成果，遏制河湖违法问题反弹。</w:t>
      </w:r>
    </w:p>
    <w:p>
      <w:pPr>
        <w:ind w:firstLine="640" w:firstLineChars="200"/>
        <w:rPr>
          <w:rFonts w:ascii="仿宋" w:hAnsi="仿宋" w:eastAsia="仿宋" w:cs="仿宋"/>
        </w:rPr>
      </w:pPr>
      <w:r>
        <w:rPr>
          <w:rFonts w:ascii="仿宋_GB2312" w:hAnsi="仿宋_GB2312"/>
          <w:b/>
          <w:bCs/>
          <w:sz w:val="32"/>
          <w:szCs w:val="32"/>
          <w:shd w:val="clear" w:color="auto" w:fill="FFFFFF"/>
        </w:rPr>
        <w:t>绩效指标</w:t>
      </w:r>
      <w:r>
        <w:rPr>
          <w:rFonts w:ascii="仿宋_GB2312" w:hAnsi="仿宋_GB2312"/>
          <w:sz w:val="32"/>
          <w:szCs w:val="32"/>
        </w:rPr>
        <w:t>:</w:t>
      </w:r>
      <w:r>
        <w:rPr>
          <w:rFonts w:hint="eastAsia" w:ascii="仿宋" w:hAnsi="仿宋" w:eastAsia="仿宋" w:cs="仿宋"/>
          <w:sz w:val="32"/>
          <w:szCs w:val="32"/>
        </w:rPr>
        <w:t>县级河长每两个月巡查渠道不少于1次,乡(镇)级河长每月巡查渠道不少于2次，村级河长每周巡查渠道不少于2次；本年度至少开展1次河长制社会性宣传活动和河长培训活动。渠道垃圾实行常态化、动态管理及时发现、及时清理、动态清零。</w:t>
      </w:r>
    </w:p>
    <w:p>
      <w:pPr>
        <w:spacing w:line="600" w:lineRule="exact"/>
        <w:ind w:firstLine="640" w:firstLineChars="200"/>
        <w:rPr>
          <w:rFonts w:ascii="仿宋_GB2312" w:hAnsi="仿宋_GB2312"/>
          <w:b/>
          <w:bCs/>
          <w:sz w:val="32"/>
          <w:szCs w:val="32"/>
          <w:shd w:val="clear" w:color="auto" w:fill="FFFFFF"/>
        </w:rPr>
      </w:pPr>
      <w:r>
        <w:rPr>
          <w:rFonts w:hint="eastAsia" w:ascii="仿宋_GB2312" w:hAnsi="仿宋_GB2312"/>
          <w:b/>
          <w:bCs/>
          <w:sz w:val="32"/>
          <w:szCs w:val="32"/>
          <w:shd w:val="clear" w:color="auto" w:fill="FFFFFF"/>
        </w:rPr>
        <w:t>8</w:t>
      </w:r>
      <w:r>
        <w:rPr>
          <w:rFonts w:ascii="仿宋_GB2312" w:hAnsi="仿宋_GB2312"/>
          <w:b/>
          <w:bCs/>
          <w:sz w:val="32"/>
          <w:szCs w:val="32"/>
          <w:shd w:val="clear" w:color="auto" w:fill="FFFFFF"/>
        </w:rPr>
        <w:t>.推进水土流失治理</w:t>
      </w:r>
    </w:p>
    <w:p>
      <w:pPr>
        <w:spacing w:line="600" w:lineRule="exact"/>
        <w:ind w:firstLine="640" w:firstLineChars="200"/>
        <w:rPr>
          <w:rFonts w:ascii="仿宋" w:hAnsi="仿宋" w:eastAsia="仿宋" w:cs="仿宋"/>
          <w:sz w:val="32"/>
          <w:szCs w:val="32"/>
        </w:rPr>
      </w:pPr>
      <w:r>
        <w:rPr>
          <w:rFonts w:ascii="仿宋_GB2312" w:hAnsi="仿宋_GB2312"/>
          <w:b/>
          <w:bCs/>
          <w:sz w:val="32"/>
          <w:szCs w:val="32"/>
        </w:rPr>
        <w:t>绩效目标：</w:t>
      </w:r>
      <w:r>
        <w:rPr>
          <w:rFonts w:hint="eastAsia" w:ascii="仿宋" w:hAnsi="仿宋" w:eastAsia="仿宋" w:cs="仿宋"/>
          <w:sz w:val="32"/>
          <w:szCs w:val="32"/>
        </w:rPr>
        <w:t>结合全域旅游、美丽乡村实施小流域建设，2021年计划治理水土流失面积2.2平方公里。</w:t>
      </w:r>
    </w:p>
    <w:p>
      <w:pPr>
        <w:spacing w:line="600" w:lineRule="exact"/>
        <w:ind w:firstLine="640" w:firstLineChars="200"/>
        <w:rPr>
          <w:rFonts w:ascii="仿宋" w:hAnsi="仿宋" w:eastAsia="仿宋" w:cs="仿宋"/>
          <w:b/>
          <w:bCs/>
          <w:sz w:val="32"/>
          <w:szCs w:val="32"/>
          <w:shd w:val="clear" w:color="auto" w:fill="FFFFFF"/>
        </w:rPr>
      </w:pPr>
      <w:r>
        <w:rPr>
          <w:rFonts w:ascii="仿宋_GB2312" w:hAnsi="仿宋_GB2312"/>
          <w:b/>
          <w:bCs/>
          <w:sz w:val="32"/>
          <w:szCs w:val="32"/>
        </w:rPr>
        <w:t>绩效指标：</w:t>
      </w:r>
      <w:r>
        <w:rPr>
          <w:rFonts w:hint="eastAsia" w:ascii="仿宋" w:hAnsi="仿宋" w:eastAsia="仿宋" w:cs="仿宋"/>
          <w:sz w:val="32"/>
          <w:szCs w:val="32"/>
        </w:rPr>
        <w:t>水土流失治理程度达到48%以上，减沙效益达到48%以上，林草保存面积占宜林宜草面积的48%以上。</w:t>
      </w:r>
    </w:p>
    <w:p>
      <w:pPr>
        <w:spacing w:line="600" w:lineRule="exact"/>
        <w:ind w:firstLine="640" w:firstLineChars="200"/>
        <w:rPr>
          <w:rFonts w:ascii="仿宋_GB2312" w:hAnsi="仿宋_GB2312"/>
          <w:b/>
          <w:bCs/>
          <w:sz w:val="32"/>
          <w:szCs w:val="32"/>
          <w:shd w:val="clear" w:color="auto" w:fill="FFFFFF"/>
        </w:rPr>
      </w:pPr>
      <w:r>
        <w:rPr>
          <w:rFonts w:hint="eastAsia" w:ascii="仿宋_GB2312" w:hAnsi="仿宋_GB2312"/>
          <w:b/>
          <w:bCs/>
          <w:sz w:val="32"/>
          <w:szCs w:val="32"/>
          <w:shd w:val="clear" w:color="auto" w:fill="FFFFFF"/>
        </w:rPr>
        <w:t>9</w:t>
      </w:r>
      <w:r>
        <w:rPr>
          <w:rFonts w:ascii="仿宋_GB2312" w:hAnsi="仿宋_GB2312"/>
          <w:b/>
          <w:bCs/>
          <w:sz w:val="32"/>
          <w:szCs w:val="32"/>
          <w:shd w:val="clear" w:color="auto" w:fill="FFFFFF"/>
        </w:rPr>
        <w:t>.推进节水行动</w:t>
      </w:r>
    </w:p>
    <w:p>
      <w:pPr>
        <w:spacing w:line="600" w:lineRule="exact"/>
        <w:ind w:firstLine="640" w:firstLineChars="200"/>
        <w:rPr>
          <w:rFonts w:ascii="仿宋" w:hAnsi="仿宋" w:eastAsia="仿宋" w:cs="仿宋"/>
          <w:sz w:val="32"/>
          <w:szCs w:val="32"/>
        </w:rPr>
      </w:pPr>
      <w:r>
        <w:rPr>
          <w:rFonts w:ascii="仿宋_GB2312" w:hAnsi="仿宋_GB2312"/>
          <w:b/>
          <w:bCs/>
          <w:sz w:val="32"/>
          <w:szCs w:val="32"/>
          <w:shd w:val="clear" w:color="auto" w:fill="FFFFFF"/>
        </w:rPr>
        <w:t>绩效目标：</w:t>
      </w:r>
      <w:r>
        <w:rPr>
          <w:rFonts w:hint="eastAsia" w:ascii="仿宋" w:hAnsi="仿宋" w:eastAsia="仿宋" w:cs="仿宋"/>
          <w:sz w:val="32"/>
          <w:szCs w:val="32"/>
        </w:rPr>
        <w:t>出台县“十四五”节水规划，定实目标措施，及时下达年度计划用水指标，开展县域节水型社会达标建设，从严核定用水户取水规模和用水计划，实施用水总量削减计划，全面提升水资源利用效率。</w:t>
      </w:r>
    </w:p>
    <w:p>
      <w:pPr>
        <w:ind w:firstLine="640" w:firstLineChars="200"/>
        <w:rPr>
          <w:rFonts w:ascii="仿宋_GB2312" w:hAnsi="仿宋_GB2312"/>
          <w:sz w:val="32"/>
          <w:szCs w:val="32"/>
        </w:rPr>
      </w:pPr>
      <w:r>
        <w:rPr>
          <w:rFonts w:ascii="仿宋_GB2312" w:hAnsi="仿宋_GB2312"/>
          <w:b/>
          <w:bCs/>
          <w:sz w:val="32"/>
          <w:szCs w:val="32"/>
          <w:shd w:val="clear" w:color="auto" w:fill="FFFFFF"/>
        </w:rPr>
        <w:t>绩效指标：</w:t>
      </w:r>
      <w:r>
        <w:rPr>
          <w:rFonts w:hint="eastAsia" w:ascii="仿宋_GB2312" w:hAnsi="仿宋_GB2312"/>
          <w:sz w:val="32"/>
          <w:szCs w:val="32"/>
          <w:shd w:val="clear" w:color="auto" w:fill="FFFFFF"/>
        </w:rPr>
        <w:t>我</w:t>
      </w:r>
      <w:r>
        <w:rPr>
          <w:rFonts w:hint="eastAsia" w:ascii="仿宋" w:hAnsi="仿宋" w:eastAsia="仿宋" w:cs="仿宋"/>
          <w:sz w:val="32"/>
          <w:szCs w:val="32"/>
        </w:rPr>
        <w:t>县已通过节水型社会验收，完成建设任务；2021年度万元GDP用水量较2020年下降4.4%，万元工业增加值用水量较2020年下降3.1%。</w:t>
      </w:r>
    </w:p>
    <w:p>
      <w:pPr>
        <w:ind w:firstLine="640" w:firstLineChars="200"/>
        <w:rPr>
          <w:rFonts w:ascii="仿宋_GB2312" w:hAnsi="仿宋_GB2312"/>
          <w:b/>
          <w:bCs/>
          <w:sz w:val="32"/>
          <w:szCs w:val="32"/>
          <w:shd w:val="clear" w:color="auto" w:fill="FFFFFF"/>
        </w:rPr>
      </w:pPr>
      <w:r>
        <w:rPr>
          <w:rFonts w:hint="eastAsia" w:ascii="仿宋_GB2312" w:hAnsi="仿宋_GB2312"/>
          <w:b/>
          <w:bCs/>
          <w:sz w:val="32"/>
          <w:szCs w:val="32"/>
          <w:shd w:val="clear" w:color="auto" w:fill="FFFFFF"/>
        </w:rPr>
        <w:t>10</w:t>
      </w:r>
      <w:r>
        <w:rPr>
          <w:rFonts w:ascii="仿宋_GB2312" w:hAnsi="仿宋_GB2312"/>
          <w:b/>
          <w:bCs/>
          <w:sz w:val="32"/>
          <w:szCs w:val="32"/>
          <w:shd w:val="clear" w:color="auto" w:fill="FFFFFF"/>
        </w:rPr>
        <w:t>.抓好水旱灾害防御</w:t>
      </w:r>
    </w:p>
    <w:p>
      <w:pPr>
        <w:ind w:firstLine="640" w:firstLineChars="200"/>
        <w:rPr>
          <w:rFonts w:ascii="仿宋" w:hAnsi="仿宋" w:eastAsia="仿宋" w:cs="仿宋"/>
          <w:sz w:val="32"/>
          <w:szCs w:val="32"/>
        </w:rPr>
      </w:pPr>
      <w:r>
        <w:rPr>
          <w:rFonts w:ascii="仿宋_GB2312" w:hAnsi="仿宋_GB2312"/>
          <w:b/>
          <w:sz w:val="32"/>
          <w:szCs w:val="32"/>
        </w:rPr>
        <w:t>绩效目标：</w:t>
      </w:r>
      <w:r>
        <w:rPr>
          <w:rFonts w:hint="eastAsia" w:ascii="仿宋" w:hAnsi="仿宋" w:eastAsia="仿宋" w:cs="仿宋"/>
          <w:sz w:val="32"/>
          <w:szCs w:val="32"/>
        </w:rPr>
        <w:t>全力做好水旱灾害防御各项准备工作，确保水工程度汛安全。</w:t>
      </w:r>
    </w:p>
    <w:p>
      <w:pPr>
        <w:adjustRightInd w:val="0"/>
        <w:snapToGrid w:val="0"/>
        <w:spacing w:line="640" w:lineRule="exact"/>
        <w:ind w:firstLine="640" w:firstLineChars="200"/>
        <w:rPr>
          <w:rFonts w:ascii="仿宋" w:hAnsi="仿宋" w:eastAsia="仿宋" w:cs="仿宋"/>
        </w:rPr>
      </w:pPr>
      <w:r>
        <w:rPr>
          <w:rFonts w:ascii="仿宋_GB2312" w:hAnsi="仿宋_GB2312"/>
          <w:b/>
          <w:sz w:val="32"/>
          <w:szCs w:val="32"/>
        </w:rPr>
        <w:t>绩效指标：</w:t>
      </w:r>
      <w:r>
        <w:rPr>
          <w:rFonts w:hint="eastAsia" w:ascii="仿宋" w:hAnsi="仿宋" w:eastAsia="仿宋" w:cs="仿宋"/>
          <w:sz w:val="32"/>
          <w:szCs w:val="32"/>
        </w:rPr>
        <w:t>编制完善主要行洪渠道防洪预案和调度方案。汛前对防汛主要渠道及主要闸涵的主体工程、启闭灵活状态及其他设施进行细致排查，明确主要水闸负责人及职责，确保各项工作有人管，有人落实；做好常备防汛物资的储备。</w:t>
      </w:r>
    </w:p>
    <w:p>
      <w:pPr>
        <w:ind w:firstLine="640" w:firstLineChars="200"/>
        <w:rPr>
          <w:rFonts w:hint="eastAsia" w:ascii="楷体_GB2312" w:hAnsi="楷体_GB2312"/>
          <w:b/>
          <w:sz w:val="32"/>
          <w:szCs w:val="32"/>
        </w:rPr>
      </w:pPr>
      <w:r>
        <w:rPr>
          <w:rFonts w:ascii="楷体_GB2312" w:hAnsi="楷体_GB2312"/>
          <w:b/>
          <w:sz w:val="32"/>
          <w:szCs w:val="32"/>
        </w:rPr>
        <w:t>（三）工作保障措施</w:t>
      </w:r>
    </w:p>
    <w:p>
      <w:pPr>
        <w:spacing w:line="540" w:lineRule="exact"/>
        <w:ind w:firstLine="643" w:firstLineChars="200"/>
        <w:rPr>
          <w:rFonts w:ascii="仿宋" w:hAnsi="仿宋" w:eastAsia="仿宋"/>
          <w:sz w:val="32"/>
          <w:szCs w:val="32"/>
        </w:rPr>
      </w:pPr>
      <w:r>
        <w:rPr>
          <w:rFonts w:hint="eastAsia" w:ascii="仿宋" w:hAnsi="仿宋" w:eastAsia="仿宋"/>
          <w:b/>
          <w:bCs/>
          <w:color w:val="000000"/>
          <w:sz w:val="32"/>
          <w:szCs w:val="32"/>
        </w:rPr>
        <w:t>1.完善财务制度建设。</w:t>
      </w:r>
      <w:r>
        <w:rPr>
          <w:rFonts w:hint="eastAsia" w:ascii="仿宋" w:hAnsi="仿宋" w:eastAsia="仿宋"/>
          <w:color w:val="000000"/>
          <w:sz w:val="32"/>
          <w:szCs w:val="32"/>
        </w:rPr>
        <w:t>为保证支出规范、资金安全，坚持制度先行。及时梳理部门内控制度，修订完善资金管理办法，</w:t>
      </w:r>
      <w:r>
        <w:rPr>
          <w:rFonts w:hint="eastAsia" w:ascii="仿宋" w:hAnsi="仿宋" w:eastAsia="仿宋"/>
          <w:sz w:val="32"/>
          <w:szCs w:val="32"/>
        </w:rPr>
        <w:t>建立健全预算绩效管理工作机制。严格执行项目管理规定，履行相关程序，落实各方责任，</w:t>
      </w:r>
      <w:r>
        <w:rPr>
          <w:rFonts w:hint="eastAsia" w:ascii="仿宋" w:hAnsi="仿宋" w:eastAsia="仿宋"/>
          <w:color w:val="000000"/>
          <w:sz w:val="32"/>
          <w:szCs w:val="32"/>
        </w:rPr>
        <w:t>规范管理行为，堵塞管理漏洞，防范化解风险隐患。</w:t>
      </w:r>
    </w:p>
    <w:p>
      <w:pPr>
        <w:snapToGrid w:val="0"/>
        <w:spacing w:line="540" w:lineRule="exact"/>
        <w:ind w:firstLine="643" w:firstLineChars="200"/>
        <w:jc w:val="left"/>
        <w:rPr>
          <w:rFonts w:ascii="仿宋" w:hAnsi="仿宋" w:eastAsia="仿宋"/>
          <w:color w:val="000000"/>
          <w:sz w:val="32"/>
          <w:szCs w:val="32"/>
        </w:rPr>
      </w:pPr>
      <w:r>
        <w:rPr>
          <w:rFonts w:hint="eastAsia" w:ascii="仿宋" w:hAnsi="仿宋" w:eastAsia="仿宋"/>
          <w:b/>
          <w:bCs/>
          <w:color w:val="000000"/>
          <w:sz w:val="32"/>
          <w:szCs w:val="32"/>
        </w:rPr>
        <w:t>2.切实加强项目管理。</w:t>
      </w:r>
      <w:r>
        <w:rPr>
          <w:rFonts w:hint="eastAsia" w:ascii="仿宋" w:hAnsi="仿宋" w:eastAsia="仿宋"/>
          <w:color w:val="000000"/>
          <w:sz w:val="32"/>
          <w:szCs w:val="32"/>
        </w:rPr>
        <w:t>充分发挥业务处室、项目技术专家和社会中介组织的力量，全面参与项目事前论证评审、事中督导评估和事后评价总结的全过程监管，形成多环节全过程的监督管理格局，尽早发现问题解决问题。依托网上报销审批系统，守牢资金支出最后一道防线，杜绝不合规支出，避免和减少损失。</w:t>
      </w:r>
    </w:p>
    <w:p>
      <w:pPr>
        <w:snapToGrid w:val="0"/>
        <w:spacing w:line="540" w:lineRule="exact"/>
        <w:ind w:firstLine="643" w:firstLineChars="200"/>
        <w:jc w:val="left"/>
        <w:rPr>
          <w:rFonts w:ascii="仿宋" w:hAnsi="仿宋" w:eastAsia="仿宋"/>
          <w:color w:val="000000"/>
          <w:sz w:val="32"/>
          <w:szCs w:val="32"/>
        </w:rPr>
      </w:pPr>
      <w:r>
        <w:rPr>
          <w:rFonts w:hint="eastAsia" w:ascii="仿宋" w:hAnsi="仿宋" w:eastAsia="仿宋"/>
          <w:b/>
          <w:bCs/>
          <w:color w:val="000000"/>
          <w:sz w:val="32"/>
          <w:szCs w:val="32"/>
        </w:rPr>
        <w:t>3.加强绩效运行监控。</w:t>
      </w:r>
      <w:r>
        <w:rPr>
          <w:rFonts w:hint="eastAsia" w:ascii="仿宋" w:hAnsi="仿宋" w:eastAsia="仿宋"/>
          <w:color w:val="000000"/>
          <w:sz w:val="32"/>
          <w:szCs w:val="32"/>
        </w:rPr>
        <w:t>对项目申报、初审、论证、评审、审批、实施、验收等全过程进行实时动态监管，</w:t>
      </w:r>
      <w:r>
        <w:rPr>
          <w:rFonts w:hint="eastAsia" w:ascii="仿宋" w:hAnsi="仿宋" w:eastAsia="仿宋"/>
          <w:sz w:val="32"/>
          <w:szCs w:val="32"/>
        </w:rPr>
        <w:t>及时跟踪目标实现程度和预算执行情况，并对全年绩效目标预期完成情况进行综合判断，发现问题及时纠偏，确保绩效目标如期保质实现。同时</w:t>
      </w:r>
      <w:r>
        <w:rPr>
          <w:rFonts w:hint="eastAsia" w:ascii="仿宋" w:hAnsi="仿宋" w:eastAsia="仿宋"/>
          <w:color w:val="000000"/>
          <w:sz w:val="32"/>
          <w:szCs w:val="32"/>
        </w:rPr>
        <w:t>，将项目评价结果应用于当年的预算动态调整和第二年度的预算编制，形成滚动闭环预算管理。</w:t>
      </w:r>
    </w:p>
    <w:p>
      <w:pPr>
        <w:snapToGrid w:val="0"/>
        <w:spacing w:line="540" w:lineRule="exact"/>
        <w:ind w:firstLine="643" w:firstLineChars="200"/>
        <w:jc w:val="left"/>
        <w:rPr>
          <w:rFonts w:ascii="仿宋" w:hAnsi="仿宋" w:eastAsia="仿宋"/>
          <w:color w:val="000000"/>
          <w:sz w:val="32"/>
          <w:szCs w:val="32"/>
        </w:rPr>
      </w:pPr>
      <w:r>
        <w:rPr>
          <w:rFonts w:hint="eastAsia" w:ascii="仿宋" w:hAnsi="仿宋" w:eastAsia="仿宋"/>
          <w:b/>
          <w:bCs/>
          <w:color w:val="000000"/>
          <w:sz w:val="32"/>
          <w:szCs w:val="32"/>
        </w:rPr>
        <w:t>4.加强宣传培训调研</w:t>
      </w:r>
      <w:r>
        <w:rPr>
          <w:rFonts w:hint="eastAsia" w:ascii="仿宋" w:hAnsi="仿宋" w:eastAsia="仿宋"/>
          <w:color w:val="000000"/>
          <w:sz w:val="32"/>
          <w:szCs w:val="32"/>
        </w:rPr>
        <w:t>。</w:t>
      </w:r>
      <w:r>
        <w:rPr>
          <w:rFonts w:hint="eastAsia" w:ascii="仿宋" w:hAnsi="仿宋" w:eastAsia="仿宋"/>
          <w:sz w:val="32"/>
          <w:szCs w:val="32"/>
        </w:rPr>
        <w:t>结合巡视巡察、审计、财务检查等发现的问题，对相关人员进行培训，提高业务素质；加大宣传力度，强化预算绩效管理意识，促进预算绩效管理水平进一步提升；加强调研，提出优化预算资金配置、提高资金使用效益的意见。</w:t>
      </w:r>
    </w:p>
    <w:p/>
    <w:p>
      <w:pPr>
        <w:spacing w:line="560" w:lineRule="exact"/>
        <w:ind w:firstLine="640"/>
        <w:rPr>
          <w:rFonts w:ascii="仿宋" w:hAnsi="仿宋" w:eastAsia="仿宋" w:cs="仿宋_GB2312"/>
          <w:sz w:val="32"/>
          <w:szCs w:val="32"/>
        </w:rPr>
      </w:pPr>
    </w:p>
    <w:p>
      <w:pPr>
        <w:spacing w:line="560" w:lineRule="exact"/>
        <w:ind w:firstLine="640"/>
        <w:rPr>
          <w:rFonts w:ascii="仿宋" w:hAnsi="仿宋" w:eastAsia="仿宋" w:cs="仿宋_GB2312"/>
          <w:sz w:val="32"/>
          <w:szCs w:val="32"/>
        </w:rPr>
      </w:pPr>
    </w:p>
    <w:p>
      <w:pPr>
        <w:spacing w:line="560" w:lineRule="exact"/>
        <w:ind w:firstLine="640"/>
        <w:rPr>
          <w:rFonts w:ascii="仿宋" w:hAnsi="仿宋" w:eastAsia="仿宋" w:cs="仿宋_GB2312"/>
          <w:sz w:val="32"/>
          <w:szCs w:val="32"/>
        </w:rPr>
      </w:pPr>
    </w:p>
    <w:p>
      <w:pPr>
        <w:spacing w:line="560" w:lineRule="exact"/>
        <w:ind w:firstLine="640"/>
        <w:rPr>
          <w:rFonts w:ascii="仿宋" w:hAnsi="仿宋" w:eastAsia="仿宋" w:cs="仿宋_GB2312"/>
          <w:b/>
          <w:sz w:val="32"/>
          <w:szCs w:val="32"/>
        </w:rPr>
      </w:pPr>
      <w:r>
        <w:rPr>
          <w:rFonts w:hint="eastAsia" w:ascii="仿宋" w:hAnsi="仿宋" w:eastAsia="仿宋" w:cs="仿宋_GB2312"/>
          <w:b/>
          <w:sz w:val="32"/>
          <w:szCs w:val="32"/>
        </w:rPr>
        <w:t>（四）、部门职责及工作活动绩效目标指标：</w:t>
      </w:r>
    </w:p>
    <w:p>
      <w:pPr>
        <w:spacing w:line="560" w:lineRule="exact"/>
        <w:jc w:val="center"/>
        <w:outlineLvl w:val="0"/>
        <w:rPr>
          <w:rFonts w:ascii="仿宋_GB2312" w:hAnsi="Times New Roman" w:eastAsia="仿宋_GB2312" w:cs="Times New Roman"/>
          <w:sz w:val="32"/>
          <w:szCs w:val="32"/>
        </w:rPr>
      </w:pPr>
      <w:r>
        <w:rPr>
          <w:rFonts w:hint="eastAsia" w:ascii="仿宋_GB2312" w:hAnsi="Times New Roman" w:eastAsia="仿宋_GB2312" w:cs="仿宋_GB2312"/>
          <w:sz w:val="32"/>
          <w:szCs w:val="32"/>
        </w:rPr>
        <w:t>部门职责</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工作活动绩效目标</w:t>
      </w:r>
      <w:bookmarkEnd w:id="0"/>
    </w:p>
    <w:tbl>
      <w:tblPr>
        <w:tblStyle w:val="7"/>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仿宋" w:hAnsi="仿宋" w:eastAsia="仿宋" w:cs="Times New Roman"/>
                <w:sz w:val="24"/>
                <w:szCs w:val="24"/>
              </w:rPr>
            </w:pPr>
            <w:r>
              <w:rPr>
                <w:rFonts w:ascii="仿宋" w:hAnsi="仿宋" w:eastAsia="仿宋" w:cs="仿宋"/>
                <w:sz w:val="24"/>
                <w:szCs w:val="24"/>
              </w:rPr>
              <w:t>332</w:t>
            </w:r>
            <w:r>
              <w:rPr>
                <w:rFonts w:hint="eastAsia" w:ascii="仿宋" w:hAnsi="仿宋" w:eastAsia="仿宋" w:cs="仿宋"/>
                <w:sz w:val="24"/>
                <w:szCs w:val="24"/>
              </w:rPr>
              <w:t>成安县水利局</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仿宋" w:hAnsi="仿宋" w:eastAsia="仿宋" w:cs="Times New Roman"/>
                <w:sz w:val="24"/>
                <w:szCs w:val="24"/>
              </w:rPr>
            </w:pPr>
            <w:r>
              <w:rPr>
                <w:rFonts w:hint="eastAsia" w:ascii="仿宋" w:hAnsi="仿宋" w:eastAsia="仿宋" w:cs="仿宋"/>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仿宋" w:hAnsi="仿宋" w:eastAsia="仿宋" w:cs="Times New Roman"/>
                <w:b/>
                <w:bCs/>
              </w:rPr>
            </w:pPr>
            <w:r>
              <w:rPr>
                <w:rFonts w:hint="eastAsia" w:ascii="仿宋" w:hAnsi="仿宋" w:eastAsia="仿宋" w:cs="仿宋"/>
                <w:b/>
                <w:bCs/>
              </w:rPr>
              <w:t>职责活动</w:t>
            </w:r>
          </w:p>
        </w:tc>
        <w:tc>
          <w:tcPr>
            <w:tcW w:w="1276" w:type="dxa"/>
            <w:vMerge w:val="restart"/>
            <w:vAlign w:val="center"/>
          </w:tcPr>
          <w:p>
            <w:pPr>
              <w:spacing w:line="300" w:lineRule="exact"/>
              <w:jc w:val="center"/>
              <w:rPr>
                <w:rFonts w:ascii="仿宋" w:hAnsi="仿宋" w:eastAsia="仿宋" w:cs="Times New Roman"/>
                <w:b/>
                <w:bCs/>
              </w:rPr>
            </w:pPr>
            <w:r>
              <w:rPr>
                <w:rFonts w:hint="eastAsia" w:ascii="仿宋" w:hAnsi="仿宋" w:eastAsia="仿宋" w:cs="仿宋"/>
                <w:b/>
                <w:bCs/>
              </w:rPr>
              <w:t>年度预算数</w:t>
            </w:r>
          </w:p>
        </w:tc>
        <w:tc>
          <w:tcPr>
            <w:tcW w:w="2976" w:type="dxa"/>
            <w:vMerge w:val="restart"/>
            <w:vAlign w:val="center"/>
          </w:tcPr>
          <w:p>
            <w:pPr>
              <w:spacing w:line="300" w:lineRule="exact"/>
              <w:jc w:val="center"/>
              <w:rPr>
                <w:rFonts w:ascii="仿宋" w:hAnsi="仿宋" w:eastAsia="仿宋" w:cs="Times New Roman"/>
                <w:b/>
                <w:bCs/>
              </w:rPr>
            </w:pPr>
            <w:r>
              <w:rPr>
                <w:rFonts w:hint="eastAsia" w:ascii="仿宋" w:hAnsi="仿宋" w:eastAsia="仿宋" w:cs="仿宋"/>
                <w:b/>
                <w:bCs/>
              </w:rPr>
              <w:t>内容描述</w:t>
            </w:r>
          </w:p>
        </w:tc>
        <w:tc>
          <w:tcPr>
            <w:tcW w:w="2976" w:type="dxa"/>
            <w:vMerge w:val="restart"/>
            <w:vAlign w:val="center"/>
          </w:tcPr>
          <w:p>
            <w:pPr>
              <w:spacing w:line="300" w:lineRule="exact"/>
              <w:jc w:val="center"/>
              <w:rPr>
                <w:rFonts w:ascii="仿宋" w:hAnsi="仿宋" w:eastAsia="仿宋" w:cs="Times New Roman"/>
                <w:b/>
                <w:bCs/>
              </w:rPr>
            </w:pPr>
            <w:r>
              <w:rPr>
                <w:rFonts w:hint="eastAsia" w:ascii="仿宋" w:hAnsi="仿宋" w:eastAsia="仿宋" w:cs="仿宋"/>
                <w:b/>
                <w:bCs/>
              </w:rPr>
              <w:t>绩效目标</w:t>
            </w:r>
          </w:p>
        </w:tc>
        <w:tc>
          <w:tcPr>
            <w:tcW w:w="1417" w:type="dxa"/>
            <w:vMerge w:val="restart"/>
            <w:vAlign w:val="center"/>
          </w:tcPr>
          <w:p>
            <w:pPr>
              <w:spacing w:line="300" w:lineRule="exact"/>
              <w:jc w:val="center"/>
              <w:rPr>
                <w:rFonts w:ascii="仿宋" w:hAnsi="仿宋" w:eastAsia="仿宋" w:cs="Times New Roman"/>
                <w:b/>
                <w:bCs/>
              </w:rPr>
            </w:pPr>
            <w:r>
              <w:rPr>
                <w:rFonts w:hint="eastAsia" w:ascii="仿宋" w:hAnsi="仿宋" w:eastAsia="仿宋" w:cs="仿宋"/>
                <w:b/>
                <w:bCs/>
              </w:rPr>
              <w:t>绩效指标</w:t>
            </w:r>
          </w:p>
        </w:tc>
        <w:tc>
          <w:tcPr>
            <w:tcW w:w="2948" w:type="dxa"/>
            <w:gridSpan w:val="4"/>
            <w:vAlign w:val="center"/>
          </w:tcPr>
          <w:p>
            <w:pPr>
              <w:spacing w:line="300" w:lineRule="exact"/>
              <w:jc w:val="center"/>
              <w:rPr>
                <w:rFonts w:ascii="仿宋" w:hAnsi="仿宋" w:eastAsia="仿宋" w:cs="Times New Roman"/>
                <w:b/>
                <w:bCs/>
              </w:rPr>
            </w:pPr>
            <w:r>
              <w:rPr>
                <w:rFonts w:hint="eastAsia" w:ascii="仿宋" w:hAnsi="仿宋" w:eastAsia="仿宋" w:cs="仿宋"/>
                <w:b/>
                <w:bCs/>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rPr>
                <w:rFonts w:ascii="仿宋" w:hAnsi="仿宋" w:eastAsia="仿宋" w:cs="Times New Roman"/>
              </w:rPr>
            </w:pPr>
          </w:p>
        </w:tc>
        <w:tc>
          <w:tcPr>
            <w:tcW w:w="1276" w:type="dxa"/>
            <w:vMerge w:val="continue"/>
            <w:vAlign w:val="center"/>
          </w:tcPr>
          <w:p>
            <w:pPr>
              <w:spacing w:line="300" w:lineRule="exact"/>
              <w:jc w:val="left"/>
              <w:outlineLvl w:val="0"/>
              <w:rPr>
                <w:rFonts w:ascii="仿宋" w:hAnsi="仿宋" w:eastAsia="仿宋" w:cs="Times New Roman"/>
              </w:rPr>
            </w:pPr>
          </w:p>
        </w:tc>
        <w:tc>
          <w:tcPr>
            <w:tcW w:w="2976" w:type="dxa"/>
            <w:vMerge w:val="continue"/>
            <w:vAlign w:val="center"/>
          </w:tcPr>
          <w:p>
            <w:pPr>
              <w:spacing w:line="300" w:lineRule="exact"/>
              <w:jc w:val="left"/>
              <w:outlineLvl w:val="0"/>
              <w:rPr>
                <w:rFonts w:ascii="仿宋" w:hAnsi="仿宋" w:eastAsia="仿宋" w:cs="Times New Roman"/>
              </w:rPr>
            </w:pPr>
          </w:p>
        </w:tc>
        <w:tc>
          <w:tcPr>
            <w:tcW w:w="2976" w:type="dxa"/>
            <w:vMerge w:val="continue"/>
            <w:vAlign w:val="center"/>
          </w:tcPr>
          <w:p>
            <w:pPr>
              <w:spacing w:line="300" w:lineRule="exact"/>
              <w:jc w:val="left"/>
              <w:outlineLvl w:val="0"/>
              <w:rPr>
                <w:rFonts w:ascii="仿宋" w:hAnsi="仿宋" w:eastAsia="仿宋" w:cs="Times New Roman"/>
              </w:rPr>
            </w:pPr>
          </w:p>
        </w:tc>
        <w:tc>
          <w:tcPr>
            <w:tcW w:w="1417" w:type="dxa"/>
            <w:vMerge w:val="continue"/>
            <w:vAlign w:val="center"/>
          </w:tcPr>
          <w:p>
            <w:pPr>
              <w:spacing w:line="300" w:lineRule="exact"/>
              <w:jc w:val="left"/>
              <w:outlineLvl w:val="0"/>
              <w:rPr>
                <w:rFonts w:ascii="仿宋" w:hAnsi="仿宋" w:eastAsia="仿宋" w:cs="Times New Roman"/>
              </w:rPr>
            </w:pPr>
          </w:p>
        </w:tc>
        <w:tc>
          <w:tcPr>
            <w:tcW w:w="737" w:type="dxa"/>
            <w:vAlign w:val="center"/>
          </w:tcPr>
          <w:p>
            <w:pPr>
              <w:spacing w:line="300" w:lineRule="exact"/>
              <w:jc w:val="center"/>
              <w:rPr>
                <w:rFonts w:ascii="仿宋" w:hAnsi="仿宋" w:eastAsia="仿宋" w:cs="Times New Roman"/>
                <w:b/>
                <w:bCs/>
              </w:rPr>
            </w:pPr>
            <w:r>
              <w:rPr>
                <w:rFonts w:hint="eastAsia" w:ascii="仿宋" w:hAnsi="仿宋" w:eastAsia="仿宋" w:cs="仿宋"/>
                <w:b/>
                <w:bCs/>
              </w:rPr>
              <w:t>优</w:t>
            </w:r>
          </w:p>
        </w:tc>
        <w:tc>
          <w:tcPr>
            <w:tcW w:w="737" w:type="dxa"/>
            <w:vAlign w:val="center"/>
          </w:tcPr>
          <w:p>
            <w:pPr>
              <w:spacing w:line="300" w:lineRule="exact"/>
              <w:jc w:val="center"/>
              <w:rPr>
                <w:rFonts w:ascii="仿宋" w:hAnsi="仿宋" w:eastAsia="仿宋" w:cs="Times New Roman"/>
                <w:b/>
                <w:bCs/>
              </w:rPr>
            </w:pPr>
            <w:r>
              <w:rPr>
                <w:rFonts w:hint="eastAsia" w:ascii="仿宋" w:hAnsi="仿宋" w:eastAsia="仿宋" w:cs="仿宋"/>
                <w:b/>
                <w:bCs/>
              </w:rPr>
              <w:t>良</w:t>
            </w:r>
          </w:p>
        </w:tc>
        <w:tc>
          <w:tcPr>
            <w:tcW w:w="737" w:type="dxa"/>
            <w:vAlign w:val="center"/>
          </w:tcPr>
          <w:p>
            <w:pPr>
              <w:spacing w:line="300" w:lineRule="exact"/>
              <w:jc w:val="center"/>
              <w:rPr>
                <w:rFonts w:ascii="仿宋" w:hAnsi="仿宋" w:eastAsia="仿宋" w:cs="Times New Roman"/>
                <w:b/>
                <w:bCs/>
              </w:rPr>
            </w:pPr>
            <w:r>
              <w:rPr>
                <w:rFonts w:hint="eastAsia" w:ascii="仿宋" w:hAnsi="仿宋" w:eastAsia="仿宋" w:cs="仿宋"/>
                <w:b/>
                <w:bCs/>
              </w:rPr>
              <w:t>中</w:t>
            </w:r>
          </w:p>
        </w:tc>
        <w:tc>
          <w:tcPr>
            <w:tcW w:w="737" w:type="dxa"/>
            <w:vAlign w:val="center"/>
          </w:tcPr>
          <w:p>
            <w:pPr>
              <w:spacing w:line="300" w:lineRule="exact"/>
              <w:jc w:val="center"/>
              <w:rPr>
                <w:rFonts w:ascii="仿宋" w:hAnsi="仿宋" w:eastAsia="仿宋" w:cs="Times New Roman"/>
                <w:b/>
                <w:bCs/>
              </w:rPr>
            </w:pPr>
            <w:r>
              <w:rPr>
                <w:rFonts w:hint="eastAsia" w:ascii="仿宋" w:hAnsi="仿宋" w:eastAsia="仿宋" w:cs="仿宋"/>
                <w:b/>
                <w:bCs/>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rPr>
            </w:pPr>
            <w:r>
              <w:rPr>
                <w:rFonts w:hint="eastAsia" w:ascii="仿宋" w:hAnsi="仿宋" w:eastAsia="仿宋" w:cs="仿宋"/>
                <w:b/>
                <w:bCs/>
              </w:rPr>
              <w:t>水利水电项目建设与管理</w:t>
            </w:r>
          </w:p>
        </w:tc>
        <w:tc>
          <w:tcPr>
            <w:tcW w:w="1276" w:type="dxa"/>
            <w:vAlign w:val="center"/>
          </w:tcPr>
          <w:p>
            <w:pPr>
              <w:spacing w:line="300" w:lineRule="exact"/>
              <w:jc w:val="left"/>
              <w:rPr>
                <w:rFonts w:ascii="仿宋" w:hAnsi="仿宋" w:eastAsia="仿宋" w:cs="Times New Roman"/>
              </w:rPr>
            </w:pPr>
            <w:r>
              <w:rPr>
                <w:rFonts w:hint="eastAsia" w:ascii="仿宋" w:hAnsi="仿宋" w:eastAsia="仿宋" w:cs="Times New Roman"/>
              </w:rPr>
              <w:t>0</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水利水电项目的建设与维护管理。</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按期完成水利水电项目建设和维修管护任务，对社会稳定和经济发展起到积极作用</w:t>
            </w:r>
          </w:p>
        </w:tc>
        <w:tc>
          <w:tcPr>
            <w:tcW w:w="1417" w:type="dxa"/>
            <w:vAlign w:val="center"/>
          </w:tcPr>
          <w:p>
            <w:pPr>
              <w:spacing w:line="300" w:lineRule="exact"/>
              <w:jc w:val="left"/>
              <w:rPr>
                <w:rFonts w:ascii="仿宋" w:hAnsi="仿宋" w:eastAsia="仿宋" w:cs="Times New Roman"/>
              </w:rPr>
            </w:pPr>
          </w:p>
        </w:tc>
        <w:tc>
          <w:tcPr>
            <w:tcW w:w="737" w:type="dxa"/>
            <w:vAlign w:val="center"/>
          </w:tcPr>
          <w:p>
            <w:pPr>
              <w:spacing w:line="300" w:lineRule="exact"/>
              <w:jc w:val="center"/>
              <w:rPr>
                <w:rFonts w:ascii="仿宋" w:hAnsi="仿宋" w:eastAsia="仿宋" w:cs="仿宋"/>
              </w:rPr>
            </w:pPr>
            <w:r>
              <w:rPr>
                <w:rFonts w:ascii="仿宋" w:hAnsi="仿宋" w:eastAsia="仿宋" w:cs="仿宋"/>
              </w:rPr>
              <w:t>100%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ascii="仿宋" w:hAnsi="仿宋" w:eastAsia="仿宋" w:cs="仿宋"/>
              </w:rPr>
              <w:t>90%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hint="eastAsia" w:ascii="仿宋" w:hAnsi="仿宋" w:eastAsia="仿宋" w:cs="仿宋"/>
              </w:rPr>
              <w:t>7</w:t>
            </w:r>
            <w:r>
              <w:rPr>
                <w:rFonts w:ascii="仿宋" w:hAnsi="仿宋" w:eastAsia="仿宋" w:cs="仿宋"/>
              </w:rPr>
              <w:t>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ascii="仿宋" w:hAnsi="仿宋" w:eastAsia="仿宋" w:cs="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rPr>
            </w:pPr>
            <w:r>
              <w:rPr>
                <w:rFonts w:hint="eastAsia" w:ascii="仿宋" w:hAnsi="仿宋" w:eastAsia="仿宋" w:cs="仿宋"/>
                <w:b/>
                <w:bCs/>
              </w:rPr>
              <w:t>　　水利工程建设</w:t>
            </w:r>
          </w:p>
        </w:tc>
        <w:tc>
          <w:tcPr>
            <w:tcW w:w="1276" w:type="dxa"/>
            <w:vAlign w:val="center"/>
          </w:tcPr>
          <w:p>
            <w:pPr>
              <w:spacing w:line="300" w:lineRule="exact"/>
              <w:jc w:val="left"/>
              <w:rPr>
                <w:rFonts w:ascii="仿宋" w:hAnsi="仿宋" w:eastAsia="仿宋" w:cs="Times New Roman"/>
              </w:rPr>
            </w:pPr>
            <w:r>
              <w:rPr>
                <w:rFonts w:hint="eastAsia" w:ascii="仿宋" w:hAnsi="仿宋" w:eastAsia="仿宋" w:cs="Times New Roman"/>
              </w:rPr>
              <w:t>0</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组织实施水利工程项目建设。</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按期保质保量完成水利项目建设任务</w:t>
            </w:r>
          </w:p>
        </w:tc>
        <w:tc>
          <w:tcPr>
            <w:tcW w:w="1417" w:type="dxa"/>
            <w:vAlign w:val="center"/>
          </w:tcPr>
          <w:p>
            <w:pPr>
              <w:spacing w:line="300" w:lineRule="exact"/>
              <w:jc w:val="left"/>
              <w:rPr>
                <w:rFonts w:ascii="仿宋" w:hAnsi="仿宋" w:eastAsia="仿宋" w:cs="Times New Roman"/>
              </w:rPr>
            </w:pPr>
            <w:r>
              <w:rPr>
                <w:rFonts w:hint="eastAsia" w:ascii="仿宋" w:hAnsi="仿宋" w:eastAsia="仿宋" w:cs="仿宋"/>
              </w:rPr>
              <w:t>项目完工率</w:t>
            </w:r>
          </w:p>
        </w:tc>
        <w:tc>
          <w:tcPr>
            <w:tcW w:w="737" w:type="dxa"/>
            <w:vAlign w:val="center"/>
          </w:tcPr>
          <w:p>
            <w:pPr>
              <w:spacing w:line="300" w:lineRule="exact"/>
              <w:jc w:val="center"/>
              <w:rPr>
                <w:rFonts w:ascii="仿宋" w:hAnsi="仿宋" w:eastAsia="仿宋" w:cs="仿宋"/>
              </w:rPr>
            </w:pPr>
            <w:r>
              <w:rPr>
                <w:rFonts w:ascii="仿宋" w:hAnsi="仿宋" w:eastAsia="仿宋" w:cs="仿宋"/>
              </w:rPr>
              <w:t>100%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ascii="仿宋" w:hAnsi="仿宋" w:eastAsia="仿宋" w:cs="仿宋"/>
              </w:rPr>
              <w:t>90%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hint="eastAsia" w:ascii="仿宋" w:hAnsi="仿宋" w:eastAsia="仿宋" w:cs="仿宋"/>
              </w:rPr>
              <w:t>7</w:t>
            </w:r>
            <w:r>
              <w:rPr>
                <w:rFonts w:ascii="仿宋" w:hAnsi="仿宋" w:eastAsia="仿宋" w:cs="仿宋"/>
              </w:rPr>
              <w:t>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ascii="仿宋" w:hAnsi="仿宋" w:eastAsia="仿宋" w:cs="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rPr>
            </w:pPr>
            <w:r>
              <w:rPr>
                <w:rFonts w:hint="eastAsia" w:ascii="仿宋" w:hAnsi="仿宋" w:eastAsia="仿宋" w:cs="仿宋"/>
                <w:b/>
                <w:bCs/>
              </w:rPr>
              <w:t>　　水利工程运行与维护</w:t>
            </w:r>
          </w:p>
        </w:tc>
        <w:tc>
          <w:tcPr>
            <w:tcW w:w="1276" w:type="dxa"/>
            <w:vAlign w:val="center"/>
          </w:tcPr>
          <w:p>
            <w:pPr>
              <w:spacing w:line="300" w:lineRule="exact"/>
              <w:jc w:val="left"/>
              <w:rPr>
                <w:rFonts w:ascii="仿宋" w:hAnsi="仿宋" w:eastAsia="仿宋" w:cs="Times New Roman"/>
              </w:rPr>
            </w:pPr>
            <w:r>
              <w:rPr>
                <w:rFonts w:hint="eastAsia" w:ascii="仿宋" w:hAnsi="仿宋" w:eastAsia="仿宋" w:cs="Times New Roman"/>
              </w:rPr>
              <w:t>44.22</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指导河道堤防、水库、水闸、排灌泵站、水文等水利工程运行管理和加强对全县水利行业的安全生产监督、检查。对水利工程进行维修养护，确保工程安全运行。</w:t>
            </w:r>
          </w:p>
          <w:p>
            <w:pPr>
              <w:spacing w:line="300" w:lineRule="exact"/>
              <w:jc w:val="left"/>
              <w:rPr>
                <w:rFonts w:ascii="仿宋" w:hAnsi="仿宋" w:eastAsia="仿宋" w:cs="Times New Roman"/>
              </w:rPr>
            </w:pPr>
            <w:r>
              <w:rPr>
                <w:rFonts w:hint="eastAsia" w:ascii="仿宋" w:hAnsi="仿宋" w:eastAsia="仿宋" w:cs="仿宋"/>
              </w:rPr>
              <w:t>编制全县水利工程运行与维护计划，指导河道堤防、水库、水闸、排灌泵站、水文等水利工程运行管理和加强对全县水利行业的安全生产监督、检查。对水利工程进行维修养护，确保工程安全运行。</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年度维修养护工程质量全部合格，工程正常运行。</w:t>
            </w:r>
          </w:p>
        </w:tc>
        <w:tc>
          <w:tcPr>
            <w:tcW w:w="1417" w:type="dxa"/>
            <w:vAlign w:val="center"/>
          </w:tcPr>
          <w:p>
            <w:pPr>
              <w:spacing w:line="300" w:lineRule="exact"/>
              <w:jc w:val="left"/>
              <w:rPr>
                <w:rFonts w:ascii="仿宋" w:hAnsi="仿宋" w:eastAsia="仿宋" w:cs="Times New Roman"/>
              </w:rPr>
            </w:pPr>
            <w:r>
              <w:rPr>
                <w:rFonts w:hint="eastAsia" w:ascii="仿宋" w:hAnsi="仿宋" w:eastAsia="仿宋" w:cs="仿宋"/>
              </w:rPr>
              <w:t>工程质量验收合格率</w:t>
            </w:r>
          </w:p>
        </w:tc>
        <w:tc>
          <w:tcPr>
            <w:tcW w:w="737" w:type="dxa"/>
            <w:vAlign w:val="center"/>
          </w:tcPr>
          <w:p>
            <w:pPr>
              <w:spacing w:line="300" w:lineRule="exact"/>
              <w:jc w:val="center"/>
              <w:rPr>
                <w:rFonts w:ascii="仿宋" w:hAnsi="仿宋" w:eastAsia="仿宋" w:cs="仿宋"/>
              </w:rPr>
            </w:pPr>
            <w:r>
              <w:rPr>
                <w:rFonts w:ascii="仿宋" w:hAnsi="仿宋" w:eastAsia="仿宋" w:cs="仿宋"/>
              </w:rPr>
              <w:t>100%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ascii="仿宋" w:hAnsi="仿宋" w:eastAsia="仿宋" w:cs="仿宋"/>
              </w:rPr>
              <w:t>90%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hint="eastAsia" w:ascii="仿宋" w:hAnsi="仿宋" w:eastAsia="仿宋" w:cs="仿宋"/>
              </w:rPr>
              <w:t>7</w:t>
            </w:r>
            <w:r>
              <w:rPr>
                <w:rFonts w:ascii="仿宋" w:hAnsi="仿宋" w:eastAsia="仿宋" w:cs="仿宋"/>
              </w:rPr>
              <w:t>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ascii="仿宋" w:hAnsi="仿宋" w:eastAsia="仿宋" w:cs="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rPr>
            </w:pPr>
            <w:r>
              <w:rPr>
                <w:rFonts w:hint="eastAsia" w:ascii="仿宋" w:hAnsi="仿宋" w:eastAsia="仿宋" w:cs="仿宋"/>
                <w:b/>
                <w:bCs/>
              </w:rPr>
              <w:t>　　农田水利建设</w:t>
            </w:r>
          </w:p>
        </w:tc>
        <w:tc>
          <w:tcPr>
            <w:tcW w:w="1276" w:type="dxa"/>
            <w:vAlign w:val="center"/>
          </w:tcPr>
          <w:p>
            <w:pPr>
              <w:spacing w:line="300" w:lineRule="exact"/>
              <w:jc w:val="left"/>
              <w:rPr>
                <w:rFonts w:ascii="仿宋" w:hAnsi="仿宋" w:eastAsia="仿宋" w:cs="Times New Roman"/>
                <w:highlight w:val="yellow"/>
              </w:rPr>
            </w:pPr>
            <w:r>
              <w:rPr>
                <w:rFonts w:hint="eastAsia" w:ascii="仿宋" w:hAnsi="仿宋" w:eastAsia="仿宋" w:cs="Times New Roman"/>
              </w:rPr>
              <w:t>0</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建设小型农田水利设施，实施节水灌溉、灌区续建配套与节水改造等，推广综合节水技术，农业水价综合改革，开展乡镇水利站建设。</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提高农业用水效率、改善农业生产条件</w:t>
            </w:r>
          </w:p>
        </w:tc>
        <w:tc>
          <w:tcPr>
            <w:tcW w:w="1417" w:type="dxa"/>
            <w:vAlign w:val="center"/>
          </w:tcPr>
          <w:p>
            <w:pPr>
              <w:spacing w:line="300" w:lineRule="exact"/>
              <w:jc w:val="left"/>
              <w:rPr>
                <w:rFonts w:ascii="仿宋" w:hAnsi="仿宋" w:eastAsia="仿宋" w:cs="Times New Roman"/>
              </w:rPr>
            </w:pPr>
            <w:r>
              <w:rPr>
                <w:rFonts w:hint="eastAsia" w:ascii="仿宋" w:hAnsi="仿宋" w:eastAsia="仿宋" w:cs="仿宋"/>
              </w:rPr>
              <w:t>项目完工率</w:t>
            </w:r>
          </w:p>
        </w:tc>
        <w:tc>
          <w:tcPr>
            <w:tcW w:w="737" w:type="dxa"/>
            <w:vAlign w:val="center"/>
          </w:tcPr>
          <w:p>
            <w:pPr>
              <w:spacing w:line="300" w:lineRule="exact"/>
              <w:jc w:val="center"/>
              <w:rPr>
                <w:rFonts w:ascii="仿宋" w:hAnsi="仿宋" w:eastAsia="仿宋" w:cs="仿宋"/>
              </w:rPr>
            </w:pPr>
            <w:r>
              <w:rPr>
                <w:rFonts w:ascii="仿宋" w:hAnsi="仿宋" w:eastAsia="仿宋" w:cs="仿宋"/>
              </w:rPr>
              <w:t>100%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ascii="仿宋" w:hAnsi="仿宋" w:eastAsia="仿宋" w:cs="仿宋"/>
              </w:rPr>
              <w:t>90%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hint="eastAsia" w:ascii="仿宋" w:hAnsi="仿宋" w:eastAsia="仿宋" w:cs="仿宋"/>
              </w:rPr>
              <w:t>7</w:t>
            </w:r>
            <w:r>
              <w:rPr>
                <w:rFonts w:ascii="仿宋" w:hAnsi="仿宋" w:eastAsia="仿宋" w:cs="仿宋"/>
              </w:rPr>
              <w:t>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ascii="仿宋" w:hAnsi="仿宋" w:eastAsia="仿宋" w:cs="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rPr>
            </w:pPr>
            <w:r>
              <w:rPr>
                <w:rFonts w:hint="eastAsia" w:ascii="仿宋" w:hAnsi="仿宋" w:eastAsia="仿宋" w:cs="仿宋"/>
                <w:b/>
                <w:bCs/>
              </w:rPr>
              <w:t>　　保障农村饮水安全</w:t>
            </w:r>
          </w:p>
        </w:tc>
        <w:tc>
          <w:tcPr>
            <w:tcW w:w="1276" w:type="dxa"/>
            <w:vAlign w:val="center"/>
          </w:tcPr>
          <w:p>
            <w:pPr>
              <w:spacing w:line="300" w:lineRule="exact"/>
              <w:jc w:val="left"/>
              <w:rPr>
                <w:rFonts w:ascii="仿宋" w:hAnsi="仿宋" w:eastAsia="仿宋" w:cs="Times New Roman"/>
                <w:highlight w:val="yellow"/>
              </w:rPr>
            </w:pPr>
            <w:r>
              <w:rPr>
                <w:rFonts w:hint="eastAsia" w:ascii="仿宋" w:hAnsi="仿宋" w:eastAsia="仿宋" w:cs="Times New Roman"/>
              </w:rPr>
              <w:t>0</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在全县范围内通过实施农村饮水安全项目，解决农村居民饮水不安全问题。</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保障农村供水安全</w:t>
            </w:r>
          </w:p>
        </w:tc>
        <w:tc>
          <w:tcPr>
            <w:tcW w:w="1417" w:type="dxa"/>
            <w:vAlign w:val="center"/>
          </w:tcPr>
          <w:p>
            <w:pPr>
              <w:spacing w:line="300" w:lineRule="exact"/>
              <w:jc w:val="left"/>
              <w:rPr>
                <w:rFonts w:ascii="仿宋" w:hAnsi="仿宋" w:eastAsia="仿宋" w:cs="Times New Roman"/>
              </w:rPr>
            </w:pPr>
            <w:r>
              <w:rPr>
                <w:rFonts w:hint="eastAsia" w:ascii="仿宋" w:hAnsi="仿宋" w:eastAsia="仿宋" w:cs="仿宋"/>
              </w:rPr>
              <w:t>任务完成率</w:t>
            </w:r>
          </w:p>
        </w:tc>
        <w:tc>
          <w:tcPr>
            <w:tcW w:w="737" w:type="dxa"/>
            <w:vAlign w:val="center"/>
          </w:tcPr>
          <w:p>
            <w:pPr>
              <w:spacing w:line="300" w:lineRule="exact"/>
              <w:jc w:val="center"/>
              <w:rPr>
                <w:rFonts w:ascii="仿宋" w:hAnsi="仿宋" w:eastAsia="仿宋" w:cs="仿宋"/>
              </w:rPr>
            </w:pPr>
            <w:r>
              <w:rPr>
                <w:rFonts w:ascii="仿宋" w:hAnsi="仿宋" w:eastAsia="仿宋" w:cs="仿宋"/>
              </w:rPr>
              <w:t>100%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ascii="仿宋" w:hAnsi="仿宋" w:eastAsia="仿宋" w:cs="仿宋"/>
              </w:rPr>
              <w:t>90%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hint="eastAsia" w:ascii="仿宋" w:hAnsi="仿宋" w:eastAsia="仿宋" w:cs="仿宋"/>
              </w:rPr>
              <w:t>7</w:t>
            </w:r>
            <w:r>
              <w:rPr>
                <w:rFonts w:ascii="仿宋" w:hAnsi="仿宋" w:eastAsia="仿宋" w:cs="仿宋"/>
              </w:rPr>
              <w:t>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ascii="仿宋" w:hAnsi="仿宋" w:eastAsia="仿宋" w:cs="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rPr>
            </w:pPr>
            <w:r>
              <w:rPr>
                <w:rFonts w:hint="eastAsia" w:ascii="仿宋" w:hAnsi="仿宋" w:eastAsia="仿宋" w:cs="仿宋"/>
                <w:b/>
                <w:bCs/>
              </w:rPr>
              <w:t>　　水库移民安置及后期管理</w:t>
            </w:r>
          </w:p>
        </w:tc>
        <w:tc>
          <w:tcPr>
            <w:tcW w:w="1276" w:type="dxa"/>
            <w:vAlign w:val="center"/>
          </w:tcPr>
          <w:p>
            <w:pPr>
              <w:spacing w:line="300" w:lineRule="exact"/>
              <w:jc w:val="left"/>
              <w:rPr>
                <w:rFonts w:ascii="仿宋" w:hAnsi="仿宋" w:eastAsia="仿宋" w:cs="Times New Roman"/>
                <w:highlight w:val="yellow"/>
              </w:rPr>
            </w:pPr>
            <w:r>
              <w:rPr>
                <w:rFonts w:hint="eastAsia" w:ascii="仿宋" w:hAnsi="仿宋" w:eastAsia="仿宋" w:cs="Times New Roman"/>
              </w:rPr>
              <w:t>0</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落实水库移民政策，扶持移民发展生产，保持移民稳定。</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增加移民收入，改善移民生产生活条件，促进移民稳定</w:t>
            </w:r>
          </w:p>
        </w:tc>
        <w:tc>
          <w:tcPr>
            <w:tcW w:w="1417" w:type="dxa"/>
            <w:vAlign w:val="center"/>
          </w:tcPr>
          <w:p>
            <w:pPr>
              <w:spacing w:line="300" w:lineRule="exact"/>
              <w:jc w:val="left"/>
              <w:rPr>
                <w:rFonts w:ascii="仿宋" w:hAnsi="仿宋" w:eastAsia="仿宋" w:cs="Times New Roman"/>
              </w:rPr>
            </w:pPr>
            <w:r>
              <w:rPr>
                <w:rFonts w:hint="eastAsia" w:ascii="仿宋" w:hAnsi="仿宋" w:eastAsia="仿宋" w:cs="仿宋"/>
              </w:rPr>
              <w:t>移民政策落实率</w:t>
            </w:r>
          </w:p>
        </w:tc>
        <w:tc>
          <w:tcPr>
            <w:tcW w:w="737" w:type="dxa"/>
            <w:vAlign w:val="center"/>
          </w:tcPr>
          <w:p>
            <w:pPr>
              <w:spacing w:line="300" w:lineRule="exact"/>
              <w:jc w:val="center"/>
              <w:rPr>
                <w:rFonts w:ascii="仿宋" w:hAnsi="仿宋" w:eastAsia="仿宋" w:cs="仿宋"/>
              </w:rPr>
            </w:pPr>
            <w:r>
              <w:rPr>
                <w:rFonts w:ascii="仿宋" w:hAnsi="仿宋" w:eastAsia="仿宋" w:cs="仿宋"/>
              </w:rPr>
              <w:t>100%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ascii="仿宋" w:hAnsi="仿宋" w:eastAsia="仿宋" w:cs="仿宋"/>
              </w:rPr>
              <w:t>90%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hint="eastAsia" w:ascii="仿宋" w:hAnsi="仿宋" w:eastAsia="仿宋" w:cs="仿宋"/>
              </w:rPr>
              <w:t>7</w:t>
            </w:r>
            <w:r>
              <w:rPr>
                <w:rFonts w:ascii="仿宋" w:hAnsi="仿宋" w:eastAsia="仿宋" w:cs="仿宋"/>
              </w:rPr>
              <w:t>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ascii="仿宋" w:hAnsi="仿宋" w:eastAsia="仿宋" w:cs="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rPr>
            </w:pPr>
            <w:r>
              <w:rPr>
                <w:rFonts w:hint="eastAsia" w:ascii="仿宋" w:hAnsi="仿宋" w:eastAsia="仿宋" w:cs="仿宋"/>
                <w:b/>
                <w:bCs/>
              </w:rPr>
              <w:t>　　农村水电建设与管理</w:t>
            </w:r>
          </w:p>
        </w:tc>
        <w:tc>
          <w:tcPr>
            <w:tcW w:w="1276" w:type="dxa"/>
            <w:vAlign w:val="center"/>
          </w:tcPr>
          <w:p>
            <w:pPr>
              <w:spacing w:line="300" w:lineRule="exact"/>
              <w:jc w:val="left"/>
              <w:rPr>
                <w:rFonts w:ascii="仿宋" w:hAnsi="仿宋" w:eastAsia="仿宋" w:cs="Times New Roman"/>
                <w:highlight w:val="yellow"/>
              </w:rPr>
            </w:pPr>
            <w:r>
              <w:rPr>
                <w:rFonts w:hint="eastAsia" w:ascii="仿宋" w:hAnsi="仿宋" w:eastAsia="仿宋" w:cs="Times New Roman"/>
              </w:rPr>
              <w:t>0</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开展水能资源调查评价、水能资源开发利用规划编制。农村水电建设、质量和安全监督管理、绿色小水电建设。</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充分利用水能资源，提供清洁可再生能源，促进节能减排，保护生态环境，服务“三农”</w:t>
            </w:r>
          </w:p>
        </w:tc>
        <w:tc>
          <w:tcPr>
            <w:tcW w:w="1417" w:type="dxa"/>
            <w:vAlign w:val="center"/>
          </w:tcPr>
          <w:p>
            <w:pPr>
              <w:spacing w:line="300" w:lineRule="exact"/>
              <w:jc w:val="left"/>
              <w:rPr>
                <w:rFonts w:ascii="仿宋" w:hAnsi="仿宋" w:eastAsia="仿宋" w:cs="Times New Roman"/>
              </w:rPr>
            </w:pPr>
            <w:r>
              <w:rPr>
                <w:rFonts w:hint="eastAsia" w:ascii="仿宋" w:hAnsi="仿宋" w:eastAsia="仿宋" w:cs="仿宋"/>
              </w:rPr>
              <w:t>项目完成率</w:t>
            </w:r>
          </w:p>
        </w:tc>
        <w:tc>
          <w:tcPr>
            <w:tcW w:w="737" w:type="dxa"/>
            <w:vAlign w:val="center"/>
          </w:tcPr>
          <w:p>
            <w:pPr>
              <w:spacing w:line="300" w:lineRule="exact"/>
              <w:jc w:val="center"/>
              <w:rPr>
                <w:rFonts w:ascii="仿宋" w:hAnsi="仿宋" w:eastAsia="仿宋" w:cs="仿宋"/>
              </w:rPr>
            </w:pPr>
            <w:r>
              <w:rPr>
                <w:rFonts w:ascii="仿宋" w:hAnsi="仿宋" w:eastAsia="仿宋" w:cs="仿宋"/>
              </w:rPr>
              <w:t>100%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ascii="仿宋" w:hAnsi="仿宋" w:eastAsia="仿宋" w:cs="仿宋"/>
              </w:rPr>
              <w:t>90%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hint="eastAsia" w:ascii="仿宋" w:hAnsi="仿宋" w:eastAsia="仿宋" w:cs="仿宋"/>
              </w:rPr>
              <w:t>7</w:t>
            </w:r>
            <w:r>
              <w:rPr>
                <w:rFonts w:ascii="仿宋" w:hAnsi="仿宋" w:eastAsia="仿宋" w:cs="仿宋"/>
              </w:rPr>
              <w:t>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ascii="仿宋" w:hAnsi="仿宋" w:eastAsia="仿宋" w:cs="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rPr>
            </w:pPr>
            <w:r>
              <w:rPr>
                <w:rFonts w:hint="eastAsia" w:ascii="仿宋" w:hAnsi="仿宋" w:eastAsia="仿宋" w:cs="仿宋"/>
                <w:b/>
                <w:bCs/>
              </w:rPr>
              <w:t>农业灌溉水费</w:t>
            </w:r>
          </w:p>
        </w:tc>
        <w:tc>
          <w:tcPr>
            <w:tcW w:w="1276" w:type="dxa"/>
            <w:vAlign w:val="center"/>
          </w:tcPr>
          <w:p>
            <w:pPr>
              <w:spacing w:line="300" w:lineRule="exact"/>
              <w:jc w:val="left"/>
              <w:rPr>
                <w:rFonts w:ascii="仿宋" w:hAnsi="仿宋" w:eastAsia="仿宋" w:cs="Times New Roman"/>
              </w:rPr>
            </w:pPr>
            <w:r>
              <w:rPr>
                <w:rFonts w:ascii="仿宋" w:hAnsi="仿宋" w:eastAsia="仿宋" w:cs="仿宋"/>
              </w:rPr>
              <w:t>360</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农业灌溉水费，进行全县农业灌溉。</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保证全县农业灌溉用水。</w:t>
            </w:r>
          </w:p>
        </w:tc>
        <w:tc>
          <w:tcPr>
            <w:tcW w:w="1417" w:type="dxa"/>
            <w:vAlign w:val="center"/>
          </w:tcPr>
          <w:p>
            <w:pPr>
              <w:spacing w:line="300" w:lineRule="exact"/>
              <w:jc w:val="left"/>
              <w:rPr>
                <w:rFonts w:ascii="仿宋" w:hAnsi="仿宋" w:eastAsia="仿宋" w:cs="Times New Roman"/>
              </w:rPr>
            </w:pPr>
          </w:p>
        </w:tc>
        <w:tc>
          <w:tcPr>
            <w:tcW w:w="737" w:type="dxa"/>
            <w:vAlign w:val="center"/>
          </w:tcPr>
          <w:p>
            <w:pPr>
              <w:spacing w:line="300" w:lineRule="exact"/>
              <w:jc w:val="center"/>
              <w:rPr>
                <w:rFonts w:ascii="仿宋" w:hAnsi="仿宋" w:eastAsia="仿宋" w:cs="仿宋"/>
              </w:rPr>
            </w:pPr>
            <w:r>
              <w:rPr>
                <w:rFonts w:ascii="仿宋" w:hAnsi="仿宋" w:eastAsia="仿宋" w:cs="仿宋"/>
              </w:rPr>
              <w:t>100%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ascii="仿宋" w:hAnsi="仿宋" w:eastAsia="仿宋" w:cs="仿宋"/>
              </w:rPr>
              <w:t>90%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hint="eastAsia" w:ascii="仿宋" w:hAnsi="仿宋" w:eastAsia="仿宋" w:cs="仿宋"/>
              </w:rPr>
              <w:t>7</w:t>
            </w:r>
            <w:r>
              <w:rPr>
                <w:rFonts w:ascii="仿宋" w:hAnsi="仿宋" w:eastAsia="仿宋" w:cs="仿宋"/>
              </w:rPr>
              <w:t>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ascii="仿宋" w:hAnsi="仿宋" w:eastAsia="仿宋" w:cs="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rPr>
            </w:pPr>
            <w:r>
              <w:rPr>
                <w:rFonts w:hint="eastAsia" w:ascii="仿宋" w:hAnsi="仿宋" w:eastAsia="仿宋" w:cs="仿宋"/>
                <w:b/>
                <w:bCs/>
              </w:rPr>
              <w:t>　　农业灌溉水费</w:t>
            </w:r>
          </w:p>
        </w:tc>
        <w:tc>
          <w:tcPr>
            <w:tcW w:w="1276" w:type="dxa"/>
            <w:vAlign w:val="center"/>
          </w:tcPr>
          <w:p>
            <w:pPr>
              <w:spacing w:line="300" w:lineRule="exact"/>
              <w:jc w:val="left"/>
              <w:rPr>
                <w:rFonts w:ascii="仿宋" w:hAnsi="仿宋" w:eastAsia="仿宋" w:cs="Times New Roman"/>
              </w:rPr>
            </w:pPr>
            <w:r>
              <w:rPr>
                <w:rFonts w:ascii="仿宋" w:hAnsi="仿宋" w:eastAsia="仿宋" w:cs="仿宋"/>
              </w:rPr>
              <w:t>360</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对全县农业灌溉进行全面覆盖。</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全县农业灌溉进行全面覆盖</w:t>
            </w:r>
          </w:p>
        </w:tc>
        <w:tc>
          <w:tcPr>
            <w:tcW w:w="1417" w:type="dxa"/>
            <w:vAlign w:val="center"/>
          </w:tcPr>
          <w:p>
            <w:pPr>
              <w:spacing w:line="300" w:lineRule="exact"/>
              <w:jc w:val="left"/>
              <w:rPr>
                <w:rFonts w:ascii="仿宋" w:hAnsi="仿宋" w:eastAsia="仿宋" w:cs="Times New Roman"/>
              </w:rPr>
            </w:pPr>
            <w:r>
              <w:rPr>
                <w:rFonts w:hint="eastAsia" w:ascii="仿宋" w:hAnsi="仿宋" w:eastAsia="仿宋" w:cs="仿宋"/>
              </w:rPr>
              <w:t>全面覆盖</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ascii="仿宋" w:hAnsi="仿宋" w:eastAsia="仿宋" w:cs="仿宋"/>
              </w:rPr>
              <w:t>60%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ascii="仿宋" w:hAnsi="仿宋" w:eastAsia="仿宋" w:cs="仿宋"/>
              </w:rPr>
              <w:t>55%</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hint="eastAsia" w:ascii="仿宋" w:hAnsi="仿宋" w:eastAsia="仿宋" w:cs="仿宋"/>
              </w:rPr>
              <w:t>4</w:t>
            </w:r>
            <w:r>
              <w:rPr>
                <w:rFonts w:ascii="仿宋" w:hAnsi="仿宋" w:eastAsia="仿宋" w:cs="仿宋"/>
              </w:rPr>
              <w:t>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ascii="仿宋" w:hAnsi="仿宋" w:eastAsia="仿宋" w:cs="仿宋"/>
              </w:rPr>
              <w:t>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rPr>
            </w:pPr>
            <w:r>
              <w:rPr>
                <w:rFonts w:hint="eastAsia" w:ascii="仿宋" w:hAnsi="仿宋" w:eastAsia="仿宋" w:cs="仿宋"/>
                <w:b/>
                <w:bCs/>
              </w:rPr>
              <w:t>南水北调水厂</w:t>
            </w:r>
          </w:p>
        </w:tc>
        <w:tc>
          <w:tcPr>
            <w:tcW w:w="1276" w:type="dxa"/>
            <w:vAlign w:val="center"/>
          </w:tcPr>
          <w:p>
            <w:pPr>
              <w:spacing w:line="300" w:lineRule="exact"/>
              <w:jc w:val="left"/>
              <w:rPr>
                <w:rFonts w:ascii="仿宋" w:hAnsi="仿宋" w:eastAsia="仿宋" w:cs="Times New Roman"/>
              </w:rPr>
            </w:pPr>
            <w:r>
              <w:rPr>
                <w:rFonts w:hint="eastAsia" w:ascii="仿宋" w:hAnsi="仿宋" w:eastAsia="仿宋" w:cs="仿宋"/>
              </w:rPr>
              <w:t>1300</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供应全县生活用水</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达到县城生活用水供应</w:t>
            </w:r>
          </w:p>
        </w:tc>
        <w:tc>
          <w:tcPr>
            <w:tcW w:w="1417" w:type="dxa"/>
            <w:vAlign w:val="center"/>
          </w:tcPr>
          <w:p>
            <w:pPr>
              <w:spacing w:line="300" w:lineRule="exact"/>
              <w:jc w:val="left"/>
              <w:rPr>
                <w:rFonts w:ascii="仿宋" w:hAnsi="仿宋" w:eastAsia="仿宋" w:cs="Times New Roman"/>
              </w:rPr>
            </w:pPr>
          </w:p>
        </w:tc>
        <w:tc>
          <w:tcPr>
            <w:tcW w:w="737" w:type="dxa"/>
            <w:vAlign w:val="center"/>
          </w:tcPr>
          <w:p>
            <w:pPr>
              <w:spacing w:line="300" w:lineRule="exact"/>
              <w:jc w:val="center"/>
              <w:rPr>
                <w:rFonts w:ascii="仿宋" w:hAnsi="仿宋" w:eastAsia="仿宋" w:cs="Times New Roman"/>
              </w:rPr>
            </w:pPr>
          </w:p>
        </w:tc>
        <w:tc>
          <w:tcPr>
            <w:tcW w:w="737" w:type="dxa"/>
            <w:vAlign w:val="center"/>
          </w:tcPr>
          <w:p>
            <w:pPr>
              <w:spacing w:line="300" w:lineRule="exact"/>
              <w:jc w:val="center"/>
              <w:rPr>
                <w:rFonts w:ascii="仿宋" w:hAnsi="仿宋" w:eastAsia="仿宋" w:cs="Times New Roman"/>
              </w:rPr>
            </w:pPr>
          </w:p>
        </w:tc>
        <w:tc>
          <w:tcPr>
            <w:tcW w:w="737" w:type="dxa"/>
            <w:vAlign w:val="center"/>
          </w:tcPr>
          <w:p>
            <w:pPr>
              <w:spacing w:line="300" w:lineRule="exact"/>
              <w:jc w:val="center"/>
              <w:rPr>
                <w:rFonts w:ascii="仿宋" w:hAnsi="仿宋" w:eastAsia="仿宋" w:cs="Times New Roman"/>
              </w:rPr>
            </w:pPr>
          </w:p>
        </w:tc>
        <w:tc>
          <w:tcPr>
            <w:tcW w:w="737" w:type="dxa"/>
            <w:vAlign w:val="center"/>
          </w:tcPr>
          <w:p>
            <w:pPr>
              <w:spacing w:line="300" w:lineRule="exact"/>
              <w:jc w:val="center"/>
              <w:rPr>
                <w:rFonts w:ascii="仿宋" w:hAnsi="仿宋" w:eastAsia="仿宋"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rPr>
            </w:pPr>
            <w:r>
              <w:rPr>
                <w:rFonts w:hint="eastAsia" w:ascii="仿宋" w:hAnsi="仿宋" w:eastAsia="仿宋" w:cs="仿宋"/>
                <w:b/>
                <w:bCs/>
              </w:rPr>
              <w:t>　南水北调水费</w:t>
            </w:r>
          </w:p>
        </w:tc>
        <w:tc>
          <w:tcPr>
            <w:tcW w:w="1276" w:type="dxa"/>
            <w:vAlign w:val="center"/>
          </w:tcPr>
          <w:p>
            <w:pPr>
              <w:spacing w:line="300" w:lineRule="exact"/>
              <w:jc w:val="left"/>
              <w:rPr>
                <w:rFonts w:ascii="仿宋" w:hAnsi="仿宋" w:eastAsia="仿宋" w:cs="Times New Roman"/>
              </w:rPr>
            </w:pPr>
            <w:r>
              <w:rPr>
                <w:rFonts w:hint="eastAsia" w:ascii="仿宋" w:hAnsi="仿宋" w:eastAsia="仿宋" w:cs="Times New Roman"/>
              </w:rPr>
              <w:t>1300</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供应全县城镇生活用水</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供应全县生活用水</w:t>
            </w:r>
          </w:p>
        </w:tc>
        <w:tc>
          <w:tcPr>
            <w:tcW w:w="1417" w:type="dxa"/>
            <w:vAlign w:val="center"/>
          </w:tcPr>
          <w:p>
            <w:pPr>
              <w:spacing w:line="300" w:lineRule="exact"/>
              <w:jc w:val="left"/>
              <w:rPr>
                <w:rFonts w:ascii="仿宋" w:hAnsi="仿宋" w:eastAsia="仿宋" w:cs="Times New Roman"/>
              </w:rPr>
            </w:pPr>
            <w:r>
              <w:rPr>
                <w:rFonts w:hint="eastAsia" w:ascii="仿宋" w:hAnsi="仿宋" w:eastAsia="仿宋" w:cs="仿宋"/>
              </w:rPr>
              <w:t>达到城镇供水全覆盖</w:t>
            </w:r>
          </w:p>
        </w:tc>
        <w:tc>
          <w:tcPr>
            <w:tcW w:w="737" w:type="dxa"/>
            <w:vAlign w:val="center"/>
          </w:tcPr>
          <w:p>
            <w:pPr>
              <w:spacing w:line="300" w:lineRule="exact"/>
              <w:jc w:val="center"/>
              <w:rPr>
                <w:rFonts w:ascii="仿宋" w:hAnsi="仿宋" w:eastAsia="仿宋" w:cs="仿宋"/>
              </w:rPr>
            </w:pPr>
            <w:r>
              <w:rPr>
                <w:rFonts w:ascii="仿宋" w:hAnsi="仿宋" w:eastAsia="仿宋" w:cs="仿宋"/>
              </w:rPr>
              <w:t>100%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ascii="仿宋" w:hAnsi="仿宋" w:eastAsia="仿宋" w:cs="仿宋"/>
              </w:rPr>
              <w:t>90%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ascii="仿宋" w:hAnsi="仿宋" w:eastAsia="仿宋" w:cs="仿宋"/>
              </w:rPr>
              <w:t>80%</w:t>
            </w:r>
          </w:p>
        </w:tc>
        <w:tc>
          <w:tcPr>
            <w:tcW w:w="737" w:type="dxa"/>
            <w:vAlign w:val="center"/>
          </w:tcPr>
          <w:p>
            <w:pPr>
              <w:spacing w:line="300" w:lineRule="exact"/>
              <w:jc w:val="center"/>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rPr>
            </w:pPr>
            <w:r>
              <w:rPr>
                <w:rFonts w:hint="eastAsia" w:ascii="仿宋" w:hAnsi="仿宋" w:eastAsia="仿宋" w:cs="仿宋"/>
                <w:b/>
                <w:bCs/>
              </w:rPr>
              <w:t>　　南水北调水厂建设</w:t>
            </w:r>
          </w:p>
        </w:tc>
        <w:tc>
          <w:tcPr>
            <w:tcW w:w="1276" w:type="dxa"/>
            <w:vAlign w:val="center"/>
          </w:tcPr>
          <w:p>
            <w:pPr>
              <w:spacing w:line="300" w:lineRule="exact"/>
              <w:jc w:val="left"/>
              <w:rPr>
                <w:rFonts w:ascii="仿宋" w:hAnsi="仿宋" w:eastAsia="仿宋" w:cs="Times New Roman"/>
              </w:rPr>
            </w:pPr>
            <w:r>
              <w:rPr>
                <w:rFonts w:hint="eastAsia" w:ascii="仿宋" w:hAnsi="仿宋" w:eastAsia="仿宋" w:cs="Times New Roman"/>
              </w:rPr>
              <w:t>0</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供应全县生活用水</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供应全县生活用水</w:t>
            </w:r>
          </w:p>
        </w:tc>
        <w:tc>
          <w:tcPr>
            <w:tcW w:w="1417" w:type="dxa"/>
            <w:vAlign w:val="center"/>
          </w:tcPr>
          <w:p>
            <w:pPr>
              <w:spacing w:line="300" w:lineRule="exact"/>
              <w:jc w:val="left"/>
              <w:rPr>
                <w:rFonts w:ascii="仿宋" w:hAnsi="仿宋" w:eastAsia="仿宋" w:cs="Times New Roman"/>
              </w:rPr>
            </w:pPr>
            <w:r>
              <w:rPr>
                <w:rFonts w:hint="eastAsia" w:ascii="仿宋" w:hAnsi="仿宋" w:eastAsia="仿宋" w:cs="仿宋"/>
              </w:rPr>
              <w:t>达到县城生活用水供应</w:t>
            </w:r>
          </w:p>
        </w:tc>
        <w:tc>
          <w:tcPr>
            <w:tcW w:w="737" w:type="dxa"/>
            <w:vAlign w:val="center"/>
          </w:tcPr>
          <w:p>
            <w:pPr>
              <w:spacing w:line="300" w:lineRule="exact"/>
              <w:jc w:val="center"/>
              <w:rPr>
                <w:rFonts w:ascii="仿宋" w:hAnsi="仿宋" w:eastAsia="仿宋" w:cs="仿宋"/>
              </w:rPr>
            </w:pPr>
            <w:r>
              <w:rPr>
                <w:rFonts w:ascii="仿宋" w:hAnsi="仿宋" w:eastAsia="仿宋" w:cs="仿宋"/>
              </w:rPr>
              <w:t>100%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ascii="仿宋" w:hAnsi="仿宋" w:eastAsia="仿宋" w:cs="仿宋"/>
              </w:rPr>
              <w:t>90%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ascii="仿宋" w:hAnsi="仿宋" w:eastAsia="仿宋" w:cs="仿宋"/>
              </w:rPr>
              <w:t>80%</w:t>
            </w:r>
          </w:p>
        </w:tc>
        <w:tc>
          <w:tcPr>
            <w:tcW w:w="737" w:type="dxa"/>
            <w:vAlign w:val="center"/>
          </w:tcPr>
          <w:p>
            <w:pPr>
              <w:spacing w:line="300" w:lineRule="exact"/>
              <w:jc w:val="center"/>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rPr>
            </w:pPr>
            <w:r>
              <w:rPr>
                <w:rFonts w:hint="eastAsia" w:ascii="仿宋" w:hAnsi="仿宋" w:eastAsia="仿宋" w:cs="仿宋"/>
                <w:b/>
                <w:bCs/>
              </w:rPr>
              <w:t>水资源保护和生态建设</w:t>
            </w:r>
          </w:p>
        </w:tc>
        <w:tc>
          <w:tcPr>
            <w:tcW w:w="1276" w:type="dxa"/>
            <w:vAlign w:val="center"/>
          </w:tcPr>
          <w:p>
            <w:pPr>
              <w:spacing w:line="300" w:lineRule="exact"/>
              <w:jc w:val="left"/>
              <w:rPr>
                <w:rFonts w:ascii="仿宋" w:hAnsi="仿宋" w:eastAsia="仿宋" w:cs="Times New Roman"/>
              </w:rPr>
            </w:pPr>
            <w:r>
              <w:rPr>
                <w:rFonts w:hint="eastAsia" w:ascii="仿宋" w:hAnsi="仿宋" w:eastAsia="仿宋" w:cs="Times New Roman"/>
              </w:rPr>
              <w:t>0</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组织实施全县水资源管理和水土保持相关工作。</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促进水资源可持续发展，保护生态环境</w:t>
            </w:r>
          </w:p>
        </w:tc>
        <w:tc>
          <w:tcPr>
            <w:tcW w:w="1417" w:type="dxa"/>
            <w:vAlign w:val="center"/>
          </w:tcPr>
          <w:p>
            <w:pPr>
              <w:spacing w:line="300" w:lineRule="exact"/>
              <w:jc w:val="left"/>
              <w:rPr>
                <w:rFonts w:ascii="仿宋" w:hAnsi="仿宋" w:eastAsia="仿宋" w:cs="Times New Roman"/>
              </w:rPr>
            </w:pPr>
          </w:p>
        </w:tc>
        <w:tc>
          <w:tcPr>
            <w:tcW w:w="737" w:type="dxa"/>
            <w:vAlign w:val="center"/>
          </w:tcPr>
          <w:p>
            <w:pPr>
              <w:spacing w:line="300" w:lineRule="exact"/>
              <w:jc w:val="center"/>
              <w:rPr>
                <w:rFonts w:ascii="仿宋" w:hAnsi="仿宋" w:eastAsia="仿宋" w:cs="Times New Roman"/>
              </w:rPr>
            </w:pPr>
          </w:p>
        </w:tc>
        <w:tc>
          <w:tcPr>
            <w:tcW w:w="737" w:type="dxa"/>
            <w:vAlign w:val="center"/>
          </w:tcPr>
          <w:p>
            <w:pPr>
              <w:spacing w:line="300" w:lineRule="exact"/>
              <w:jc w:val="center"/>
              <w:rPr>
                <w:rFonts w:ascii="仿宋" w:hAnsi="仿宋" w:eastAsia="仿宋" w:cs="Times New Roman"/>
              </w:rPr>
            </w:pPr>
          </w:p>
        </w:tc>
        <w:tc>
          <w:tcPr>
            <w:tcW w:w="737" w:type="dxa"/>
            <w:vAlign w:val="center"/>
          </w:tcPr>
          <w:p>
            <w:pPr>
              <w:spacing w:line="300" w:lineRule="exact"/>
              <w:jc w:val="center"/>
              <w:rPr>
                <w:rFonts w:ascii="仿宋" w:hAnsi="仿宋" w:eastAsia="仿宋" w:cs="Times New Roman"/>
              </w:rPr>
            </w:pPr>
          </w:p>
        </w:tc>
        <w:tc>
          <w:tcPr>
            <w:tcW w:w="737" w:type="dxa"/>
            <w:vAlign w:val="center"/>
          </w:tcPr>
          <w:p>
            <w:pPr>
              <w:spacing w:line="300" w:lineRule="exact"/>
              <w:jc w:val="center"/>
              <w:rPr>
                <w:rFonts w:ascii="仿宋" w:hAnsi="仿宋" w:eastAsia="仿宋"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rPr>
            </w:pPr>
            <w:r>
              <w:rPr>
                <w:rFonts w:hint="eastAsia" w:ascii="仿宋" w:hAnsi="仿宋" w:eastAsia="仿宋" w:cs="仿宋"/>
                <w:b/>
                <w:bCs/>
              </w:rPr>
              <w:t>　　水资源管理</w:t>
            </w:r>
          </w:p>
        </w:tc>
        <w:tc>
          <w:tcPr>
            <w:tcW w:w="1276" w:type="dxa"/>
            <w:vAlign w:val="center"/>
          </w:tcPr>
          <w:p>
            <w:pPr>
              <w:spacing w:line="300" w:lineRule="exact"/>
              <w:jc w:val="left"/>
              <w:rPr>
                <w:rFonts w:ascii="仿宋" w:hAnsi="仿宋" w:eastAsia="仿宋" w:cs="Times New Roman"/>
              </w:rPr>
            </w:pPr>
            <w:r>
              <w:rPr>
                <w:rFonts w:hint="eastAsia" w:ascii="仿宋" w:hAnsi="仿宋" w:eastAsia="仿宋" w:cs="Times New Roman"/>
              </w:rPr>
              <w:t>70</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统一管理全县水资源，组织实施全县水资源节约、保护、配置、监督管理等工作。全面落实最严格水资源管理制度。协调实施跨流域调水，制定调水计划，组织做好输水管理工作。</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促进水资源可持续发展</w:t>
            </w:r>
          </w:p>
        </w:tc>
        <w:tc>
          <w:tcPr>
            <w:tcW w:w="1417" w:type="dxa"/>
            <w:vAlign w:val="center"/>
          </w:tcPr>
          <w:p>
            <w:pPr>
              <w:spacing w:line="300" w:lineRule="exact"/>
              <w:jc w:val="left"/>
              <w:rPr>
                <w:rFonts w:ascii="仿宋" w:hAnsi="仿宋" w:eastAsia="仿宋" w:cs="Times New Roman"/>
              </w:rPr>
            </w:pPr>
            <w:r>
              <w:rPr>
                <w:rFonts w:hint="eastAsia" w:ascii="仿宋" w:hAnsi="仿宋" w:eastAsia="仿宋" w:cs="仿宋"/>
              </w:rPr>
              <w:t>年度任务完成率</w:t>
            </w:r>
          </w:p>
        </w:tc>
        <w:tc>
          <w:tcPr>
            <w:tcW w:w="737" w:type="dxa"/>
            <w:vAlign w:val="center"/>
          </w:tcPr>
          <w:p>
            <w:pPr>
              <w:spacing w:line="300" w:lineRule="exact"/>
              <w:jc w:val="center"/>
              <w:rPr>
                <w:rFonts w:ascii="仿宋" w:hAnsi="仿宋" w:eastAsia="仿宋" w:cs="仿宋"/>
              </w:rPr>
            </w:pPr>
            <w:r>
              <w:rPr>
                <w:rFonts w:ascii="仿宋" w:hAnsi="仿宋" w:eastAsia="仿宋" w:cs="仿宋"/>
              </w:rPr>
              <w:t>100</w:t>
            </w:r>
            <w:r>
              <w:rPr>
                <w:rFonts w:hint="eastAsia" w:ascii="仿宋" w:hAnsi="仿宋" w:eastAsia="仿宋" w:cs="仿宋"/>
              </w:rPr>
              <w:t>%</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ascii="仿宋" w:hAnsi="仿宋" w:eastAsia="仿宋" w:cs="仿宋"/>
              </w:rPr>
              <w:t>80</w:t>
            </w:r>
            <w:r>
              <w:rPr>
                <w:rFonts w:hint="eastAsia" w:ascii="仿宋" w:hAnsi="仿宋" w:eastAsia="仿宋" w:cs="仿宋"/>
              </w:rPr>
              <w:t>%</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hint="eastAsia" w:ascii="仿宋" w:hAnsi="仿宋" w:eastAsia="仿宋" w:cs="仿宋"/>
              </w:rPr>
              <w:t>6</w:t>
            </w:r>
            <w:r>
              <w:rPr>
                <w:rFonts w:ascii="仿宋" w:hAnsi="仿宋" w:eastAsia="仿宋" w:cs="仿宋"/>
              </w:rPr>
              <w:t>0</w:t>
            </w:r>
            <w:r>
              <w:rPr>
                <w:rFonts w:hint="eastAsia" w:ascii="仿宋" w:hAnsi="仿宋" w:eastAsia="仿宋" w:cs="仿宋"/>
              </w:rPr>
              <w:t>%</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ascii="仿宋" w:hAnsi="仿宋" w:eastAsia="仿宋" w:cs="仿宋"/>
              </w:rPr>
              <w:t>60</w:t>
            </w:r>
            <w:r>
              <w:rPr>
                <w:rFonts w:hint="eastAsia" w:ascii="仿宋" w:hAnsi="仿宋" w:eastAsia="仿宋" w:cs="仿宋"/>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rPr>
            </w:pPr>
            <w:r>
              <w:rPr>
                <w:rFonts w:hint="eastAsia" w:ascii="仿宋" w:hAnsi="仿宋" w:eastAsia="仿宋" w:cs="仿宋"/>
                <w:b/>
                <w:bCs/>
              </w:rPr>
              <w:t>　　水土保持</w:t>
            </w:r>
          </w:p>
        </w:tc>
        <w:tc>
          <w:tcPr>
            <w:tcW w:w="1276" w:type="dxa"/>
            <w:vAlign w:val="center"/>
          </w:tcPr>
          <w:p>
            <w:pPr>
              <w:spacing w:line="300" w:lineRule="exact"/>
              <w:jc w:val="left"/>
              <w:rPr>
                <w:rFonts w:ascii="仿宋" w:hAnsi="仿宋" w:eastAsia="仿宋" w:cs="Times New Roman"/>
              </w:rPr>
            </w:pPr>
            <w:r>
              <w:rPr>
                <w:rFonts w:hint="eastAsia" w:ascii="仿宋" w:hAnsi="仿宋" w:eastAsia="仿宋" w:cs="Times New Roman"/>
              </w:rPr>
              <w:t>0</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组织全县水土保持工作。研究制定水土保持规划，承担水土流失综合防治工作；依法开展水土保持监督管理工作，组织全县水土流失监测、预报并公告；组织开展水土保持宣传教育工作。</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保护和合理利用水土资源，改善生态环境，维护生态安全。</w:t>
            </w:r>
          </w:p>
        </w:tc>
        <w:tc>
          <w:tcPr>
            <w:tcW w:w="1417" w:type="dxa"/>
            <w:vAlign w:val="center"/>
          </w:tcPr>
          <w:p>
            <w:pPr>
              <w:spacing w:line="300" w:lineRule="exact"/>
              <w:jc w:val="left"/>
              <w:rPr>
                <w:rFonts w:ascii="仿宋" w:hAnsi="仿宋" w:eastAsia="仿宋" w:cs="Times New Roman"/>
              </w:rPr>
            </w:pPr>
            <w:r>
              <w:rPr>
                <w:rFonts w:hint="eastAsia" w:ascii="仿宋" w:hAnsi="仿宋" w:eastAsia="仿宋" w:cs="仿宋"/>
              </w:rPr>
              <w:t>水土流失治理面积率</w:t>
            </w:r>
          </w:p>
        </w:tc>
        <w:tc>
          <w:tcPr>
            <w:tcW w:w="737" w:type="dxa"/>
            <w:vAlign w:val="center"/>
          </w:tcPr>
          <w:p>
            <w:pPr>
              <w:spacing w:line="300" w:lineRule="exact"/>
              <w:jc w:val="center"/>
              <w:rPr>
                <w:rFonts w:ascii="仿宋" w:hAnsi="仿宋" w:eastAsia="仿宋" w:cs="仿宋"/>
              </w:rPr>
            </w:pPr>
            <w:r>
              <w:rPr>
                <w:rFonts w:ascii="仿宋" w:hAnsi="仿宋" w:eastAsia="仿宋" w:cs="仿宋"/>
              </w:rPr>
              <w:t>100</w:t>
            </w:r>
            <w:r>
              <w:rPr>
                <w:rFonts w:hint="eastAsia" w:ascii="仿宋" w:hAnsi="仿宋" w:eastAsia="仿宋" w:cs="仿宋"/>
              </w:rPr>
              <w:t>%</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ascii="仿宋" w:hAnsi="仿宋" w:eastAsia="仿宋" w:cs="仿宋"/>
              </w:rPr>
              <w:t>80</w:t>
            </w:r>
            <w:r>
              <w:rPr>
                <w:rFonts w:hint="eastAsia" w:ascii="仿宋" w:hAnsi="仿宋" w:eastAsia="仿宋" w:cs="仿宋"/>
              </w:rPr>
              <w:t>%</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hint="eastAsia" w:ascii="仿宋" w:hAnsi="仿宋" w:eastAsia="仿宋" w:cs="仿宋"/>
              </w:rPr>
              <w:t>6</w:t>
            </w:r>
            <w:r>
              <w:rPr>
                <w:rFonts w:ascii="仿宋" w:hAnsi="仿宋" w:eastAsia="仿宋" w:cs="仿宋"/>
              </w:rPr>
              <w:t>0</w:t>
            </w:r>
            <w:r>
              <w:rPr>
                <w:rFonts w:hint="eastAsia" w:ascii="仿宋" w:hAnsi="仿宋" w:eastAsia="仿宋" w:cs="仿宋"/>
              </w:rPr>
              <w:t>%</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ascii="仿宋" w:hAnsi="仿宋" w:eastAsia="仿宋" w:cs="仿宋"/>
              </w:rPr>
              <w:t>60</w:t>
            </w:r>
            <w:r>
              <w:rPr>
                <w:rFonts w:hint="eastAsia" w:ascii="仿宋" w:hAnsi="仿宋" w:eastAsia="仿宋" w:cs="仿宋"/>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rPr>
            </w:pPr>
            <w:r>
              <w:rPr>
                <w:rFonts w:hint="eastAsia" w:ascii="仿宋" w:hAnsi="仿宋" w:eastAsia="仿宋" w:cs="仿宋"/>
                <w:b/>
                <w:bCs/>
              </w:rPr>
              <w:t>水利科技支撑和公共服务</w:t>
            </w:r>
          </w:p>
        </w:tc>
        <w:tc>
          <w:tcPr>
            <w:tcW w:w="1276" w:type="dxa"/>
            <w:vAlign w:val="center"/>
          </w:tcPr>
          <w:p>
            <w:pPr>
              <w:spacing w:line="300" w:lineRule="exact"/>
              <w:jc w:val="left"/>
              <w:rPr>
                <w:rFonts w:ascii="仿宋" w:hAnsi="仿宋" w:eastAsia="仿宋" w:cs="Times New Roman"/>
              </w:rPr>
            </w:pPr>
            <w:r>
              <w:rPr>
                <w:rFonts w:hint="eastAsia" w:ascii="仿宋" w:hAnsi="仿宋" w:eastAsia="仿宋" w:cs="Times New Roman"/>
              </w:rPr>
              <w:t>0</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组织指导全县水利事业建设的科技创新和技术示范推广，为水利事业科学发展提供公共支撑。</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研制并示范推广水利工程和管理技术，提高水利事业管理水平。</w:t>
            </w:r>
          </w:p>
        </w:tc>
        <w:tc>
          <w:tcPr>
            <w:tcW w:w="1417" w:type="dxa"/>
            <w:vAlign w:val="center"/>
          </w:tcPr>
          <w:p>
            <w:pPr>
              <w:spacing w:line="300" w:lineRule="exact"/>
              <w:jc w:val="left"/>
              <w:rPr>
                <w:rFonts w:ascii="仿宋" w:hAnsi="仿宋" w:eastAsia="仿宋" w:cs="Times New Roman"/>
              </w:rPr>
            </w:pPr>
          </w:p>
        </w:tc>
        <w:tc>
          <w:tcPr>
            <w:tcW w:w="737" w:type="dxa"/>
            <w:vAlign w:val="center"/>
          </w:tcPr>
          <w:p>
            <w:pPr>
              <w:spacing w:line="300" w:lineRule="exact"/>
              <w:jc w:val="center"/>
              <w:rPr>
                <w:rFonts w:ascii="仿宋" w:hAnsi="仿宋" w:eastAsia="仿宋" w:cs="仿宋"/>
              </w:rPr>
            </w:pPr>
            <w:r>
              <w:rPr>
                <w:rFonts w:ascii="仿宋" w:hAnsi="仿宋" w:eastAsia="仿宋" w:cs="仿宋"/>
              </w:rPr>
              <w:t>100%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ascii="仿宋" w:hAnsi="仿宋" w:eastAsia="仿宋" w:cs="仿宋"/>
              </w:rPr>
              <w:t>90%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hint="eastAsia" w:ascii="仿宋" w:hAnsi="仿宋" w:eastAsia="仿宋" w:cs="仿宋"/>
              </w:rPr>
              <w:t>7</w:t>
            </w:r>
            <w:r>
              <w:rPr>
                <w:rFonts w:ascii="仿宋" w:hAnsi="仿宋" w:eastAsia="仿宋" w:cs="仿宋"/>
              </w:rPr>
              <w:t>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ascii="仿宋" w:hAnsi="仿宋" w:eastAsia="仿宋" w:cs="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rPr>
            </w:pPr>
            <w:r>
              <w:rPr>
                <w:rFonts w:hint="eastAsia" w:ascii="仿宋" w:hAnsi="仿宋" w:eastAsia="仿宋" w:cs="仿宋"/>
                <w:b/>
                <w:bCs/>
              </w:rPr>
              <w:t>　　水文测报</w:t>
            </w:r>
          </w:p>
        </w:tc>
        <w:tc>
          <w:tcPr>
            <w:tcW w:w="1276" w:type="dxa"/>
            <w:vAlign w:val="center"/>
          </w:tcPr>
          <w:p>
            <w:pPr>
              <w:spacing w:line="300" w:lineRule="exact"/>
              <w:jc w:val="left"/>
              <w:rPr>
                <w:rFonts w:ascii="仿宋" w:hAnsi="仿宋" w:eastAsia="仿宋" w:cs="Times New Roman"/>
              </w:rPr>
            </w:pPr>
            <w:r>
              <w:rPr>
                <w:rFonts w:hint="eastAsia" w:ascii="仿宋" w:hAnsi="仿宋" w:eastAsia="仿宋" w:cs="Times New Roman"/>
              </w:rPr>
              <w:t>0</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地表、地下水量水质监测，墒情监测，水文资料整编，水文设施运行、维护及更新，委托观测，水文情报、预报，水文信息系统运行。</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为防汛、抗旱、减灾、水资源保护管理、水利工程建设准确、及时提供水文资料</w:t>
            </w:r>
          </w:p>
        </w:tc>
        <w:tc>
          <w:tcPr>
            <w:tcW w:w="1417" w:type="dxa"/>
            <w:vAlign w:val="center"/>
          </w:tcPr>
          <w:p>
            <w:pPr>
              <w:spacing w:line="300" w:lineRule="exact"/>
              <w:jc w:val="left"/>
              <w:rPr>
                <w:rFonts w:ascii="仿宋" w:hAnsi="仿宋" w:eastAsia="仿宋" w:cs="Times New Roman"/>
              </w:rPr>
            </w:pPr>
            <w:r>
              <w:rPr>
                <w:rFonts w:hint="eastAsia" w:ascii="仿宋" w:hAnsi="仿宋" w:eastAsia="仿宋" w:cs="仿宋"/>
              </w:rPr>
              <w:t>水情报汛准确率</w:t>
            </w:r>
          </w:p>
        </w:tc>
        <w:tc>
          <w:tcPr>
            <w:tcW w:w="737" w:type="dxa"/>
            <w:vAlign w:val="center"/>
          </w:tcPr>
          <w:p>
            <w:pPr>
              <w:spacing w:line="300" w:lineRule="exact"/>
              <w:jc w:val="center"/>
              <w:rPr>
                <w:rFonts w:ascii="仿宋" w:hAnsi="仿宋" w:eastAsia="仿宋" w:cs="仿宋"/>
              </w:rPr>
            </w:pPr>
            <w:r>
              <w:rPr>
                <w:rFonts w:ascii="仿宋" w:hAnsi="仿宋" w:eastAsia="仿宋" w:cs="仿宋"/>
              </w:rPr>
              <w:t>100%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ascii="仿宋" w:hAnsi="仿宋" w:eastAsia="仿宋" w:cs="仿宋"/>
              </w:rPr>
              <w:t>90%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hint="eastAsia" w:ascii="仿宋" w:hAnsi="仿宋" w:eastAsia="仿宋" w:cs="仿宋"/>
              </w:rPr>
              <w:t>7</w:t>
            </w:r>
            <w:r>
              <w:rPr>
                <w:rFonts w:ascii="仿宋" w:hAnsi="仿宋" w:eastAsia="仿宋" w:cs="仿宋"/>
              </w:rPr>
              <w:t>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ascii="仿宋" w:hAnsi="仿宋" w:eastAsia="仿宋" w:cs="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rPr>
            </w:pPr>
            <w:r>
              <w:rPr>
                <w:rFonts w:hint="eastAsia" w:ascii="仿宋" w:hAnsi="仿宋" w:eastAsia="仿宋" w:cs="仿宋"/>
                <w:b/>
                <w:bCs/>
              </w:rPr>
              <w:t>　　防汛抗旱</w:t>
            </w:r>
          </w:p>
        </w:tc>
        <w:tc>
          <w:tcPr>
            <w:tcW w:w="1276" w:type="dxa"/>
            <w:vAlign w:val="center"/>
          </w:tcPr>
          <w:p>
            <w:pPr>
              <w:spacing w:line="300" w:lineRule="exact"/>
              <w:jc w:val="left"/>
              <w:rPr>
                <w:rFonts w:ascii="仿宋" w:hAnsi="仿宋" w:eastAsia="仿宋" w:cs="Times New Roman"/>
              </w:rPr>
            </w:pPr>
            <w:r>
              <w:rPr>
                <w:rFonts w:hint="eastAsia" w:ascii="仿宋" w:hAnsi="仿宋" w:eastAsia="仿宋" w:cs="Times New Roman"/>
              </w:rPr>
              <w:t>0</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负责全县防汛抗旱组织管理、应急调度，指导水利行业信息化建设，建设应急度汛、抗旱应急、海堤、山洪灾害防治项目，支持基层防汛抗旱组织建设，储备管理防汛抗旱物资，建设水利信息化基础设施，提高全县抗御水旱灾害能力。</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发挥防汛抗旱减灾体系作用，最大限度地减少水旱灾害造成的人员伤亡和财产损失。</w:t>
            </w:r>
          </w:p>
        </w:tc>
        <w:tc>
          <w:tcPr>
            <w:tcW w:w="1417" w:type="dxa"/>
            <w:vAlign w:val="center"/>
          </w:tcPr>
          <w:p>
            <w:pPr>
              <w:spacing w:line="300" w:lineRule="exact"/>
              <w:jc w:val="left"/>
              <w:rPr>
                <w:rFonts w:ascii="仿宋" w:hAnsi="仿宋" w:eastAsia="仿宋" w:cs="Times New Roman"/>
              </w:rPr>
            </w:pPr>
            <w:r>
              <w:rPr>
                <w:rFonts w:hint="eastAsia" w:ascii="仿宋" w:hAnsi="仿宋" w:eastAsia="仿宋" w:cs="仿宋"/>
              </w:rPr>
              <w:t>工程完成率</w:t>
            </w:r>
          </w:p>
        </w:tc>
        <w:tc>
          <w:tcPr>
            <w:tcW w:w="737" w:type="dxa"/>
            <w:vAlign w:val="center"/>
          </w:tcPr>
          <w:p>
            <w:pPr>
              <w:spacing w:line="300" w:lineRule="exact"/>
              <w:jc w:val="center"/>
              <w:rPr>
                <w:rFonts w:ascii="仿宋" w:hAnsi="仿宋" w:eastAsia="仿宋" w:cs="仿宋"/>
              </w:rPr>
            </w:pPr>
            <w:r>
              <w:rPr>
                <w:rFonts w:ascii="仿宋" w:hAnsi="仿宋" w:eastAsia="仿宋" w:cs="仿宋"/>
              </w:rPr>
              <w:t>100%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≧9</w:t>
            </w:r>
            <w:r>
              <w:rPr>
                <w:rFonts w:ascii="仿宋" w:hAnsi="仿宋" w:eastAsia="仿宋" w:cs="仿宋"/>
              </w:rPr>
              <w:t>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hint="eastAsia" w:ascii="仿宋" w:hAnsi="仿宋" w:eastAsia="仿宋" w:cs="仿宋"/>
              </w:rPr>
              <w:t>7</w:t>
            </w:r>
            <w:r>
              <w:rPr>
                <w:rFonts w:ascii="仿宋" w:hAnsi="仿宋" w:eastAsia="仿宋" w:cs="仿宋"/>
              </w:rPr>
              <w:t>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ascii="仿宋" w:hAnsi="仿宋" w:eastAsia="仿宋" w:cs="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rPr>
            </w:pPr>
            <w:r>
              <w:rPr>
                <w:rFonts w:hint="eastAsia" w:ascii="仿宋" w:hAnsi="仿宋" w:eastAsia="仿宋" w:cs="仿宋"/>
                <w:b/>
                <w:bCs/>
              </w:rPr>
              <w:t>水利政务管理</w:t>
            </w:r>
          </w:p>
        </w:tc>
        <w:tc>
          <w:tcPr>
            <w:tcW w:w="1276" w:type="dxa"/>
            <w:vAlign w:val="center"/>
          </w:tcPr>
          <w:p>
            <w:pPr>
              <w:spacing w:line="300" w:lineRule="exact"/>
              <w:jc w:val="left"/>
              <w:rPr>
                <w:rFonts w:ascii="仿宋" w:hAnsi="仿宋" w:eastAsia="仿宋" w:cs="Times New Roman"/>
              </w:rPr>
            </w:pPr>
            <w:r>
              <w:rPr>
                <w:rFonts w:hint="eastAsia" w:ascii="仿宋" w:hAnsi="仿宋" w:eastAsia="仿宋" w:cs="Times New Roman"/>
              </w:rPr>
              <w:t>0</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依法依规履行机关日常管理职责。</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依法依规履行机关日常管理职责，确保水利工作正常运行。</w:t>
            </w:r>
          </w:p>
        </w:tc>
        <w:tc>
          <w:tcPr>
            <w:tcW w:w="1417" w:type="dxa"/>
            <w:vAlign w:val="center"/>
          </w:tcPr>
          <w:p>
            <w:pPr>
              <w:spacing w:line="300" w:lineRule="exact"/>
              <w:jc w:val="left"/>
              <w:rPr>
                <w:rFonts w:ascii="仿宋" w:hAnsi="仿宋" w:eastAsia="仿宋" w:cs="Times New Roman"/>
              </w:rPr>
            </w:pPr>
          </w:p>
        </w:tc>
        <w:tc>
          <w:tcPr>
            <w:tcW w:w="737" w:type="dxa"/>
            <w:vAlign w:val="center"/>
          </w:tcPr>
          <w:p>
            <w:pPr>
              <w:spacing w:line="300" w:lineRule="exact"/>
              <w:jc w:val="center"/>
              <w:rPr>
                <w:rFonts w:ascii="仿宋" w:hAnsi="仿宋" w:eastAsia="仿宋" w:cs="仿宋"/>
              </w:rPr>
            </w:pPr>
            <w:r>
              <w:rPr>
                <w:rFonts w:ascii="仿宋" w:hAnsi="仿宋" w:eastAsia="仿宋" w:cs="仿宋"/>
              </w:rPr>
              <w:t>100%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ascii="仿宋" w:hAnsi="仿宋" w:eastAsia="仿宋" w:cs="仿宋"/>
              </w:rPr>
              <w:t>90%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hint="eastAsia" w:ascii="仿宋" w:hAnsi="仿宋" w:eastAsia="仿宋" w:cs="仿宋"/>
              </w:rPr>
              <w:t>7</w:t>
            </w:r>
            <w:r>
              <w:rPr>
                <w:rFonts w:ascii="仿宋" w:hAnsi="仿宋" w:eastAsia="仿宋" w:cs="仿宋"/>
              </w:rPr>
              <w:t>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ascii="仿宋" w:hAnsi="仿宋" w:eastAsia="仿宋" w:cs="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rPr>
            </w:pPr>
            <w:r>
              <w:rPr>
                <w:rFonts w:hint="eastAsia" w:ascii="仿宋" w:hAnsi="仿宋" w:eastAsia="仿宋" w:cs="仿宋"/>
                <w:b/>
                <w:bCs/>
              </w:rPr>
              <w:t>　　综合业务管理</w:t>
            </w:r>
          </w:p>
        </w:tc>
        <w:tc>
          <w:tcPr>
            <w:tcW w:w="1276" w:type="dxa"/>
            <w:vAlign w:val="center"/>
          </w:tcPr>
          <w:p>
            <w:pPr>
              <w:spacing w:line="300" w:lineRule="exact"/>
              <w:jc w:val="left"/>
              <w:rPr>
                <w:rFonts w:ascii="仿宋" w:hAnsi="仿宋" w:eastAsia="仿宋" w:cs="Times New Roman"/>
              </w:rPr>
            </w:pPr>
            <w:r>
              <w:rPr>
                <w:rFonts w:hint="eastAsia" w:ascii="仿宋" w:hAnsi="仿宋" w:eastAsia="仿宋" w:cs="Times New Roman"/>
              </w:rPr>
              <w:t>52</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协调推动、普查统计、督促指导、对外合作、行政审批、业务监管、水利立法、执法、处理水事纠纷，监督检查、人事管理、表彰奖励及其他依法行政管理活动。县委、县政府交办的其他事项等行政管理事项。</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依法依规完成工作任务，推进科学决策</w:t>
            </w:r>
          </w:p>
        </w:tc>
        <w:tc>
          <w:tcPr>
            <w:tcW w:w="1417" w:type="dxa"/>
            <w:vAlign w:val="center"/>
          </w:tcPr>
          <w:p>
            <w:pPr>
              <w:spacing w:line="300" w:lineRule="exact"/>
              <w:jc w:val="left"/>
              <w:rPr>
                <w:rFonts w:ascii="仿宋" w:hAnsi="仿宋" w:eastAsia="仿宋" w:cs="Times New Roman"/>
              </w:rPr>
            </w:pPr>
            <w:r>
              <w:rPr>
                <w:rFonts w:hint="eastAsia" w:ascii="仿宋" w:hAnsi="仿宋" w:eastAsia="仿宋" w:cs="仿宋"/>
              </w:rPr>
              <w:t>工作任务完成率</w:t>
            </w:r>
          </w:p>
        </w:tc>
        <w:tc>
          <w:tcPr>
            <w:tcW w:w="737" w:type="dxa"/>
            <w:vAlign w:val="center"/>
          </w:tcPr>
          <w:p>
            <w:pPr>
              <w:spacing w:line="300" w:lineRule="exact"/>
              <w:jc w:val="center"/>
              <w:rPr>
                <w:rFonts w:ascii="仿宋" w:hAnsi="仿宋" w:eastAsia="仿宋" w:cs="仿宋"/>
              </w:rPr>
            </w:pPr>
            <w:r>
              <w:rPr>
                <w:rFonts w:ascii="仿宋" w:hAnsi="仿宋" w:eastAsia="仿宋" w:cs="仿宋"/>
              </w:rPr>
              <w:t>100%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ascii="仿宋" w:hAnsi="仿宋" w:eastAsia="仿宋" w:cs="仿宋"/>
              </w:rPr>
              <w:t>90%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hint="eastAsia" w:ascii="仿宋" w:hAnsi="仿宋" w:eastAsia="仿宋" w:cs="仿宋"/>
              </w:rPr>
              <w:t>7</w:t>
            </w:r>
            <w:r>
              <w:rPr>
                <w:rFonts w:ascii="仿宋" w:hAnsi="仿宋" w:eastAsia="仿宋" w:cs="仿宋"/>
              </w:rPr>
              <w:t>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ascii="仿宋" w:hAnsi="仿宋" w:eastAsia="仿宋" w:cs="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rPr>
            </w:pPr>
            <w:r>
              <w:rPr>
                <w:rFonts w:hint="eastAsia" w:ascii="仿宋" w:hAnsi="仿宋" w:eastAsia="仿宋" w:cs="仿宋"/>
                <w:b/>
                <w:bCs/>
              </w:rPr>
              <w:t>　　综合事务管理</w:t>
            </w:r>
          </w:p>
        </w:tc>
        <w:tc>
          <w:tcPr>
            <w:tcW w:w="1276" w:type="dxa"/>
            <w:vAlign w:val="center"/>
          </w:tcPr>
          <w:p>
            <w:pPr>
              <w:spacing w:line="300" w:lineRule="exact"/>
              <w:jc w:val="left"/>
              <w:rPr>
                <w:rFonts w:ascii="仿宋" w:hAnsi="仿宋" w:eastAsia="仿宋" w:cs="Times New Roman"/>
              </w:rPr>
            </w:pPr>
            <w:r>
              <w:rPr>
                <w:rFonts w:hint="eastAsia" w:ascii="仿宋" w:hAnsi="仿宋" w:eastAsia="仿宋" w:cs="Times New Roman"/>
              </w:rPr>
              <w:t>0</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加强机关事务性管理，开展机关自身能力建设。</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确保机关工作正常运行</w:t>
            </w:r>
          </w:p>
        </w:tc>
        <w:tc>
          <w:tcPr>
            <w:tcW w:w="1417" w:type="dxa"/>
            <w:vAlign w:val="center"/>
          </w:tcPr>
          <w:p>
            <w:pPr>
              <w:spacing w:line="300" w:lineRule="exact"/>
              <w:jc w:val="left"/>
              <w:rPr>
                <w:rFonts w:ascii="仿宋" w:hAnsi="仿宋" w:eastAsia="仿宋" w:cs="Times New Roman"/>
              </w:rPr>
            </w:pPr>
            <w:r>
              <w:rPr>
                <w:rFonts w:hint="eastAsia" w:ascii="仿宋" w:hAnsi="仿宋" w:eastAsia="仿宋" w:cs="仿宋"/>
              </w:rPr>
              <w:t>工作任务完成率</w:t>
            </w:r>
          </w:p>
        </w:tc>
        <w:tc>
          <w:tcPr>
            <w:tcW w:w="737" w:type="dxa"/>
            <w:vAlign w:val="center"/>
          </w:tcPr>
          <w:p>
            <w:pPr>
              <w:spacing w:line="300" w:lineRule="exact"/>
              <w:jc w:val="center"/>
              <w:rPr>
                <w:rFonts w:ascii="仿宋" w:hAnsi="仿宋" w:eastAsia="仿宋" w:cs="仿宋"/>
              </w:rPr>
            </w:pPr>
            <w:r>
              <w:rPr>
                <w:rFonts w:ascii="仿宋" w:hAnsi="仿宋" w:eastAsia="仿宋" w:cs="仿宋"/>
              </w:rPr>
              <w:t>100%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ascii="仿宋" w:hAnsi="仿宋" w:eastAsia="仿宋" w:cs="仿宋"/>
              </w:rPr>
              <w:t>90%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hint="eastAsia" w:ascii="仿宋" w:hAnsi="仿宋" w:eastAsia="仿宋" w:cs="仿宋"/>
              </w:rPr>
              <w:t>7</w:t>
            </w:r>
            <w:r>
              <w:rPr>
                <w:rFonts w:ascii="仿宋" w:hAnsi="仿宋" w:eastAsia="仿宋" w:cs="仿宋"/>
              </w:rPr>
              <w:t>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ascii="仿宋" w:hAnsi="仿宋" w:eastAsia="仿宋" w:cs="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rPr>
            </w:pPr>
            <w:r>
              <w:rPr>
                <w:rFonts w:hint="eastAsia" w:ascii="仿宋" w:hAnsi="仿宋" w:eastAsia="仿宋" w:cs="仿宋"/>
                <w:b/>
                <w:bCs/>
              </w:rPr>
              <w:t>水库移民</w:t>
            </w:r>
          </w:p>
        </w:tc>
        <w:tc>
          <w:tcPr>
            <w:tcW w:w="1276" w:type="dxa"/>
            <w:vAlign w:val="center"/>
          </w:tcPr>
          <w:p>
            <w:pPr>
              <w:spacing w:line="300" w:lineRule="exact"/>
              <w:jc w:val="left"/>
              <w:rPr>
                <w:rFonts w:ascii="仿宋" w:hAnsi="仿宋" w:eastAsia="仿宋" w:cs="Times New Roman"/>
              </w:rPr>
            </w:pPr>
            <w:r>
              <w:rPr>
                <w:rFonts w:hint="eastAsia" w:ascii="仿宋" w:hAnsi="仿宋" w:eastAsia="仿宋" w:cs="Times New Roman"/>
              </w:rPr>
              <w:t>0</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对水库移民的补助情况</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水库移民补助的实施及管理</w:t>
            </w:r>
          </w:p>
        </w:tc>
        <w:tc>
          <w:tcPr>
            <w:tcW w:w="1417" w:type="dxa"/>
            <w:vAlign w:val="center"/>
          </w:tcPr>
          <w:p>
            <w:pPr>
              <w:spacing w:line="300" w:lineRule="exact"/>
              <w:jc w:val="left"/>
              <w:rPr>
                <w:rFonts w:ascii="仿宋" w:hAnsi="仿宋" w:eastAsia="仿宋" w:cs="Times New Roman"/>
              </w:rPr>
            </w:pPr>
          </w:p>
        </w:tc>
        <w:tc>
          <w:tcPr>
            <w:tcW w:w="737" w:type="dxa"/>
            <w:vAlign w:val="center"/>
          </w:tcPr>
          <w:p>
            <w:pPr>
              <w:spacing w:line="300" w:lineRule="exact"/>
              <w:jc w:val="center"/>
              <w:rPr>
                <w:rFonts w:ascii="仿宋" w:hAnsi="仿宋" w:eastAsia="仿宋" w:cs="仿宋"/>
              </w:rPr>
            </w:pPr>
            <w:r>
              <w:rPr>
                <w:rFonts w:ascii="仿宋" w:hAnsi="仿宋" w:eastAsia="仿宋" w:cs="仿宋"/>
              </w:rPr>
              <w:t>100%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ascii="仿宋" w:hAnsi="仿宋" w:eastAsia="仿宋" w:cs="仿宋"/>
              </w:rPr>
              <w:t>90%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hint="eastAsia" w:ascii="仿宋" w:hAnsi="仿宋" w:eastAsia="仿宋" w:cs="仿宋"/>
              </w:rPr>
              <w:t>7</w:t>
            </w:r>
            <w:r>
              <w:rPr>
                <w:rFonts w:ascii="仿宋" w:hAnsi="仿宋" w:eastAsia="仿宋" w:cs="仿宋"/>
              </w:rPr>
              <w:t>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ascii="仿宋" w:hAnsi="仿宋" w:eastAsia="仿宋" w:cs="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rPr>
            </w:pPr>
            <w:r>
              <w:rPr>
                <w:rFonts w:hint="eastAsia" w:ascii="仿宋" w:hAnsi="仿宋" w:eastAsia="仿宋" w:cs="仿宋"/>
                <w:b/>
                <w:bCs/>
              </w:rPr>
              <w:t>　　水库移民补助项目</w:t>
            </w:r>
          </w:p>
        </w:tc>
        <w:tc>
          <w:tcPr>
            <w:tcW w:w="1276" w:type="dxa"/>
            <w:vAlign w:val="center"/>
          </w:tcPr>
          <w:p>
            <w:pPr>
              <w:spacing w:line="300" w:lineRule="exact"/>
              <w:jc w:val="left"/>
              <w:rPr>
                <w:rFonts w:ascii="仿宋" w:hAnsi="仿宋" w:eastAsia="仿宋" w:cs="Times New Roman"/>
              </w:rPr>
            </w:pPr>
            <w:r>
              <w:rPr>
                <w:rFonts w:hint="eastAsia" w:ascii="仿宋" w:hAnsi="仿宋" w:eastAsia="仿宋" w:cs="Times New Roman"/>
              </w:rPr>
              <w:t>0</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对水库移民的补助及管理</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对水库移民的补助进行核实</w:t>
            </w:r>
          </w:p>
        </w:tc>
        <w:tc>
          <w:tcPr>
            <w:tcW w:w="1417" w:type="dxa"/>
            <w:vAlign w:val="center"/>
          </w:tcPr>
          <w:p>
            <w:pPr>
              <w:spacing w:line="300" w:lineRule="exact"/>
              <w:jc w:val="left"/>
              <w:rPr>
                <w:rFonts w:ascii="仿宋" w:hAnsi="仿宋" w:eastAsia="仿宋" w:cs="Times New Roman"/>
              </w:rPr>
            </w:pPr>
            <w:r>
              <w:rPr>
                <w:rFonts w:hint="eastAsia" w:ascii="仿宋" w:hAnsi="仿宋" w:eastAsia="仿宋" w:cs="仿宋"/>
              </w:rPr>
              <w:t>水库移民补助情况完成率</w:t>
            </w:r>
          </w:p>
        </w:tc>
        <w:tc>
          <w:tcPr>
            <w:tcW w:w="737" w:type="dxa"/>
            <w:vAlign w:val="center"/>
          </w:tcPr>
          <w:p>
            <w:pPr>
              <w:spacing w:line="300" w:lineRule="exact"/>
              <w:jc w:val="center"/>
              <w:rPr>
                <w:rFonts w:ascii="仿宋" w:hAnsi="仿宋" w:eastAsia="仿宋" w:cs="仿宋"/>
              </w:rPr>
            </w:pPr>
            <w:r>
              <w:rPr>
                <w:rFonts w:ascii="仿宋" w:hAnsi="仿宋" w:eastAsia="仿宋" w:cs="仿宋"/>
              </w:rPr>
              <w:t>100</w:t>
            </w:r>
            <w:r>
              <w:rPr>
                <w:rFonts w:hint="eastAsia" w:ascii="仿宋" w:hAnsi="仿宋" w:eastAsia="仿宋" w:cs="仿宋"/>
              </w:rPr>
              <w:t>%</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ascii="仿宋" w:hAnsi="仿宋" w:eastAsia="仿宋" w:cs="仿宋"/>
              </w:rPr>
              <w:t>90%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hint="eastAsia" w:ascii="仿宋" w:hAnsi="仿宋" w:eastAsia="仿宋" w:cs="仿宋"/>
              </w:rPr>
              <w:t>7</w:t>
            </w:r>
            <w:r>
              <w:rPr>
                <w:rFonts w:ascii="仿宋" w:hAnsi="仿宋" w:eastAsia="仿宋" w:cs="仿宋"/>
              </w:rPr>
              <w:t>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ascii="仿宋" w:hAnsi="仿宋" w:eastAsia="仿宋" w:cs="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rPr>
            </w:pPr>
            <w:r>
              <w:rPr>
                <w:rFonts w:hint="eastAsia" w:ascii="仿宋" w:hAnsi="仿宋" w:eastAsia="仿宋" w:cs="仿宋"/>
                <w:b/>
                <w:bCs/>
              </w:rPr>
              <w:t>城西工业区居民、单位、工矿企业的生产生活用水水费</w:t>
            </w:r>
          </w:p>
        </w:tc>
        <w:tc>
          <w:tcPr>
            <w:tcW w:w="1276" w:type="dxa"/>
            <w:vAlign w:val="center"/>
          </w:tcPr>
          <w:p>
            <w:pPr>
              <w:spacing w:line="300" w:lineRule="exact"/>
              <w:jc w:val="left"/>
              <w:rPr>
                <w:rFonts w:ascii="仿宋" w:hAnsi="仿宋" w:eastAsia="仿宋" w:cs="Times New Roman"/>
              </w:rPr>
            </w:pPr>
            <w:r>
              <w:rPr>
                <w:rFonts w:hint="eastAsia" w:ascii="仿宋" w:hAnsi="仿宋" w:eastAsia="仿宋" w:cs="Times New Roman"/>
              </w:rPr>
              <w:t>0</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城西工业区居民、单位、工矿企业的生产生活用水供应及水费的征收</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保证城西工业区居民、单位、工矿企业的生产生活用水供应及水费的征收。管道维修</w:t>
            </w:r>
            <w:r>
              <w:rPr>
                <w:rFonts w:ascii="仿宋" w:hAnsi="仿宋" w:eastAsia="仿宋" w:cs="仿宋"/>
              </w:rPr>
              <w:t>,</w:t>
            </w:r>
            <w:r>
              <w:rPr>
                <w:rFonts w:hint="eastAsia" w:ascii="仿宋" w:hAnsi="仿宋" w:eastAsia="仿宋" w:cs="仿宋"/>
              </w:rPr>
              <w:t>提高居民生活用水质量。</w:t>
            </w:r>
          </w:p>
        </w:tc>
        <w:tc>
          <w:tcPr>
            <w:tcW w:w="1417" w:type="dxa"/>
            <w:vAlign w:val="center"/>
          </w:tcPr>
          <w:p>
            <w:pPr>
              <w:spacing w:line="300" w:lineRule="exact"/>
              <w:jc w:val="left"/>
              <w:rPr>
                <w:rFonts w:ascii="仿宋" w:hAnsi="仿宋" w:eastAsia="仿宋" w:cs="Times New Roman"/>
              </w:rPr>
            </w:pPr>
          </w:p>
        </w:tc>
        <w:tc>
          <w:tcPr>
            <w:tcW w:w="737" w:type="dxa"/>
            <w:vAlign w:val="center"/>
          </w:tcPr>
          <w:p>
            <w:pPr>
              <w:spacing w:line="300" w:lineRule="exact"/>
              <w:jc w:val="center"/>
              <w:rPr>
                <w:rFonts w:ascii="仿宋" w:hAnsi="仿宋" w:eastAsia="仿宋" w:cs="仿宋"/>
              </w:rPr>
            </w:pPr>
            <w:r>
              <w:rPr>
                <w:rFonts w:ascii="仿宋" w:hAnsi="仿宋" w:eastAsia="仿宋" w:cs="仿宋"/>
              </w:rPr>
              <w:t>100%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ascii="仿宋" w:hAnsi="仿宋" w:eastAsia="仿宋" w:cs="仿宋"/>
              </w:rPr>
              <w:t>90%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hint="eastAsia" w:ascii="仿宋" w:hAnsi="仿宋" w:eastAsia="仿宋" w:cs="仿宋"/>
              </w:rPr>
              <w:t>7</w:t>
            </w:r>
            <w:r>
              <w:rPr>
                <w:rFonts w:ascii="仿宋" w:hAnsi="仿宋" w:eastAsia="仿宋" w:cs="仿宋"/>
              </w:rPr>
              <w:t>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ascii="仿宋" w:hAnsi="仿宋" w:eastAsia="仿宋" w:cs="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rPr>
            </w:pPr>
            <w:r>
              <w:rPr>
                <w:rFonts w:hint="eastAsia" w:ascii="仿宋" w:hAnsi="仿宋" w:eastAsia="仿宋" w:cs="仿宋"/>
                <w:b/>
                <w:bCs/>
              </w:rPr>
              <w:t>　　城西工业区居民、单位、工矿企业的生产生活用水供应</w:t>
            </w:r>
          </w:p>
        </w:tc>
        <w:tc>
          <w:tcPr>
            <w:tcW w:w="1276" w:type="dxa"/>
            <w:vAlign w:val="center"/>
          </w:tcPr>
          <w:p>
            <w:pPr>
              <w:spacing w:line="300" w:lineRule="exact"/>
              <w:jc w:val="left"/>
              <w:rPr>
                <w:rFonts w:ascii="仿宋" w:hAnsi="仿宋" w:eastAsia="仿宋" w:cs="Times New Roman"/>
              </w:rPr>
            </w:pPr>
            <w:r>
              <w:rPr>
                <w:rFonts w:hint="eastAsia" w:ascii="仿宋" w:hAnsi="仿宋" w:eastAsia="仿宋" w:cs="Times New Roman"/>
              </w:rPr>
              <w:t>0</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城西工业区居民、单位、工矿企业的生产生活用水供应</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达到城西工业区生活用水供应</w:t>
            </w:r>
          </w:p>
        </w:tc>
        <w:tc>
          <w:tcPr>
            <w:tcW w:w="1417" w:type="dxa"/>
            <w:vAlign w:val="center"/>
          </w:tcPr>
          <w:p>
            <w:pPr>
              <w:spacing w:line="300" w:lineRule="exact"/>
              <w:jc w:val="left"/>
              <w:rPr>
                <w:rFonts w:ascii="仿宋" w:hAnsi="仿宋" w:eastAsia="仿宋" w:cs="Times New Roman"/>
              </w:rPr>
            </w:pPr>
            <w:r>
              <w:rPr>
                <w:rFonts w:hint="eastAsia" w:ascii="仿宋" w:hAnsi="仿宋" w:eastAsia="仿宋" w:cs="仿宋"/>
              </w:rPr>
              <w:t>供应率</w:t>
            </w:r>
          </w:p>
        </w:tc>
        <w:tc>
          <w:tcPr>
            <w:tcW w:w="737" w:type="dxa"/>
            <w:vAlign w:val="center"/>
          </w:tcPr>
          <w:p>
            <w:pPr>
              <w:spacing w:line="300" w:lineRule="exact"/>
              <w:jc w:val="center"/>
              <w:rPr>
                <w:rFonts w:ascii="仿宋" w:hAnsi="仿宋" w:eastAsia="仿宋" w:cs="仿宋"/>
              </w:rPr>
            </w:pPr>
            <w:r>
              <w:rPr>
                <w:rFonts w:ascii="仿宋" w:hAnsi="仿宋" w:eastAsia="仿宋" w:cs="仿宋"/>
              </w:rPr>
              <w:t>100%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ascii="仿宋" w:hAnsi="仿宋" w:eastAsia="仿宋" w:cs="仿宋"/>
              </w:rPr>
              <w:t>90%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hint="eastAsia" w:ascii="仿宋" w:hAnsi="仿宋" w:eastAsia="仿宋" w:cs="仿宋"/>
              </w:rPr>
              <w:t>7</w:t>
            </w:r>
            <w:r>
              <w:rPr>
                <w:rFonts w:ascii="仿宋" w:hAnsi="仿宋" w:eastAsia="仿宋" w:cs="仿宋"/>
              </w:rPr>
              <w:t>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ascii="仿宋" w:hAnsi="仿宋" w:eastAsia="仿宋" w:cs="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rPr>
            </w:pPr>
            <w:r>
              <w:rPr>
                <w:rFonts w:hint="eastAsia" w:ascii="仿宋" w:hAnsi="仿宋" w:eastAsia="仿宋" w:cs="仿宋"/>
                <w:b/>
                <w:bCs/>
              </w:rPr>
              <w:t>县城老城区居民、单位水费征收</w:t>
            </w:r>
          </w:p>
        </w:tc>
        <w:tc>
          <w:tcPr>
            <w:tcW w:w="1276" w:type="dxa"/>
            <w:vAlign w:val="center"/>
          </w:tcPr>
          <w:p>
            <w:pPr>
              <w:spacing w:line="300" w:lineRule="exact"/>
              <w:jc w:val="left"/>
              <w:rPr>
                <w:rFonts w:ascii="仿宋" w:hAnsi="仿宋" w:eastAsia="仿宋" w:cs="Times New Roman"/>
              </w:rPr>
            </w:pPr>
            <w:r>
              <w:rPr>
                <w:rFonts w:hint="eastAsia" w:ascii="仿宋" w:hAnsi="仿宋" w:eastAsia="仿宋" w:cs="Times New Roman"/>
              </w:rPr>
              <w:t>0</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供应县城老城区用水</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供应县城居民生活供水、水费征收及维修管道，对社会稳定和经济发展起到积极作用</w:t>
            </w:r>
          </w:p>
        </w:tc>
        <w:tc>
          <w:tcPr>
            <w:tcW w:w="1417" w:type="dxa"/>
            <w:vAlign w:val="center"/>
          </w:tcPr>
          <w:p>
            <w:pPr>
              <w:spacing w:line="300" w:lineRule="exact"/>
              <w:jc w:val="left"/>
              <w:rPr>
                <w:rFonts w:ascii="仿宋" w:hAnsi="仿宋" w:eastAsia="仿宋" w:cs="Times New Roman"/>
              </w:rPr>
            </w:pPr>
          </w:p>
        </w:tc>
        <w:tc>
          <w:tcPr>
            <w:tcW w:w="737" w:type="dxa"/>
            <w:vAlign w:val="center"/>
          </w:tcPr>
          <w:p>
            <w:pPr>
              <w:spacing w:line="300" w:lineRule="exact"/>
              <w:jc w:val="center"/>
              <w:rPr>
                <w:rFonts w:ascii="仿宋" w:hAnsi="仿宋" w:eastAsia="仿宋" w:cs="仿宋"/>
              </w:rPr>
            </w:pPr>
            <w:r>
              <w:rPr>
                <w:rFonts w:ascii="仿宋" w:hAnsi="仿宋" w:eastAsia="仿宋" w:cs="仿宋"/>
              </w:rPr>
              <w:t>100%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ascii="仿宋" w:hAnsi="仿宋" w:eastAsia="仿宋" w:cs="仿宋"/>
              </w:rPr>
              <w:t>90%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hint="eastAsia" w:ascii="仿宋" w:hAnsi="仿宋" w:eastAsia="仿宋" w:cs="仿宋"/>
              </w:rPr>
              <w:t>7</w:t>
            </w:r>
            <w:r>
              <w:rPr>
                <w:rFonts w:ascii="仿宋" w:hAnsi="仿宋" w:eastAsia="仿宋" w:cs="仿宋"/>
              </w:rPr>
              <w:t>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ascii="仿宋" w:hAnsi="仿宋" w:eastAsia="仿宋" w:cs="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rPr>
            </w:pPr>
            <w:r>
              <w:rPr>
                <w:rFonts w:hint="eastAsia" w:ascii="仿宋" w:hAnsi="仿宋" w:eastAsia="仿宋" w:cs="仿宋"/>
                <w:b/>
                <w:bCs/>
              </w:rPr>
              <w:t>　　县城居民、单位水费征收</w:t>
            </w:r>
          </w:p>
        </w:tc>
        <w:tc>
          <w:tcPr>
            <w:tcW w:w="1276" w:type="dxa"/>
            <w:vAlign w:val="center"/>
          </w:tcPr>
          <w:p>
            <w:pPr>
              <w:spacing w:line="300" w:lineRule="exact"/>
              <w:jc w:val="left"/>
              <w:rPr>
                <w:rFonts w:ascii="仿宋" w:hAnsi="仿宋" w:eastAsia="仿宋" w:cs="Times New Roman"/>
              </w:rPr>
            </w:pPr>
            <w:r>
              <w:rPr>
                <w:rFonts w:hint="eastAsia" w:ascii="仿宋" w:hAnsi="仿宋" w:eastAsia="仿宋" w:cs="Times New Roman"/>
              </w:rPr>
              <w:t>0</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保证老城区居民生活供水、管道维修及水费征收。在全县范围内通过实施饮水安全项目，解决居民饮水不安全问题。</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达到老城区生活用水</w:t>
            </w:r>
          </w:p>
        </w:tc>
        <w:tc>
          <w:tcPr>
            <w:tcW w:w="1417" w:type="dxa"/>
            <w:vAlign w:val="center"/>
          </w:tcPr>
          <w:p>
            <w:pPr>
              <w:spacing w:line="300" w:lineRule="exact"/>
              <w:jc w:val="left"/>
              <w:rPr>
                <w:rFonts w:ascii="仿宋" w:hAnsi="仿宋" w:eastAsia="仿宋" w:cs="Times New Roman"/>
              </w:rPr>
            </w:pPr>
            <w:r>
              <w:rPr>
                <w:rFonts w:hint="eastAsia" w:ascii="仿宋" w:hAnsi="仿宋" w:eastAsia="仿宋" w:cs="仿宋"/>
              </w:rPr>
              <w:t>供应率</w:t>
            </w:r>
          </w:p>
        </w:tc>
        <w:tc>
          <w:tcPr>
            <w:tcW w:w="737" w:type="dxa"/>
            <w:vAlign w:val="center"/>
          </w:tcPr>
          <w:p>
            <w:pPr>
              <w:spacing w:line="300" w:lineRule="exact"/>
              <w:jc w:val="center"/>
              <w:rPr>
                <w:rFonts w:ascii="仿宋" w:hAnsi="仿宋" w:eastAsia="仿宋" w:cs="仿宋"/>
              </w:rPr>
            </w:pPr>
            <w:r>
              <w:rPr>
                <w:rFonts w:ascii="仿宋" w:hAnsi="仿宋" w:eastAsia="仿宋" w:cs="仿宋"/>
              </w:rPr>
              <w:t>100%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ascii="仿宋" w:hAnsi="仿宋" w:eastAsia="仿宋" w:cs="仿宋"/>
              </w:rPr>
              <w:t>90%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hint="eastAsia" w:ascii="仿宋" w:hAnsi="仿宋" w:eastAsia="仿宋" w:cs="仿宋"/>
              </w:rPr>
              <w:t>7</w:t>
            </w:r>
            <w:r>
              <w:rPr>
                <w:rFonts w:ascii="仿宋" w:hAnsi="仿宋" w:eastAsia="仿宋" w:cs="仿宋"/>
              </w:rPr>
              <w:t>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ascii="仿宋" w:hAnsi="仿宋" w:eastAsia="仿宋" w:cs="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rPr>
            </w:pPr>
            <w:r>
              <w:rPr>
                <w:rFonts w:hint="eastAsia" w:ascii="仿宋" w:hAnsi="仿宋" w:eastAsia="仿宋" w:cs="仿宋"/>
                <w:b/>
                <w:bCs/>
              </w:rPr>
              <w:t>全县农村供水正常运行等相关工作</w:t>
            </w:r>
          </w:p>
        </w:tc>
        <w:tc>
          <w:tcPr>
            <w:tcW w:w="1276" w:type="dxa"/>
            <w:vAlign w:val="center"/>
          </w:tcPr>
          <w:p>
            <w:pPr>
              <w:spacing w:line="300" w:lineRule="exact"/>
              <w:jc w:val="left"/>
              <w:rPr>
                <w:rFonts w:ascii="仿宋" w:hAnsi="仿宋" w:eastAsia="仿宋" w:cs="Times New Roman"/>
              </w:rPr>
            </w:pPr>
            <w:r>
              <w:rPr>
                <w:rFonts w:hint="eastAsia" w:ascii="仿宋" w:hAnsi="仿宋" w:eastAsia="仿宋" w:cs="Times New Roman"/>
              </w:rPr>
              <w:t>0</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确保全县各供水站正常供水</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实现全县各村供水全覆盖</w:t>
            </w:r>
          </w:p>
        </w:tc>
        <w:tc>
          <w:tcPr>
            <w:tcW w:w="1417" w:type="dxa"/>
            <w:vAlign w:val="center"/>
          </w:tcPr>
          <w:p>
            <w:pPr>
              <w:spacing w:line="300" w:lineRule="exact"/>
              <w:jc w:val="left"/>
              <w:rPr>
                <w:rFonts w:ascii="仿宋" w:hAnsi="仿宋" w:eastAsia="仿宋" w:cs="Times New Roman"/>
              </w:rPr>
            </w:pPr>
          </w:p>
        </w:tc>
        <w:tc>
          <w:tcPr>
            <w:tcW w:w="737" w:type="dxa"/>
            <w:vAlign w:val="center"/>
          </w:tcPr>
          <w:p>
            <w:pPr>
              <w:spacing w:line="300" w:lineRule="exact"/>
              <w:jc w:val="center"/>
              <w:rPr>
                <w:rFonts w:ascii="仿宋" w:hAnsi="仿宋" w:eastAsia="仿宋" w:cs="仿宋"/>
              </w:rPr>
            </w:pPr>
            <w:r>
              <w:rPr>
                <w:rFonts w:ascii="仿宋" w:hAnsi="仿宋" w:eastAsia="仿宋" w:cs="仿宋"/>
              </w:rPr>
              <w:t>100%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ascii="仿宋" w:hAnsi="仿宋" w:eastAsia="仿宋" w:cs="仿宋"/>
              </w:rPr>
              <w:t>90%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hint="eastAsia" w:ascii="仿宋" w:hAnsi="仿宋" w:eastAsia="仿宋" w:cs="仿宋"/>
              </w:rPr>
              <w:t>7</w:t>
            </w:r>
            <w:r>
              <w:rPr>
                <w:rFonts w:ascii="仿宋" w:hAnsi="仿宋" w:eastAsia="仿宋" w:cs="仿宋"/>
              </w:rPr>
              <w:t>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ascii="仿宋" w:hAnsi="仿宋" w:eastAsia="仿宋" w:cs="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rPr>
            </w:pPr>
            <w:r>
              <w:rPr>
                <w:rFonts w:hint="eastAsia" w:ascii="仿宋" w:hAnsi="仿宋" w:eastAsia="仿宋" w:cs="仿宋"/>
                <w:b/>
                <w:bCs/>
              </w:rPr>
              <w:t>　　全县农村供水正常运行等相关工作</w:t>
            </w:r>
          </w:p>
        </w:tc>
        <w:tc>
          <w:tcPr>
            <w:tcW w:w="1276" w:type="dxa"/>
            <w:vAlign w:val="center"/>
          </w:tcPr>
          <w:p>
            <w:pPr>
              <w:spacing w:line="300" w:lineRule="exact"/>
              <w:jc w:val="left"/>
              <w:rPr>
                <w:rFonts w:ascii="仿宋" w:hAnsi="仿宋" w:eastAsia="仿宋" w:cs="Times New Roman"/>
              </w:rPr>
            </w:pPr>
            <w:r>
              <w:rPr>
                <w:rFonts w:hint="eastAsia" w:ascii="仿宋" w:hAnsi="仿宋" w:eastAsia="仿宋" w:cs="Times New Roman"/>
              </w:rPr>
              <w:t>0</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确保全县各供水站正常供水</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全县农村供水正常运行</w:t>
            </w:r>
          </w:p>
        </w:tc>
        <w:tc>
          <w:tcPr>
            <w:tcW w:w="1417" w:type="dxa"/>
            <w:vAlign w:val="center"/>
          </w:tcPr>
          <w:p>
            <w:pPr>
              <w:spacing w:line="300" w:lineRule="exact"/>
              <w:jc w:val="left"/>
              <w:rPr>
                <w:rFonts w:ascii="仿宋" w:hAnsi="仿宋" w:eastAsia="仿宋" w:cs="Times New Roman"/>
              </w:rPr>
            </w:pPr>
            <w:r>
              <w:rPr>
                <w:rFonts w:hint="eastAsia" w:ascii="仿宋" w:hAnsi="仿宋" w:eastAsia="仿宋" w:cs="仿宋"/>
              </w:rPr>
              <w:t>保证正常运行</w:t>
            </w:r>
          </w:p>
        </w:tc>
        <w:tc>
          <w:tcPr>
            <w:tcW w:w="737" w:type="dxa"/>
            <w:vAlign w:val="center"/>
          </w:tcPr>
          <w:p>
            <w:pPr>
              <w:spacing w:line="300" w:lineRule="exact"/>
              <w:jc w:val="center"/>
              <w:rPr>
                <w:rFonts w:ascii="仿宋" w:hAnsi="仿宋" w:eastAsia="仿宋" w:cs="仿宋"/>
              </w:rPr>
            </w:pPr>
            <w:r>
              <w:rPr>
                <w:rFonts w:ascii="仿宋" w:hAnsi="仿宋" w:eastAsia="仿宋" w:cs="仿宋"/>
              </w:rPr>
              <w:t>100</w:t>
            </w:r>
            <w:r>
              <w:rPr>
                <w:rFonts w:hint="eastAsia" w:ascii="仿宋" w:hAnsi="仿宋" w:eastAsia="仿宋" w:cs="仿宋"/>
              </w:rPr>
              <w:t>%</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ascii="仿宋" w:hAnsi="仿宋" w:eastAsia="仿宋" w:cs="仿宋"/>
              </w:rPr>
              <w:t>90%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hint="eastAsia" w:ascii="仿宋" w:hAnsi="仿宋" w:eastAsia="仿宋" w:cs="仿宋"/>
              </w:rPr>
              <w:t>7</w:t>
            </w:r>
            <w:r>
              <w:rPr>
                <w:rFonts w:ascii="仿宋" w:hAnsi="仿宋" w:eastAsia="仿宋" w:cs="仿宋"/>
              </w:rPr>
              <w:t>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ascii="仿宋" w:hAnsi="仿宋" w:eastAsia="仿宋" w:cs="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仿宋"/>
                <w:b/>
                <w:bCs/>
              </w:rPr>
            </w:pPr>
            <w:r>
              <w:rPr>
                <w:rFonts w:hint="eastAsia" w:ascii="仿宋" w:hAnsi="仿宋" w:eastAsia="仿宋" w:cs="仿宋"/>
                <w:b/>
                <w:bCs/>
              </w:rPr>
              <w:t>河长制</w:t>
            </w:r>
          </w:p>
        </w:tc>
        <w:tc>
          <w:tcPr>
            <w:tcW w:w="1276" w:type="dxa"/>
            <w:vAlign w:val="center"/>
          </w:tcPr>
          <w:p>
            <w:pPr>
              <w:spacing w:line="300" w:lineRule="exact"/>
              <w:jc w:val="left"/>
              <w:rPr>
                <w:rFonts w:ascii="仿宋" w:hAnsi="仿宋" w:eastAsia="仿宋" w:cs="Times New Roman"/>
              </w:rPr>
            </w:pPr>
            <w:r>
              <w:rPr>
                <w:rFonts w:hint="eastAsia" w:ascii="仿宋" w:hAnsi="仿宋" w:eastAsia="仿宋" w:cs="Times New Roman"/>
              </w:rPr>
              <w:t>30</w:t>
            </w:r>
          </w:p>
        </w:tc>
        <w:tc>
          <w:tcPr>
            <w:tcW w:w="2976" w:type="dxa"/>
            <w:vAlign w:val="center"/>
          </w:tcPr>
          <w:p>
            <w:pPr>
              <w:spacing w:line="300" w:lineRule="exact"/>
              <w:jc w:val="left"/>
              <w:rPr>
                <w:rFonts w:ascii="仿宋" w:hAnsi="仿宋" w:eastAsia="仿宋" w:cs="仿宋"/>
              </w:rPr>
            </w:pPr>
            <w:r>
              <w:rPr>
                <w:rFonts w:hint="eastAsia" w:ascii="仿宋" w:hAnsi="仿宋" w:eastAsia="仿宋" w:cs="仿宋"/>
              </w:rPr>
              <w:t>全面推行河长制，县、乡、村三级河长按照各自职责，对渠道水资源保护、水生态修复、渠道安全等工作进行安排、协调、治理。</w:t>
            </w:r>
          </w:p>
        </w:tc>
        <w:tc>
          <w:tcPr>
            <w:tcW w:w="2976" w:type="dxa"/>
            <w:vAlign w:val="center"/>
          </w:tcPr>
          <w:p>
            <w:pPr>
              <w:spacing w:line="300" w:lineRule="exact"/>
              <w:jc w:val="left"/>
              <w:rPr>
                <w:rFonts w:ascii="仿宋" w:hAnsi="仿宋" w:eastAsia="仿宋" w:cs="仿宋"/>
              </w:rPr>
            </w:pPr>
            <w:r>
              <w:rPr>
                <w:rFonts w:hint="eastAsia" w:ascii="仿宋" w:hAnsi="仿宋" w:eastAsia="仿宋" w:cs="仿宋"/>
              </w:rPr>
              <w:t>渠系水环境持续改善</w:t>
            </w:r>
          </w:p>
        </w:tc>
        <w:tc>
          <w:tcPr>
            <w:tcW w:w="1417" w:type="dxa"/>
            <w:vAlign w:val="center"/>
          </w:tcPr>
          <w:p>
            <w:pPr>
              <w:spacing w:line="300" w:lineRule="exact"/>
              <w:jc w:val="left"/>
              <w:rPr>
                <w:rFonts w:ascii="仿宋" w:hAnsi="仿宋" w:eastAsia="仿宋" w:cs="仿宋"/>
              </w:rPr>
            </w:pPr>
            <w:r>
              <w:rPr>
                <w:rFonts w:hint="eastAsia" w:ascii="仿宋" w:hAnsi="仿宋" w:eastAsia="仿宋" w:cs="仿宋"/>
              </w:rPr>
              <w:t>实际完成工程量占谋划工程量</w:t>
            </w:r>
          </w:p>
        </w:tc>
        <w:tc>
          <w:tcPr>
            <w:tcW w:w="737" w:type="dxa"/>
            <w:vAlign w:val="center"/>
          </w:tcPr>
          <w:p>
            <w:pPr>
              <w:spacing w:line="300" w:lineRule="exact"/>
              <w:jc w:val="center"/>
              <w:rPr>
                <w:rFonts w:ascii="仿宋" w:hAnsi="仿宋" w:eastAsia="仿宋" w:cs="仿宋"/>
              </w:rPr>
            </w:pPr>
            <w:r>
              <w:rPr>
                <w:rFonts w:ascii="仿宋" w:hAnsi="仿宋" w:eastAsia="仿宋" w:cs="仿宋"/>
              </w:rPr>
              <w:t>100%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ascii="仿宋" w:hAnsi="仿宋" w:eastAsia="仿宋" w:cs="仿宋"/>
              </w:rPr>
              <w:t>90%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hint="eastAsia" w:ascii="仿宋" w:hAnsi="仿宋" w:eastAsia="仿宋" w:cs="仿宋"/>
              </w:rPr>
              <w:t>7</w:t>
            </w:r>
            <w:r>
              <w:rPr>
                <w:rFonts w:ascii="仿宋" w:hAnsi="仿宋" w:eastAsia="仿宋" w:cs="仿宋"/>
              </w:rPr>
              <w:t>0%</w:t>
            </w:r>
          </w:p>
        </w:tc>
        <w:tc>
          <w:tcPr>
            <w:tcW w:w="737" w:type="dxa"/>
            <w:vAlign w:val="center"/>
          </w:tcPr>
          <w:p>
            <w:pPr>
              <w:spacing w:line="300" w:lineRule="exact"/>
              <w:jc w:val="center"/>
              <w:rPr>
                <w:rFonts w:ascii="仿宋" w:hAnsi="仿宋" w:eastAsia="仿宋" w:cs="仿宋"/>
              </w:rPr>
            </w:pPr>
            <w:r>
              <w:rPr>
                <w:rFonts w:hint="eastAsia" w:ascii="宋体" w:hAnsi="宋体" w:eastAsia="宋体" w:cs="宋体"/>
              </w:rPr>
              <w:t>＜</w:t>
            </w:r>
            <w:r>
              <w:rPr>
                <w:rFonts w:ascii="仿宋" w:hAnsi="仿宋" w:eastAsia="仿宋" w:cs="仿宋"/>
              </w:rPr>
              <w:t>70%</w:t>
            </w:r>
          </w:p>
        </w:tc>
      </w:tr>
    </w:tbl>
    <w:p>
      <w:pPr>
        <w:spacing w:line="560" w:lineRule="exact"/>
        <w:jc w:val="center"/>
        <w:outlineLvl w:val="0"/>
        <w:rPr>
          <w:rFonts w:ascii="仿宋_GB2312" w:hAnsi="Times New Roman" w:eastAsia="仿宋_GB2312" w:cs="Times New Roman"/>
          <w:sz w:val="32"/>
          <w:szCs w:val="32"/>
        </w:rPr>
      </w:pPr>
    </w:p>
    <w:p>
      <w:pPr>
        <w:spacing w:line="300" w:lineRule="exact"/>
        <w:jc w:val="left"/>
        <w:outlineLvl w:val="0"/>
        <w:rPr>
          <w:rFonts w:cs="Times New Roman"/>
        </w:rPr>
        <w:sectPr>
          <w:headerReference r:id="rId3" w:type="default"/>
          <w:footerReference r:id="rId4" w:type="default"/>
          <w:pgSz w:w="16839" w:h="11907" w:orient="landscape"/>
          <w:pgMar w:top="1020" w:right="1361" w:bottom="1020" w:left="1361" w:header="851" w:footer="992" w:gutter="0"/>
          <w:cols w:space="720" w:num="1"/>
          <w:docGrid w:type="lines" w:linePitch="312" w:charSpace="0"/>
        </w:sectPr>
      </w:pPr>
    </w:p>
    <w:p>
      <w:pPr>
        <w:autoSpaceDE w:val="0"/>
        <w:autoSpaceDN w:val="0"/>
        <w:adjustRightInd w:val="0"/>
        <w:spacing w:line="560" w:lineRule="exact"/>
        <w:jc w:val="left"/>
        <w:rPr>
          <w:rFonts w:ascii="黑体" w:hAnsi="黑体" w:eastAsia="黑体" w:cs="Times New Roman"/>
          <w:sz w:val="32"/>
          <w:szCs w:val="32"/>
        </w:rPr>
      </w:pPr>
      <w:r>
        <w:rPr>
          <w:rFonts w:hint="eastAsia" w:ascii="黑体" w:hAnsi="黑体" w:eastAsia="黑体" w:cs="黑体"/>
          <w:sz w:val="32"/>
          <w:szCs w:val="32"/>
        </w:rPr>
        <w:t>六、政府采购预算情况</w:t>
      </w:r>
    </w:p>
    <w:p>
      <w:pPr>
        <w:spacing w:line="560" w:lineRule="exact"/>
        <w:ind w:firstLine="640" w:firstLineChars="200"/>
        <w:outlineLvl w:val="0"/>
        <w:rPr>
          <w:rFonts w:ascii="方正小标宋_GBK" w:eastAsia="方正小标宋_GBK" w:cs="Times New Roman"/>
          <w:sz w:val="32"/>
          <w:szCs w:val="32"/>
        </w:rPr>
      </w:pPr>
      <w:bookmarkStart w:id="1" w:name="_Toc471398468"/>
      <w:r>
        <w:rPr>
          <w:rFonts w:ascii="仿宋" w:hAnsi="仿宋" w:eastAsia="仿宋" w:cs="仿宋_GB2312"/>
          <w:kern w:val="0"/>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按照政府采购相关法律法规要求，结合我</w:t>
      </w:r>
      <w:r>
        <w:rPr>
          <w:rFonts w:hint="eastAsia" w:ascii="仿宋" w:hAnsi="仿宋" w:eastAsia="仿宋" w:cs="仿宋_GB2312"/>
          <w:kern w:val="0"/>
          <w:sz w:val="32"/>
          <w:szCs w:val="32"/>
        </w:rPr>
        <w:t>单位</w:t>
      </w:r>
      <w:r>
        <w:rPr>
          <w:rFonts w:ascii="仿宋" w:hAnsi="仿宋" w:eastAsia="仿宋" w:cs="仿宋_GB2312"/>
          <w:kern w:val="0"/>
          <w:sz w:val="32"/>
          <w:szCs w:val="32"/>
        </w:rPr>
        <w:t>实际</w:t>
      </w:r>
      <w:r>
        <w:rPr>
          <w:rFonts w:hint="eastAsia" w:ascii="仿宋_GB2312" w:hAnsi="Times New Roman" w:eastAsia="仿宋_GB2312" w:cs="仿宋_GB2312"/>
          <w:sz w:val="32"/>
          <w:szCs w:val="32"/>
        </w:rPr>
        <w:t>2021年我单位安排政府采购预算1万元。具体内容见下表。</w:t>
      </w:r>
      <w:bookmarkEnd w:id="1"/>
      <w:bookmarkStart w:id="2" w:name="_Toc477341519"/>
    </w:p>
    <w:p>
      <w:pPr>
        <w:spacing w:line="560" w:lineRule="exact"/>
        <w:jc w:val="center"/>
        <w:outlineLvl w:val="0"/>
        <w:rPr>
          <w:rFonts w:ascii="方正小标宋_GBK" w:eastAsia="方正小标宋_GBK" w:cs="Times New Roman"/>
          <w:sz w:val="32"/>
          <w:szCs w:val="32"/>
        </w:rPr>
      </w:pPr>
      <w:r>
        <w:rPr>
          <w:rFonts w:hint="eastAsia" w:ascii="方正小标宋_GBK" w:eastAsia="方正小标宋_GBK" w:cs="方正小标宋_GBK"/>
          <w:sz w:val="32"/>
          <w:szCs w:val="32"/>
        </w:rPr>
        <w:t>部门政府采购预算</w:t>
      </w:r>
      <w:bookmarkEnd w:id="2"/>
    </w:p>
    <w:tbl>
      <w:tblPr>
        <w:tblStyle w:val="7"/>
        <w:tblW w:w="136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1"/>
        <w:gridCol w:w="731"/>
        <w:gridCol w:w="1088"/>
        <w:gridCol w:w="1327"/>
        <w:gridCol w:w="691"/>
        <w:gridCol w:w="964"/>
        <w:gridCol w:w="986"/>
        <w:gridCol w:w="964"/>
        <w:gridCol w:w="964"/>
        <w:gridCol w:w="964"/>
        <w:gridCol w:w="964"/>
        <w:gridCol w:w="964"/>
        <w:gridCol w:w="964"/>
        <w:gridCol w:w="9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928"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cs="方正小标宋_GBK"/>
                <w:sz w:val="24"/>
                <w:szCs w:val="24"/>
              </w:rPr>
              <w:t>332</w:t>
            </w:r>
            <w:r>
              <w:rPr>
                <w:rFonts w:hint="eastAsia" w:ascii="方正小标宋_GBK"/>
                <w:sz w:val="24"/>
                <w:szCs w:val="24"/>
              </w:rPr>
              <w:t>成安县水利</w:t>
            </w:r>
            <w:r>
              <w:rPr>
                <w:rFonts w:hint="eastAsia" w:ascii="方正小标宋_GBK" w:eastAsia="方正小标宋_GBK" w:cs="方正小标宋_GBK"/>
                <w:sz w:val="24"/>
                <w:szCs w:val="24"/>
              </w:rPr>
              <w:t>局</w:t>
            </w:r>
          </w:p>
        </w:tc>
        <w:tc>
          <w:tcPr>
            <w:tcW w:w="6690"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s="Times New Roman"/>
                <w:sz w:val="24"/>
                <w:szCs w:val="24"/>
              </w:rPr>
            </w:pPr>
            <w:r>
              <w:rPr>
                <w:rFonts w:hint="eastAsia" w:ascii="方正书宋_GBK" w:eastAsia="方正书宋_GBK"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5" w:hRule="atLeast"/>
          <w:tblHeader/>
          <w:jc w:val="center"/>
        </w:trPr>
        <w:tc>
          <w:tcPr>
            <w:tcW w:w="1872" w:type="dxa"/>
            <w:gridSpan w:val="2"/>
            <w:vAlign w:val="center"/>
          </w:tcPr>
          <w:p>
            <w:pPr>
              <w:spacing w:line="300" w:lineRule="exact"/>
              <w:jc w:val="center"/>
              <w:rPr>
                <w:rFonts w:ascii="仿宋" w:hAnsi="仿宋" w:eastAsia="仿宋" w:cs="Times New Roman"/>
                <w:sz w:val="24"/>
                <w:szCs w:val="24"/>
              </w:rPr>
            </w:pPr>
            <w:r>
              <w:rPr>
                <w:rFonts w:hint="eastAsia" w:ascii="仿宋" w:hAnsi="仿宋" w:eastAsia="仿宋" w:cs="仿宋"/>
                <w:sz w:val="24"/>
                <w:szCs w:val="24"/>
              </w:rPr>
              <w:t>政府采购项目来源</w:t>
            </w:r>
          </w:p>
        </w:tc>
        <w:tc>
          <w:tcPr>
            <w:tcW w:w="1088" w:type="dxa"/>
            <w:vMerge w:val="restart"/>
            <w:vAlign w:val="center"/>
          </w:tcPr>
          <w:p>
            <w:pPr>
              <w:spacing w:line="300" w:lineRule="exact"/>
              <w:jc w:val="center"/>
              <w:rPr>
                <w:rFonts w:ascii="仿宋" w:hAnsi="仿宋" w:eastAsia="仿宋" w:cs="Times New Roman"/>
                <w:sz w:val="24"/>
                <w:szCs w:val="24"/>
              </w:rPr>
            </w:pPr>
            <w:r>
              <w:rPr>
                <w:rFonts w:hint="eastAsia" w:ascii="仿宋" w:hAnsi="仿宋" w:eastAsia="仿宋" w:cs="仿宋"/>
                <w:sz w:val="24"/>
                <w:szCs w:val="24"/>
              </w:rPr>
              <w:t>采购物品名称</w:t>
            </w:r>
          </w:p>
        </w:tc>
        <w:tc>
          <w:tcPr>
            <w:tcW w:w="1327" w:type="dxa"/>
            <w:vMerge w:val="restart"/>
            <w:vAlign w:val="center"/>
          </w:tcPr>
          <w:p>
            <w:pPr>
              <w:spacing w:line="300" w:lineRule="exact"/>
              <w:jc w:val="center"/>
              <w:rPr>
                <w:rFonts w:ascii="仿宋" w:hAnsi="仿宋" w:eastAsia="仿宋" w:cs="Times New Roman"/>
                <w:sz w:val="24"/>
                <w:szCs w:val="24"/>
              </w:rPr>
            </w:pPr>
            <w:r>
              <w:rPr>
                <w:rFonts w:hint="eastAsia" w:ascii="仿宋" w:hAnsi="仿宋" w:eastAsia="仿宋" w:cs="仿宋"/>
                <w:sz w:val="24"/>
                <w:szCs w:val="24"/>
              </w:rPr>
              <w:t>政府采购目录序号</w:t>
            </w:r>
          </w:p>
        </w:tc>
        <w:tc>
          <w:tcPr>
            <w:tcW w:w="691" w:type="dxa"/>
            <w:vMerge w:val="restart"/>
            <w:vAlign w:val="center"/>
          </w:tcPr>
          <w:p>
            <w:pPr>
              <w:spacing w:line="300" w:lineRule="exact"/>
              <w:jc w:val="center"/>
              <w:rPr>
                <w:rFonts w:ascii="仿宋" w:hAnsi="仿宋" w:eastAsia="仿宋" w:cs="Times New Roman"/>
                <w:sz w:val="24"/>
                <w:szCs w:val="24"/>
              </w:rPr>
            </w:pPr>
            <w:r>
              <w:rPr>
                <w:rFonts w:hint="eastAsia" w:ascii="仿宋" w:hAnsi="仿宋" w:eastAsia="仿宋" w:cs="仿宋"/>
                <w:sz w:val="24"/>
                <w:szCs w:val="24"/>
              </w:rPr>
              <w:t>数量单位</w:t>
            </w:r>
          </w:p>
        </w:tc>
        <w:tc>
          <w:tcPr>
            <w:tcW w:w="964" w:type="dxa"/>
            <w:vMerge w:val="restart"/>
            <w:vAlign w:val="center"/>
          </w:tcPr>
          <w:p>
            <w:pPr>
              <w:spacing w:line="300" w:lineRule="exact"/>
              <w:jc w:val="center"/>
              <w:rPr>
                <w:rFonts w:ascii="仿宋" w:hAnsi="仿宋" w:eastAsia="仿宋" w:cs="Times New Roman"/>
                <w:sz w:val="24"/>
                <w:szCs w:val="24"/>
              </w:rPr>
            </w:pPr>
            <w:r>
              <w:rPr>
                <w:rFonts w:hint="eastAsia" w:ascii="仿宋" w:hAnsi="仿宋" w:eastAsia="仿宋" w:cs="仿宋"/>
                <w:sz w:val="24"/>
                <w:szCs w:val="24"/>
              </w:rPr>
              <w:t>数量</w:t>
            </w:r>
          </w:p>
        </w:tc>
        <w:tc>
          <w:tcPr>
            <w:tcW w:w="986" w:type="dxa"/>
            <w:vMerge w:val="restart"/>
            <w:vAlign w:val="center"/>
          </w:tcPr>
          <w:p>
            <w:pPr>
              <w:spacing w:line="300" w:lineRule="exact"/>
              <w:jc w:val="center"/>
              <w:rPr>
                <w:rFonts w:ascii="仿宋" w:hAnsi="仿宋" w:eastAsia="仿宋" w:cs="Times New Roman"/>
                <w:sz w:val="24"/>
                <w:szCs w:val="24"/>
              </w:rPr>
            </w:pPr>
            <w:r>
              <w:rPr>
                <w:rFonts w:hint="eastAsia" w:ascii="仿宋" w:hAnsi="仿宋" w:eastAsia="仿宋" w:cs="仿宋"/>
                <w:sz w:val="24"/>
                <w:szCs w:val="24"/>
              </w:rPr>
              <w:t>单价</w:t>
            </w:r>
          </w:p>
        </w:tc>
        <w:tc>
          <w:tcPr>
            <w:tcW w:w="6690" w:type="dxa"/>
            <w:gridSpan w:val="7"/>
            <w:vAlign w:val="center"/>
          </w:tcPr>
          <w:p>
            <w:pPr>
              <w:spacing w:line="300" w:lineRule="exact"/>
              <w:jc w:val="center"/>
              <w:rPr>
                <w:rFonts w:ascii="仿宋" w:hAnsi="仿宋" w:eastAsia="仿宋" w:cs="Times New Roman"/>
                <w:sz w:val="24"/>
                <w:szCs w:val="24"/>
              </w:rPr>
            </w:pPr>
            <w:r>
              <w:rPr>
                <w:rFonts w:hint="eastAsia" w:ascii="仿宋" w:hAnsi="仿宋" w:eastAsia="仿宋" w:cs="仿宋"/>
                <w:sz w:val="24"/>
                <w:szCs w:val="24"/>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61" w:hRule="atLeast"/>
          <w:tblHeader/>
          <w:jc w:val="center"/>
        </w:trPr>
        <w:tc>
          <w:tcPr>
            <w:tcW w:w="1141" w:type="dxa"/>
            <w:vAlign w:val="center"/>
          </w:tcPr>
          <w:p>
            <w:pPr>
              <w:spacing w:line="300" w:lineRule="exact"/>
              <w:jc w:val="center"/>
              <w:outlineLvl w:val="0"/>
              <w:rPr>
                <w:rFonts w:ascii="仿宋" w:hAnsi="仿宋" w:eastAsia="仿宋" w:cs="Times New Roman"/>
                <w:sz w:val="24"/>
                <w:szCs w:val="24"/>
              </w:rPr>
            </w:pPr>
            <w:r>
              <w:rPr>
                <w:rFonts w:hint="eastAsia" w:ascii="仿宋" w:hAnsi="仿宋" w:eastAsia="仿宋" w:cs="仿宋"/>
                <w:sz w:val="24"/>
                <w:szCs w:val="24"/>
              </w:rPr>
              <w:t>项目名称</w:t>
            </w:r>
          </w:p>
        </w:tc>
        <w:tc>
          <w:tcPr>
            <w:tcW w:w="731" w:type="dxa"/>
            <w:vAlign w:val="center"/>
          </w:tcPr>
          <w:p>
            <w:pPr>
              <w:spacing w:line="300" w:lineRule="exact"/>
              <w:jc w:val="center"/>
              <w:outlineLvl w:val="0"/>
              <w:rPr>
                <w:rFonts w:ascii="仿宋" w:hAnsi="仿宋" w:eastAsia="仿宋" w:cs="Times New Roman"/>
                <w:sz w:val="24"/>
                <w:szCs w:val="24"/>
              </w:rPr>
            </w:pPr>
            <w:r>
              <w:rPr>
                <w:rFonts w:hint="eastAsia" w:ascii="仿宋" w:hAnsi="仿宋" w:eastAsia="仿宋" w:cs="仿宋"/>
                <w:sz w:val="24"/>
                <w:szCs w:val="24"/>
              </w:rPr>
              <w:t>预算资金</w:t>
            </w:r>
          </w:p>
        </w:tc>
        <w:tc>
          <w:tcPr>
            <w:tcW w:w="1088" w:type="dxa"/>
            <w:vMerge w:val="continue"/>
            <w:vAlign w:val="center"/>
          </w:tcPr>
          <w:p>
            <w:pPr>
              <w:spacing w:line="300" w:lineRule="exact"/>
              <w:jc w:val="center"/>
              <w:outlineLvl w:val="0"/>
              <w:rPr>
                <w:rFonts w:ascii="仿宋" w:hAnsi="仿宋" w:eastAsia="仿宋" w:cs="Times New Roman"/>
                <w:sz w:val="24"/>
                <w:szCs w:val="24"/>
              </w:rPr>
            </w:pPr>
          </w:p>
        </w:tc>
        <w:tc>
          <w:tcPr>
            <w:tcW w:w="1327" w:type="dxa"/>
            <w:vMerge w:val="continue"/>
            <w:vAlign w:val="center"/>
          </w:tcPr>
          <w:p>
            <w:pPr>
              <w:spacing w:line="300" w:lineRule="exact"/>
              <w:jc w:val="center"/>
              <w:outlineLvl w:val="0"/>
              <w:rPr>
                <w:rFonts w:ascii="仿宋" w:hAnsi="仿宋" w:eastAsia="仿宋" w:cs="Times New Roman"/>
                <w:sz w:val="24"/>
                <w:szCs w:val="24"/>
              </w:rPr>
            </w:pPr>
          </w:p>
        </w:tc>
        <w:tc>
          <w:tcPr>
            <w:tcW w:w="691" w:type="dxa"/>
            <w:vMerge w:val="continue"/>
            <w:vAlign w:val="center"/>
          </w:tcPr>
          <w:p>
            <w:pPr>
              <w:spacing w:line="300" w:lineRule="exact"/>
              <w:jc w:val="center"/>
              <w:outlineLvl w:val="0"/>
              <w:rPr>
                <w:rFonts w:ascii="仿宋" w:hAnsi="仿宋" w:eastAsia="仿宋" w:cs="Times New Roman"/>
                <w:sz w:val="24"/>
                <w:szCs w:val="24"/>
              </w:rPr>
            </w:pPr>
          </w:p>
        </w:tc>
        <w:tc>
          <w:tcPr>
            <w:tcW w:w="964" w:type="dxa"/>
            <w:vMerge w:val="continue"/>
            <w:vAlign w:val="center"/>
          </w:tcPr>
          <w:p>
            <w:pPr>
              <w:spacing w:line="300" w:lineRule="exact"/>
              <w:jc w:val="center"/>
              <w:outlineLvl w:val="0"/>
              <w:rPr>
                <w:rFonts w:ascii="仿宋" w:hAnsi="仿宋" w:eastAsia="仿宋" w:cs="Times New Roman"/>
                <w:sz w:val="24"/>
                <w:szCs w:val="24"/>
              </w:rPr>
            </w:pPr>
          </w:p>
        </w:tc>
        <w:tc>
          <w:tcPr>
            <w:tcW w:w="986" w:type="dxa"/>
            <w:vMerge w:val="continue"/>
            <w:vAlign w:val="center"/>
          </w:tcPr>
          <w:p>
            <w:pPr>
              <w:spacing w:line="300" w:lineRule="exact"/>
              <w:jc w:val="center"/>
              <w:outlineLvl w:val="0"/>
              <w:rPr>
                <w:rFonts w:ascii="仿宋" w:hAnsi="仿宋" w:eastAsia="仿宋" w:cs="Times New Roman"/>
                <w:sz w:val="24"/>
                <w:szCs w:val="24"/>
              </w:rPr>
            </w:pPr>
          </w:p>
        </w:tc>
        <w:tc>
          <w:tcPr>
            <w:tcW w:w="964" w:type="dxa"/>
            <w:vAlign w:val="center"/>
          </w:tcPr>
          <w:p>
            <w:pPr>
              <w:spacing w:line="300" w:lineRule="exact"/>
              <w:jc w:val="center"/>
              <w:outlineLvl w:val="0"/>
              <w:rPr>
                <w:rFonts w:ascii="仿宋" w:hAnsi="仿宋" w:eastAsia="仿宋" w:cs="Times New Roman"/>
                <w:sz w:val="24"/>
                <w:szCs w:val="24"/>
              </w:rPr>
            </w:pPr>
            <w:r>
              <w:rPr>
                <w:rFonts w:hint="eastAsia" w:ascii="仿宋" w:hAnsi="仿宋" w:eastAsia="仿宋" w:cs="仿宋"/>
                <w:sz w:val="24"/>
                <w:szCs w:val="24"/>
              </w:rPr>
              <w:t>总计</w:t>
            </w:r>
          </w:p>
        </w:tc>
        <w:tc>
          <w:tcPr>
            <w:tcW w:w="964" w:type="dxa"/>
            <w:vAlign w:val="center"/>
          </w:tcPr>
          <w:p>
            <w:pPr>
              <w:spacing w:line="300" w:lineRule="exact"/>
              <w:jc w:val="center"/>
              <w:rPr>
                <w:rFonts w:ascii="仿宋" w:hAnsi="仿宋" w:eastAsia="仿宋" w:cs="Times New Roman"/>
                <w:sz w:val="24"/>
                <w:szCs w:val="24"/>
              </w:rPr>
            </w:pPr>
            <w:r>
              <w:rPr>
                <w:rFonts w:hint="eastAsia" w:ascii="仿宋" w:hAnsi="仿宋" w:eastAsia="仿宋" w:cs="仿宋"/>
                <w:sz w:val="24"/>
                <w:szCs w:val="24"/>
              </w:rPr>
              <w:t>合计</w:t>
            </w:r>
          </w:p>
        </w:tc>
        <w:tc>
          <w:tcPr>
            <w:tcW w:w="964" w:type="dxa"/>
            <w:vAlign w:val="center"/>
          </w:tcPr>
          <w:p>
            <w:pPr>
              <w:spacing w:line="300" w:lineRule="exact"/>
              <w:jc w:val="center"/>
              <w:rPr>
                <w:rFonts w:ascii="仿宋" w:hAnsi="仿宋" w:eastAsia="仿宋" w:cs="Times New Roman"/>
                <w:sz w:val="24"/>
                <w:szCs w:val="24"/>
              </w:rPr>
            </w:pPr>
            <w:r>
              <w:rPr>
                <w:rFonts w:hint="eastAsia" w:ascii="仿宋" w:hAnsi="仿宋" w:eastAsia="仿宋" w:cs="仿宋"/>
                <w:sz w:val="24"/>
                <w:szCs w:val="24"/>
              </w:rPr>
              <w:t>一般公共预算拨款</w:t>
            </w:r>
          </w:p>
        </w:tc>
        <w:tc>
          <w:tcPr>
            <w:tcW w:w="964" w:type="dxa"/>
            <w:vAlign w:val="center"/>
          </w:tcPr>
          <w:p>
            <w:pPr>
              <w:spacing w:line="300" w:lineRule="exact"/>
              <w:jc w:val="center"/>
              <w:rPr>
                <w:rFonts w:ascii="仿宋" w:hAnsi="仿宋" w:eastAsia="仿宋" w:cs="Times New Roman"/>
                <w:sz w:val="24"/>
                <w:szCs w:val="24"/>
              </w:rPr>
            </w:pPr>
            <w:r>
              <w:rPr>
                <w:rFonts w:hint="eastAsia" w:ascii="仿宋" w:hAnsi="仿宋" w:eastAsia="仿宋" w:cs="仿宋"/>
                <w:sz w:val="24"/>
                <w:szCs w:val="24"/>
              </w:rPr>
              <w:t>基金预算拨款</w:t>
            </w:r>
          </w:p>
        </w:tc>
        <w:tc>
          <w:tcPr>
            <w:tcW w:w="964" w:type="dxa"/>
            <w:vAlign w:val="center"/>
          </w:tcPr>
          <w:p>
            <w:pPr>
              <w:spacing w:line="300" w:lineRule="exact"/>
              <w:jc w:val="center"/>
              <w:rPr>
                <w:rFonts w:ascii="仿宋" w:hAnsi="仿宋" w:eastAsia="仿宋" w:cs="Times New Roman"/>
                <w:sz w:val="24"/>
                <w:szCs w:val="24"/>
              </w:rPr>
            </w:pPr>
            <w:r>
              <w:rPr>
                <w:rFonts w:hint="eastAsia" w:ascii="仿宋" w:hAnsi="仿宋" w:eastAsia="仿宋" w:cs="仿宋"/>
                <w:sz w:val="24"/>
                <w:szCs w:val="24"/>
              </w:rPr>
              <w:t>财政专户核拨</w:t>
            </w:r>
          </w:p>
        </w:tc>
        <w:tc>
          <w:tcPr>
            <w:tcW w:w="964" w:type="dxa"/>
            <w:vAlign w:val="center"/>
          </w:tcPr>
          <w:p>
            <w:pPr>
              <w:spacing w:line="300" w:lineRule="exact"/>
              <w:jc w:val="center"/>
              <w:rPr>
                <w:rFonts w:ascii="仿宋" w:hAnsi="仿宋" w:eastAsia="仿宋" w:cs="Times New Roman"/>
                <w:sz w:val="24"/>
                <w:szCs w:val="24"/>
              </w:rPr>
            </w:pPr>
            <w:r>
              <w:rPr>
                <w:rFonts w:hint="eastAsia" w:ascii="仿宋" w:hAnsi="仿宋" w:eastAsia="仿宋" w:cs="仿宋"/>
                <w:sz w:val="24"/>
                <w:szCs w:val="24"/>
              </w:rPr>
              <w:t>其他来源收入</w:t>
            </w:r>
          </w:p>
        </w:tc>
        <w:tc>
          <w:tcPr>
            <w:tcW w:w="906" w:type="dxa"/>
            <w:vAlign w:val="center"/>
          </w:tcPr>
          <w:p>
            <w:pPr>
              <w:spacing w:line="300" w:lineRule="exact"/>
              <w:jc w:val="center"/>
              <w:outlineLvl w:val="0"/>
              <w:rPr>
                <w:rFonts w:ascii="仿宋" w:hAnsi="仿宋" w:eastAsia="仿宋" w:cs="Times New Roman"/>
                <w:sz w:val="24"/>
                <w:szCs w:val="24"/>
              </w:rPr>
            </w:pPr>
            <w:r>
              <w:rPr>
                <w:rFonts w:hint="eastAsia" w:ascii="仿宋" w:hAnsi="仿宋" w:eastAsia="仿宋" w:cs="仿宋"/>
                <w:sz w:val="24"/>
                <w:szCs w:val="24"/>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1141" w:type="dxa"/>
            <w:vAlign w:val="center"/>
          </w:tcPr>
          <w:p>
            <w:pPr>
              <w:spacing w:line="300" w:lineRule="exact"/>
              <w:jc w:val="center"/>
              <w:rPr>
                <w:rFonts w:ascii="仿宋" w:hAnsi="仿宋" w:eastAsia="仿宋" w:cs="Times New Roman"/>
                <w:sz w:val="24"/>
                <w:szCs w:val="24"/>
              </w:rPr>
            </w:pPr>
            <w:r>
              <w:rPr>
                <w:rFonts w:hint="eastAsia" w:ascii="仿宋" w:hAnsi="仿宋" w:eastAsia="仿宋" w:cs="仿宋"/>
                <w:sz w:val="24"/>
                <w:szCs w:val="24"/>
              </w:rPr>
              <w:t>合　计</w:t>
            </w:r>
          </w:p>
        </w:tc>
        <w:tc>
          <w:tcPr>
            <w:tcW w:w="731"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1</w:t>
            </w:r>
          </w:p>
        </w:tc>
        <w:tc>
          <w:tcPr>
            <w:tcW w:w="1088"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电脑</w:t>
            </w:r>
          </w:p>
        </w:tc>
        <w:tc>
          <w:tcPr>
            <w:tcW w:w="1327" w:type="dxa"/>
            <w:vAlign w:val="center"/>
          </w:tcPr>
          <w:p>
            <w:pPr>
              <w:spacing w:line="300" w:lineRule="exact"/>
              <w:jc w:val="center"/>
              <w:rPr>
                <w:rFonts w:ascii="仿宋" w:hAnsi="仿宋" w:eastAsia="仿宋" w:cs="Times New Roman"/>
                <w:sz w:val="24"/>
                <w:szCs w:val="24"/>
              </w:rPr>
            </w:pPr>
            <w:r>
              <w:rPr>
                <w:rFonts w:hint="eastAsia" w:ascii="仿宋_GB2312" w:hAnsi="仿宋" w:eastAsia="仿宋_GB2312" w:cs="Times New Roman"/>
                <w:sz w:val="24"/>
                <w:szCs w:val="24"/>
              </w:rPr>
              <w:t>A020199</w:t>
            </w:r>
          </w:p>
        </w:tc>
        <w:tc>
          <w:tcPr>
            <w:tcW w:w="691"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台</w:t>
            </w:r>
          </w:p>
        </w:tc>
        <w:tc>
          <w:tcPr>
            <w:tcW w:w="964"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2</w:t>
            </w:r>
          </w:p>
        </w:tc>
        <w:tc>
          <w:tcPr>
            <w:tcW w:w="986"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0.50</w:t>
            </w:r>
          </w:p>
        </w:tc>
        <w:tc>
          <w:tcPr>
            <w:tcW w:w="964"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1</w:t>
            </w:r>
          </w:p>
        </w:tc>
        <w:tc>
          <w:tcPr>
            <w:tcW w:w="964"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1</w:t>
            </w:r>
          </w:p>
        </w:tc>
        <w:tc>
          <w:tcPr>
            <w:tcW w:w="964"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1</w:t>
            </w:r>
          </w:p>
        </w:tc>
        <w:tc>
          <w:tcPr>
            <w:tcW w:w="964" w:type="dxa"/>
            <w:vAlign w:val="center"/>
          </w:tcPr>
          <w:p>
            <w:pPr>
              <w:spacing w:line="300" w:lineRule="exact"/>
              <w:jc w:val="center"/>
              <w:rPr>
                <w:rFonts w:ascii="仿宋" w:hAnsi="仿宋" w:eastAsia="仿宋" w:cs="Times New Roman"/>
                <w:sz w:val="24"/>
                <w:szCs w:val="24"/>
              </w:rPr>
            </w:pPr>
          </w:p>
        </w:tc>
        <w:tc>
          <w:tcPr>
            <w:tcW w:w="964" w:type="dxa"/>
            <w:vAlign w:val="center"/>
          </w:tcPr>
          <w:p>
            <w:pPr>
              <w:spacing w:line="300" w:lineRule="exact"/>
              <w:jc w:val="center"/>
              <w:rPr>
                <w:rFonts w:ascii="仿宋" w:hAnsi="仿宋" w:eastAsia="仿宋" w:cs="Times New Roman"/>
                <w:sz w:val="24"/>
                <w:szCs w:val="24"/>
              </w:rPr>
            </w:pPr>
          </w:p>
        </w:tc>
        <w:tc>
          <w:tcPr>
            <w:tcW w:w="964" w:type="dxa"/>
            <w:vAlign w:val="center"/>
          </w:tcPr>
          <w:p>
            <w:pPr>
              <w:spacing w:line="300" w:lineRule="exact"/>
              <w:jc w:val="center"/>
              <w:rPr>
                <w:rFonts w:ascii="仿宋" w:hAnsi="仿宋" w:eastAsia="仿宋" w:cs="Times New Roman"/>
                <w:sz w:val="24"/>
                <w:szCs w:val="24"/>
              </w:rPr>
            </w:pPr>
          </w:p>
        </w:tc>
        <w:tc>
          <w:tcPr>
            <w:tcW w:w="906" w:type="dxa"/>
            <w:vAlign w:val="center"/>
          </w:tcPr>
          <w:p>
            <w:pPr>
              <w:spacing w:line="300" w:lineRule="exact"/>
              <w:jc w:val="center"/>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7" w:hRule="atLeast"/>
          <w:jc w:val="center"/>
        </w:trPr>
        <w:tc>
          <w:tcPr>
            <w:tcW w:w="1141"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电脑</w:t>
            </w:r>
          </w:p>
        </w:tc>
        <w:tc>
          <w:tcPr>
            <w:tcW w:w="731"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1</w:t>
            </w:r>
          </w:p>
        </w:tc>
        <w:tc>
          <w:tcPr>
            <w:tcW w:w="1088"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电脑</w:t>
            </w:r>
          </w:p>
        </w:tc>
        <w:tc>
          <w:tcPr>
            <w:tcW w:w="1327" w:type="dxa"/>
            <w:vAlign w:val="center"/>
          </w:tcPr>
          <w:p>
            <w:pPr>
              <w:spacing w:line="300" w:lineRule="exact"/>
              <w:jc w:val="center"/>
              <w:rPr>
                <w:rFonts w:ascii="仿宋_GB2312" w:hAnsi="仿宋" w:eastAsia="仿宋_GB2312" w:cs="Times New Roman"/>
                <w:sz w:val="24"/>
                <w:szCs w:val="24"/>
              </w:rPr>
            </w:pPr>
            <w:r>
              <w:rPr>
                <w:rFonts w:hint="eastAsia" w:ascii="仿宋_GB2312" w:hAnsi="仿宋" w:eastAsia="仿宋_GB2312" w:cs="Times New Roman"/>
                <w:sz w:val="24"/>
                <w:szCs w:val="24"/>
              </w:rPr>
              <w:t>A020199</w:t>
            </w:r>
          </w:p>
        </w:tc>
        <w:tc>
          <w:tcPr>
            <w:tcW w:w="691"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台</w:t>
            </w:r>
          </w:p>
        </w:tc>
        <w:tc>
          <w:tcPr>
            <w:tcW w:w="964"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2</w:t>
            </w:r>
          </w:p>
        </w:tc>
        <w:tc>
          <w:tcPr>
            <w:tcW w:w="986"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0.50</w:t>
            </w:r>
          </w:p>
        </w:tc>
        <w:tc>
          <w:tcPr>
            <w:tcW w:w="964"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1</w:t>
            </w:r>
          </w:p>
        </w:tc>
        <w:tc>
          <w:tcPr>
            <w:tcW w:w="964"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1</w:t>
            </w:r>
          </w:p>
        </w:tc>
        <w:tc>
          <w:tcPr>
            <w:tcW w:w="964"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1</w:t>
            </w:r>
          </w:p>
        </w:tc>
        <w:tc>
          <w:tcPr>
            <w:tcW w:w="964" w:type="dxa"/>
            <w:vAlign w:val="center"/>
          </w:tcPr>
          <w:p>
            <w:pPr>
              <w:spacing w:line="300" w:lineRule="exact"/>
              <w:jc w:val="center"/>
              <w:rPr>
                <w:rFonts w:ascii="仿宋" w:hAnsi="仿宋" w:eastAsia="仿宋" w:cs="Times New Roman"/>
                <w:sz w:val="24"/>
                <w:szCs w:val="24"/>
              </w:rPr>
            </w:pPr>
          </w:p>
        </w:tc>
        <w:tc>
          <w:tcPr>
            <w:tcW w:w="964" w:type="dxa"/>
            <w:vAlign w:val="center"/>
          </w:tcPr>
          <w:p>
            <w:pPr>
              <w:spacing w:line="300" w:lineRule="exact"/>
              <w:jc w:val="center"/>
              <w:rPr>
                <w:rFonts w:ascii="仿宋" w:hAnsi="仿宋" w:eastAsia="仿宋" w:cs="Times New Roman"/>
                <w:sz w:val="24"/>
                <w:szCs w:val="24"/>
              </w:rPr>
            </w:pPr>
          </w:p>
        </w:tc>
        <w:tc>
          <w:tcPr>
            <w:tcW w:w="964" w:type="dxa"/>
            <w:vAlign w:val="center"/>
          </w:tcPr>
          <w:p>
            <w:pPr>
              <w:spacing w:line="300" w:lineRule="exact"/>
              <w:jc w:val="center"/>
              <w:rPr>
                <w:rFonts w:ascii="仿宋" w:hAnsi="仿宋" w:eastAsia="仿宋" w:cs="Times New Roman"/>
                <w:sz w:val="24"/>
                <w:szCs w:val="24"/>
              </w:rPr>
            </w:pPr>
          </w:p>
        </w:tc>
        <w:tc>
          <w:tcPr>
            <w:tcW w:w="906" w:type="dxa"/>
            <w:vAlign w:val="center"/>
          </w:tcPr>
          <w:p>
            <w:pPr>
              <w:spacing w:line="300" w:lineRule="exact"/>
              <w:jc w:val="center"/>
              <w:rPr>
                <w:rFonts w:ascii="仿宋" w:hAnsi="仿宋" w:eastAsia="仿宋" w:cs="Times New Roman"/>
                <w:sz w:val="24"/>
                <w:szCs w:val="24"/>
              </w:rPr>
            </w:pPr>
          </w:p>
        </w:tc>
      </w:tr>
    </w:tbl>
    <w:p>
      <w:pPr>
        <w:autoSpaceDE w:val="0"/>
        <w:autoSpaceDN w:val="0"/>
        <w:adjustRightInd w:val="0"/>
        <w:spacing w:line="560" w:lineRule="exact"/>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七、国有资产信息</w:t>
      </w:r>
    </w:p>
    <w:p>
      <w:pPr>
        <w:spacing w:line="560" w:lineRule="exact"/>
        <w:ind w:firstLine="640"/>
        <w:rPr>
          <w:rFonts w:ascii="仿宋" w:hAnsi="仿宋" w:eastAsia="仿宋" w:cs="仿宋_GB2312"/>
          <w:sz w:val="32"/>
          <w:szCs w:val="32"/>
        </w:rPr>
      </w:pPr>
      <w:r>
        <w:rPr>
          <w:rFonts w:hint="eastAsia" w:ascii="仿宋" w:hAnsi="仿宋" w:eastAsia="仿宋" w:cs="仿宋_GB2312"/>
          <w:sz w:val="32"/>
          <w:szCs w:val="32"/>
        </w:rPr>
        <w:t>成安县水利局上年末固定资产金额为694.41万元，本年度拟购置固定资产1万元，主要为办公设备，已列入政府采购预算。详见下表。</w:t>
      </w:r>
    </w:p>
    <w:p>
      <w:pPr>
        <w:spacing w:line="560" w:lineRule="exact"/>
        <w:ind w:firstLine="640"/>
        <w:rPr>
          <w:rFonts w:ascii="仿宋" w:hAnsi="仿宋" w:eastAsia="仿宋" w:cs="Times New Roman"/>
          <w:sz w:val="32"/>
          <w:szCs w:val="32"/>
        </w:rPr>
      </w:pPr>
    </w:p>
    <w:p>
      <w:pPr>
        <w:spacing w:line="560" w:lineRule="exact"/>
        <w:ind w:firstLine="640"/>
        <w:rPr>
          <w:rFonts w:ascii="仿宋_GB2312" w:hAnsi="黑体" w:eastAsia="仿宋_GB2312" w:cs="Times New Roman"/>
          <w:sz w:val="32"/>
          <w:szCs w:val="32"/>
        </w:rPr>
      </w:pPr>
    </w:p>
    <w:tbl>
      <w:tblPr>
        <w:tblStyle w:val="7"/>
        <w:tblW w:w="12121" w:type="dxa"/>
        <w:tblInd w:w="-106" w:type="dxa"/>
        <w:tblLayout w:type="fixed"/>
        <w:tblCellMar>
          <w:top w:w="0" w:type="dxa"/>
          <w:left w:w="108" w:type="dxa"/>
          <w:bottom w:w="0" w:type="dxa"/>
          <w:right w:w="108" w:type="dxa"/>
        </w:tblCellMar>
      </w:tblPr>
      <w:tblGrid>
        <w:gridCol w:w="5926"/>
        <w:gridCol w:w="1224"/>
        <w:gridCol w:w="4971"/>
      </w:tblGrid>
      <w:tr>
        <w:tblPrEx>
          <w:tblCellMar>
            <w:top w:w="0" w:type="dxa"/>
            <w:left w:w="108" w:type="dxa"/>
            <w:bottom w:w="0" w:type="dxa"/>
            <w:right w:w="108" w:type="dxa"/>
          </w:tblCellMar>
        </w:tblPrEx>
        <w:trPr>
          <w:trHeight w:val="705" w:hRule="atLeast"/>
        </w:trPr>
        <w:tc>
          <w:tcPr>
            <w:tcW w:w="12121" w:type="dxa"/>
            <w:gridSpan w:val="3"/>
            <w:tcBorders>
              <w:top w:val="nil"/>
              <w:left w:val="nil"/>
              <w:bottom w:val="nil"/>
              <w:right w:val="nil"/>
            </w:tcBorders>
            <w:vAlign w:val="center"/>
          </w:tcPr>
          <w:p>
            <w:pPr>
              <w:widowControl/>
              <w:jc w:val="center"/>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7150" w:type="dxa"/>
            <w:gridSpan w:val="2"/>
            <w:tcBorders>
              <w:top w:val="nil"/>
              <w:left w:val="nil"/>
              <w:bottom w:val="nil"/>
              <w:right w:val="nil"/>
            </w:tcBorders>
            <w:vAlign w:val="center"/>
          </w:tcPr>
          <w:p>
            <w:pPr>
              <w:widowControl/>
              <w:jc w:val="left"/>
              <w:rPr>
                <w:rFonts w:ascii="仿宋_GB2312" w:hAnsi="宋体" w:eastAsia="仿宋_GB2312" w:cs="Times New Roman"/>
                <w:kern w:val="0"/>
                <w:sz w:val="22"/>
              </w:rPr>
            </w:pPr>
            <w:r>
              <w:rPr>
                <w:rFonts w:hint="eastAsia" w:ascii="仿宋_GB2312" w:hAnsi="宋体" w:eastAsia="仿宋_GB2312" w:cs="仿宋_GB2312"/>
                <w:kern w:val="0"/>
                <w:sz w:val="22"/>
                <w:szCs w:val="22"/>
              </w:rPr>
              <w:t>编制部门：成安县水利局</w:t>
            </w:r>
          </w:p>
        </w:tc>
        <w:tc>
          <w:tcPr>
            <w:tcW w:w="4971" w:type="dxa"/>
            <w:tcBorders>
              <w:top w:val="nil"/>
              <w:left w:val="nil"/>
              <w:bottom w:val="nil"/>
              <w:right w:val="nil"/>
            </w:tcBorders>
            <w:vAlign w:val="center"/>
          </w:tcPr>
          <w:p>
            <w:pPr>
              <w:widowControl/>
              <w:ind w:firstLine="550" w:firstLineChars="250"/>
              <w:jc w:val="left"/>
              <w:rPr>
                <w:rFonts w:ascii="仿宋_GB2312" w:hAnsi="宋体" w:eastAsia="仿宋_GB2312" w:cs="Times New Roman"/>
                <w:kern w:val="0"/>
                <w:sz w:val="22"/>
              </w:rPr>
            </w:pPr>
            <w:r>
              <w:rPr>
                <w:rFonts w:hint="eastAsia" w:ascii="仿宋_GB2312" w:hAnsi="宋体" w:eastAsia="仿宋_GB2312" w:cs="仿宋_GB2312"/>
                <w:kern w:val="0"/>
                <w:sz w:val="22"/>
                <w:szCs w:val="22"/>
              </w:rPr>
              <w:t>截止时间：2020年</w:t>
            </w:r>
            <w:r>
              <w:rPr>
                <w:rFonts w:ascii="仿宋_GB2312" w:hAnsi="宋体" w:eastAsia="仿宋_GB2312" w:cs="仿宋_GB2312"/>
                <w:kern w:val="0"/>
                <w:sz w:val="22"/>
                <w:szCs w:val="22"/>
              </w:rPr>
              <w:t>12</w:t>
            </w:r>
            <w:r>
              <w:rPr>
                <w:rFonts w:hint="eastAsia" w:ascii="仿宋_GB2312" w:hAnsi="宋体" w:eastAsia="仿宋_GB2312" w:cs="仿宋_GB2312"/>
                <w:kern w:val="0"/>
                <w:sz w:val="22"/>
                <w:szCs w:val="22"/>
              </w:rPr>
              <w:t>月</w:t>
            </w:r>
            <w:r>
              <w:rPr>
                <w:rFonts w:ascii="仿宋_GB2312" w:hAnsi="宋体" w:eastAsia="仿宋_GB2312" w:cs="仿宋_GB2312"/>
                <w:kern w:val="0"/>
                <w:sz w:val="22"/>
                <w:szCs w:val="22"/>
              </w:rPr>
              <w:t>31</w:t>
            </w:r>
            <w:r>
              <w:rPr>
                <w:rFonts w:hint="eastAsia" w:ascii="仿宋_GB2312" w:hAnsi="宋体" w:eastAsia="仿宋_GB2312" w:cs="仿宋_GB2312"/>
                <w:kern w:val="0"/>
                <w:sz w:val="22"/>
                <w:szCs w:val="22"/>
              </w:rPr>
              <w:t>日</w:t>
            </w:r>
          </w:p>
        </w:tc>
      </w:tr>
      <w:tr>
        <w:tblPrEx>
          <w:tblCellMar>
            <w:top w:w="0" w:type="dxa"/>
            <w:left w:w="108" w:type="dxa"/>
            <w:bottom w:w="0" w:type="dxa"/>
            <w:right w:w="108" w:type="dxa"/>
          </w:tblCellMar>
        </w:tblPrEx>
        <w:trPr>
          <w:trHeight w:val="645" w:hRule="atLeast"/>
        </w:trPr>
        <w:tc>
          <w:tcPr>
            <w:tcW w:w="59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Times New Roman"/>
                <w:kern w:val="0"/>
                <w:sz w:val="22"/>
              </w:rPr>
            </w:pPr>
            <w:r>
              <w:rPr>
                <w:rFonts w:hint="eastAsia" w:ascii="仿宋_GB2312" w:hAnsi="宋体" w:eastAsia="仿宋_GB2312" w:cs="仿宋_GB2312"/>
                <w:kern w:val="0"/>
                <w:sz w:val="22"/>
                <w:szCs w:val="22"/>
              </w:rPr>
              <w:t>项目</w:t>
            </w:r>
          </w:p>
        </w:tc>
        <w:tc>
          <w:tcPr>
            <w:tcW w:w="122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2"/>
              </w:rPr>
            </w:pPr>
            <w:r>
              <w:rPr>
                <w:rFonts w:hint="eastAsia" w:ascii="仿宋_GB2312" w:hAnsi="宋体" w:eastAsia="仿宋_GB2312" w:cs="仿宋_GB2312"/>
                <w:kern w:val="0"/>
                <w:sz w:val="22"/>
                <w:szCs w:val="22"/>
              </w:rPr>
              <w:t>数量</w:t>
            </w:r>
          </w:p>
        </w:tc>
        <w:tc>
          <w:tcPr>
            <w:tcW w:w="497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2"/>
              </w:rPr>
            </w:pPr>
            <w:r>
              <w:rPr>
                <w:rFonts w:hint="eastAsia" w:ascii="仿宋_GB2312" w:hAnsi="宋体" w:eastAsia="仿宋_GB2312" w:cs="仿宋_GB2312"/>
                <w:kern w:val="0"/>
                <w:sz w:val="22"/>
                <w:szCs w:val="22"/>
              </w:rPr>
              <w:t>价值（金额单位：万元）</w:t>
            </w:r>
          </w:p>
        </w:tc>
      </w:tr>
      <w:tr>
        <w:tblPrEx>
          <w:tblCellMar>
            <w:top w:w="0" w:type="dxa"/>
            <w:left w:w="108" w:type="dxa"/>
            <w:bottom w:w="0" w:type="dxa"/>
            <w:right w:w="108" w:type="dxa"/>
          </w:tblCellMar>
        </w:tblPrEx>
        <w:trPr>
          <w:trHeight w:val="645" w:hRule="atLeast"/>
        </w:trPr>
        <w:tc>
          <w:tcPr>
            <w:tcW w:w="592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Times New Roman"/>
                <w:kern w:val="0"/>
                <w:sz w:val="22"/>
              </w:rPr>
            </w:pPr>
            <w:r>
              <w:rPr>
                <w:rFonts w:hint="eastAsia" w:ascii="仿宋_GB2312" w:hAnsi="宋体" w:eastAsia="仿宋_GB2312" w:cs="仿宋_GB2312"/>
                <w:kern w:val="0"/>
                <w:sz w:val="22"/>
                <w:szCs w:val="22"/>
              </w:rPr>
              <w:t>资产总额</w:t>
            </w:r>
          </w:p>
        </w:tc>
        <w:tc>
          <w:tcPr>
            <w:tcW w:w="1224"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2"/>
              </w:rPr>
            </w:pPr>
            <w:r>
              <w:rPr>
                <w:rFonts w:ascii="仿宋_GB2312" w:hAnsi="宋体" w:eastAsia="仿宋_GB2312" w:cs="仿宋_GB2312"/>
                <w:kern w:val="0"/>
                <w:sz w:val="22"/>
                <w:szCs w:val="22"/>
              </w:rPr>
              <w:t>——</w:t>
            </w:r>
          </w:p>
        </w:tc>
        <w:tc>
          <w:tcPr>
            <w:tcW w:w="4971"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2"/>
                <w:highlight w:val="red"/>
              </w:rPr>
            </w:pPr>
            <w:r>
              <w:rPr>
                <w:rFonts w:hint="eastAsia" w:ascii="仿宋_GB2312" w:hAnsi="宋体" w:eastAsia="仿宋_GB2312" w:cs="Times New Roman"/>
                <w:kern w:val="0"/>
                <w:sz w:val="22"/>
              </w:rPr>
              <w:t>694.41</w:t>
            </w:r>
          </w:p>
        </w:tc>
      </w:tr>
      <w:tr>
        <w:tblPrEx>
          <w:tblCellMar>
            <w:top w:w="0" w:type="dxa"/>
            <w:left w:w="108" w:type="dxa"/>
            <w:bottom w:w="0" w:type="dxa"/>
            <w:right w:w="108" w:type="dxa"/>
          </w:tblCellMar>
        </w:tblPrEx>
        <w:trPr>
          <w:trHeight w:val="645" w:hRule="atLeast"/>
        </w:trPr>
        <w:tc>
          <w:tcPr>
            <w:tcW w:w="5926"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kern w:val="0"/>
                <w:sz w:val="22"/>
              </w:rPr>
            </w:pPr>
            <w:r>
              <w:rPr>
                <w:rFonts w:ascii="仿宋_GB2312" w:hAnsi="宋体" w:eastAsia="仿宋_GB2312" w:cs="仿宋_GB2312"/>
                <w:kern w:val="0"/>
                <w:sz w:val="22"/>
                <w:szCs w:val="22"/>
              </w:rPr>
              <w:t>1</w:t>
            </w:r>
            <w:r>
              <w:rPr>
                <w:rFonts w:hint="eastAsia" w:ascii="仿宋_GB2312" w:hAnsi="宋体" w:eastAsia="仿宋_GB2312" w:cs="仿宋_GB2312"/>
                <w:kern w:val="0"/>
                <w:sz w:val="22"/>
                <w:szCs w:val="22"/>
              </w:rPr>
              <w:t>、房屋（平方米）</w:t>
            </w:r>
          </w:p>
        </w:tc>
        <w:tc>
          <w:tcPr>
            <w:tcW w:w="1224"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2"/>
              </w:rPr>
            </w:pPr>
          </w:p>
        </w:tc>
        <w:tc>
          <w:tcPr>
            <w:tcW w:w="4971"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2"/>
                <w:highlight w:val="red"/>
              </w:rPr>
            </w:pPr>
          </w:p>
        </w:tc>
      </w:tr>
      <w:tr>
        <w:tblPrEx>
          <w:tblCellMar>
            <w:top w:w="0" w:type="dxa"/>
            <w:left w:w="108" w:type="dxa"/>
            <w:bottom w:w="0" w:type="dxa"/>
            <w:right w:w="108" w:type="dxa"/>
          </w:tblCellMar>
        </w:tblPrEx>
        <w:trPr>
          <w:trHeight w:val="645" w:hRule="atLeast"/>
        </w:trPr>
        <w:tc>
          <w:tcPr>
            <w:tcW w:w="5926"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kern w:val="0"/>
                <w:sz w:val="22"/>
              </w:rPr>
            </w:pPr>
            <w:r>
              <w:rPr>
                <w:rFonts w:hint="eastAsia" w:ascii="仿宋_GB2312" w:hAnsi="宋体" w:eastAsia="仿宋_GB2312" w:cs="仿宋_GB2312"/>
                <w:kern w:val="0"/>
                <w:sz w:val="22"/>
                <w:szCs w:val="22"/>
              </w:rPr>
              <w:t>其中：办公用房（平方米）</w:t>
            </w:r>
          </w:p>
        </w:tc>
        <w:tc>
          <w:tcPr>
            <w:tcW w:w="1224"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2"/>
              </w:rPr>
            </w:pPr>
          </w:p>
        </w:tc>
        <w:tc>
          <w:tcPr>
            <w:tcW w:w="4971"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2"/>
                <w:highlight w:val="red"/>
              </w:rPr>
            </w:pPr>
          </w:p>
        </w:tc>
      </w:tr>
      <w:tr>
        <w:tblPrEx>
          <w:tblCellMar>
            <w:top w:w="0" w:type="dxa"/>
            <w:left w:w="108" w:type="dxa"/>
            <w:bottom w:w="0" w:type="dxa"/>
            <w:right w:w="108" w:type="dxa"/>
          </w:tblCellMar>
        </w:tblPrEx>
        <w:trPr>
          <w:trHeight w:val="645" w:hRule="atLeast"/>
        </w:trPr>
        <w:tc>
          <w:tcPr>
            <w:tcW w:w="5926"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kern w:val="0"/>
                <w:sz w:val="22"/>
              </w:rPr>
            </w:pPr>
            <w:r>
              <w:rPr>
                <w:rFonts w:ascii="仿宋_GB2312" w:hAnsi="宋体" w:eastAsia="仿宋_GB2312" w:cs="仿宋_GB2312"/>
                <w:kern w:val="0"/>
                <w:sz w:val="22"/>
                <w:szCs w:val="22"/>
              </w:rPr>
              <w:t>2</w:t>
            </w:r>
            <w:r>
              <w:rPr>
                <w:rFonts w:hint="eastAsia" w:ascii="仿宋_GB2312" w:hAnsi="宋体" w:eastAsia="仿宋_GB2312" w:cs="仿宋_GB2312"/>
                <w:kern w:val="0"/>
                <w:sz w:val="22"/>
                <w:szCs w:val="22"/>
              </w:rPr>
              <w:t>、车辆（台、辆）</w:t>
            </w:r>
          </w:p>
        </w:tc>
        <w:tc>
          <w:tcPr>
            <w:tcW w:w="1224"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2"/>
              </w:rPr>
            </w:pPr>
            <w:r>
              <w:rPr>
                <w:rFonts w:hint="eastAsia" w:ascii="仿宋_GB2312" w:hAnsi="宋体" w:eastAsia="仿宋_GB2312" w:cs="Times New Roman"/>
                <w:kern w:val="0"/>
                <w:sz w:val="22"/>
              </w:rPr>
              <w:t>--</w:t>
            </w:r>
          </w:p>
        </w:tc>
        <w:tc>
          <w:tcPr>
            <w:tcW w:w="4971"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2"/>
              </w:rPr>
            </w:pPr>
          </w:p>
        </w:tc>
      </w:tr>
      <w:tr>
        <w:tblPrEx>
          <w:tblCellMar>
            <w:top w:w="0" w:type="dxa"/>
            <w:left w:w="108" w:type="dxa"/>
            <w:bottom w:w="0" w:type="dxa"/>
            <w:right w:w="108" w:type="dxa"/>
          </w:tblCellMar>
        </w:tblPrEx>
        <w:trPr>
          <w:trHeight w:val="645" w:hRule="atLeast"/>
        </w:trPr>
        <w:tc>
          <w:tcPr>
            <w:tcW w:w="5926"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kern w:val="0"/>
                <w:sz w:val="22"/>
              </w:rPr>
            </w:pPr>
            <w:r>
              <w:rPr>
                <w:rFonts w:ascii="仿宋_GB2312" w:hAnsi="宋体" w:eastAsia="仿宋_GB2312" w:cs="仿宋_GB2312"/>
                <w:kern w:val="0"/>
                <w:sz w:val="22"/>
                <w:szCs w:val="22"/>
              </w:rPr>
              <w:t>3</w:t>
            </w:r>
            <w:r>
              <w:rPr>
                <w:rFonts w:hint="eastAsia" w:ascii="仿宋_GB2312" w:hAnsi="宋体" w:eastAsia="仿宋_GB2312" w:cs="仿宋_GB2312"/>
                <w:kern w:val="0"/>
                <w:sz w:val="22"/>
                <w:szCs w:val="22"/>
              </w:rPr>
              <w:t>、单价在</w:t>
            </w:r>
            <w:r>
              <w:rPr>
                <w:rFonts w:ascii="仿宋_GB2312" w:hAnsi="宋体" w:eastAsia="仿宋_GB2312" w:cs="仿宋_GB2312"/>
                <w:kern w:val="0"/>
                <w:sz w:val="22"/>
                <w:szCs w:val="22"/>
              </w:rPr>
              <w:t>50</w:t>
            </w:r>
            <w:r>
              <w:rPr>
                <w:rFonts w:hint="eastAsia" w:ascii="仿宋_GB2312" w:hAnsi="宋体" w:eastAsia="仿宋_GB2312" w:cs="仿宋_GB2312"/>
                <w:kern w:val="0"/>
                <w:sz w:val="22"/>
                <w:szCs w:val="22"/>
              </w:rPr>
              <w:t>万元以上的设备</w:t>
            </w:r>
          </w:p>
        </w:tc>
        <w:tc>
          <w:tcPr>
            <w:tcW w:w="1224"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2"/>
              </w:rPr>
            </w:pPr>
            <w:r>
              <w:rPr>
                <w:rFonts w:ascii="仿宋_GB2312" w:hAnsi="宋体" w:eastAsia="仿宋_GB2312" w:cs="仿宋_GB2312"/>
                <w:kern w:val="0"/>
                <w:sz w:val="22"/>
                <w:szCs w:val="22"/>
              </w:rPr>
              <w:t>——</w:t>
            </w:r>
          </w:p>
        </w:tc>
        <w:tc>
          <w:tcPr>
            <w:tcW w:w="4971"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2"/>
              </w:rPr>
            </w:pPr>
          </w:p>
        </w:tc>
      </w:tr>
      <w:tr>
        <w:tblPrEx>
          <w:tblCellMar>
            <w:top w:w="0" w:type="dxa"/>
            <w:left w:w="108" w:type="dxa"/>
            <w:bottom w:w="0" w:type="dxa"/>
            <w:right w:w="108" w:type="dxa"/>
          </w:tblCellMar>
        </w:tblPrEx>
        <w:trPr>
          <w:trHeight w:val="645" w:hRule="atLeast"/>
        </w:trPr>
        <w:tc>
          <w:tcPr>
            <w:tcW w:w="5926"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kern w:val="0"/>
                <w:sz w:val="22"/>
              </w:rPr>
            </w:pPr>
            <w:r>
              <w:rPr>
                <w:rFonts w:ascii="仿宋_GB2312" w:hAnsi="宋体" w:eastAsia="仿宋_GB2312" w:cs="仿宋_GB2312"/>
                <w:kern w:val="0"/>
                <w:sz w:val="22"/>
                <w:szCs w:val="22"/>
              </w:rPr>
              <w:t>4</w:t>
            </w:r>
            <w:r>
              <w:rPr>
                <w:rFonts w:hint="eastAsia" w:ascii="仿宋_GB2312" w:hAnsi="宋体" w:eastAsia="仿宋_GB2312" w:cs="仿宋_GB2312"/>
                <w:kern w:val="0"/>
                <w:sz w:val="22"/>
                <w:szCs w:val="22"/>
              </w:rPr>
              <w:t>、其他固定资产</w:t>
            </w:r>
          </w:p>
        </w:tc>
        <w:tc>
          <w:tcPr>
            <w:tcW w:w="1224"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2"/>
              </w:rPr>
            </w:pPr>
            <w:r>
              <w:rPr>
                <w:rFonts w:hint="eastAsia" w:ascii="仿宋_GB2312" w:hAnsi="宋体" w:eastAsia="仿宋_GB2312" w:cs="仿宋_GB2312"/>
                <w:kern w:val="0"/>
                <w:sz w:val="22"/>
                <w:szCs w:val="22"/>
              </w:rPr>
              <w:t>152</w:t>
            </w:r>
          </w:p>
        </w:tc>
        <w:tc>
          <w:tcPr>
            <w:tcW w:w="4971"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2"/>
                <w:szCs w:val="22"/>
              </w:rPr>
              <w:t>694.41</w:t>
            </w:r>
          </w:p>
        </w:tc>
      </w:tr>
    </w:tbl>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黑体"/>
          <w:sz w:val="32"/>
          <w:szCs w:val="32"/>
        </w:rPr>
        <w:t>八、名词解释</w:t>
      </w:r>
    </w:p>
    <w:p>
      <w:pPr>
        <w:autoSpaceDE w:val="0"/>
        <w:autoSpaceDN w:val="0"/>
        <w:adjustRightInd w:val="0"/>
        <w:ind w:left="420" w:leftChars="200" w:firstLine="640" w:firstLineChars="200"/>
        <w:jc w:val="left"/>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、一般预算收入：县级财政当年拨付的资金。</w:t>
      </w:r>
    </w:p>
    <w:p>
      <w:pPr>
        <w:autoSpaceDE w:val="0"/>
        <w:autoSpaceDN w:val="0"/>
        <w:adjustRightInd w:val="0"/>
        <w:ind w:left="420" w:leftChars="200" w:firstLine="640" w:firstLineChars="200"/>
        <w:jc w:val="left"/>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、基本支出：为保障机构正常运转，完成日常工作任务，而发生的人员支出和公用支出。</w:t>
      </w:r>
    </w:p>
    <w:p>
      <w:pPr>
        <w:autoSpaceDE w:val="0"/>
        <w:autoSpaceDN w:val="0"/>
        <w:adjustRightInd w:val="0"/>
        <w:ind w:left="420" w:leftChars="200" w:firstLine="640" w:firstLineChars="200"/>
        <w:jc w:val="left"/>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、项目支出：是指在基本支出之外，为完成特定行政任务和事业发展目标，而发生的支出。</w:t>
      </w:r>
    </w:p>
    <w:p>
      <w:pPr>
        <w:autoSpaceDE w:val="0"/>
        <w:autoSpaceDN w:val="0"/>
        <w:adjustRightInd w:val="0"/>
        <w:ind w:left="420" w:leftChars="200" w:firstLine="640" w:firstLineChars="200"/>
        <w:jc w:val="left"/>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机关运行费：是指为保证行政单位（包括参照公务员管理的事业单位）运行，用于购买货物和服务的各项资金。主要包括：办公费、印刷费，水费、电费、邮电费、福利费、日常维修费、办公取暖费、办公物业服务费、公务车运行维护费等。</w:t>
      </w:r>
    </w:p>
    <w:p>
      <w:pPr>
        <w:tabs>
          <w:tab w:val="left" w:pos="11490"/>
        </w:tabs>
        <w:ind w:firstLine="960" w:firstLineChars="300"/>
        <w:rPr>
          <w:rFonts w:ascii="黑体" w:hAnsi="黑体" w:eastAsia="黑体" w:cs="Times New Roman"/>
          <w:sz w:val="32"/>
          <w:szCs w:val="32"/>
        </w:rPr>
      </w:pPr>
      <w:r>
        <w:rPr>
          <w:rFonts w:hint="eastAsia" w:ascii="黑体" w:hAnsi="黑体" w:eastAsia="黑体" w:cs="黑体"/>
          <w:sz w:val="32"/>
          <w:szCs w:val="32"/>
        </w:rPr>
        <w:t>九、其它需要说明的事项</w:t>
      </w:r>
    </w:p>
    <w:p>
      <w:pPr>
        <w:tabs>
          <w:tab w:val="left" w:pos="11490"/>
        </w:tabs>
        <w:ind w:firstLine="800" w:firstLineChars="250"/>
        <w:rPr>
          <w:rFonts w:ascii="仿宋" w:hAnsi="仿宋" w:eastAsia="仿宋" w:cs="仿宋"/>
          <w:sz w:val="32"/>
          <w:szCs w:val="32"/>
        </w:rPr>
      </w:pPr>
      <w:r>
        <w:rPr>
          <w:rFonts w:hint="eastAsia" w:ascii="仿宋" w:hAnsi="仿宋" w:eastAsia="仿宋" w:cs="仿宋"/>
          <w:sz w:val="32"/>
          <w:szCs w:val="32"/>
        </w:rPr>
        <w:t>无其它需要说明的事项。</w:t>
      </w:r>
    </w:p>
    <w:p>
      <w:pPr>
        <w:spacing w:line="560" w:lineRule="exact"/>
        <w:ind w:firstLine="645"/>
        <w:rPr>
          <w:rFonts w:ascii="黑体" w:hAnsi="黑体" w:eastAsia="黑体" w:cs="Times New Roman"/>
          <w:sz w:val="32"/>
          <w:szCs w:val="32"/>
        </w:rPr>
      </w:pPr>
    </w:p>
    <w:p>
      <w:pPr>
        <w:spacing w:line="560" w:lineRule="exact"/>
        <w:ind w:firstLine="645"/>
        <w:rPr>
          <w:rFonts w:ascii="仿宋" w:hAnsi="仿宋" w:eastAsia="仿宋" w:cs="Times New Roman"/>
          <w:sz w:val="32"/>
          <w:szCs w:val="32"/>
        </w:rPr>
      </w:pPr>
    </w:p>
    <w:sectPr>
      <w:footerReference r:id="rId5" w:type="default"/>
      <w:pgSz w:w="16838" w:h="11906" w:orient="landscape"/>
      <w:pgMar w:top="1588" w:right="2098" w:bottom="1474" w:left="198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9123716"/>
    </w:sdtPr>
    <w:sdtContent>
      <w:p>
        <w:pPr>
          <w:pStyle w:val="4"/>
          <w:jc w:val="center"/>
        </w:pPr>
        <w:r>
          <w:fldChar w:fldCharType="begin"/>
        </w:r>
        <w:r>
          <w:instrText xml:space="preserve">PAGE   \* MERGEFORMAT</w:instrText>
        </w:r>
        <w:r>
          <w:fldChar w:fldCharType="separate"/>
        </w:r>
        <w:r>
          <w:rPr>
            <w:lang w:val="zh-CN"/>
          </w:rPr>
          <w:t>20</w:t>
        </w:r>
        <w:r>
          <w:rPr>
            <w:lang w:val="zh-CN"/>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仿宋" w:hAnsi="仿宋" w:eastAsia="仿宋" w:cs="Times New Roman"/>
        <w:sz w:val="24"/>
        <w:szCs w:val="24"/>
      </w:rPr>
    </w:pPr>
    <w:r>
      <w:rPr>
        <w:rFonts w:ascii="仿宋" w:hAnsi="仿宋" w:eastAsia="仿宋" w:cs="仿宋"/>
        <w:sz w:val="24"/>
        <w:szCs w:val="24"/>
      </w:rPr>
      <w:fldChar w:fldCharType="begin"/>
    </w:r>
    <w:r>
      <w:rPr>
        <w:rFonts w:ascii="仿宋" w:hAnsi="仿宋" w:eastAsia="仿宋" w:cs="仿宋"/>
        <w:sz w:val="24"/>
        <w:szCs w:val="24"/>
      </w:rPr>
      <w:instrText xml:space="preserve">PAGE   \* MERGEFORMAT</w:instrText>
    </w:r>
    <w:r>
      <w:rPr>
        <w:rFonts w:ascii="仿宋" w:hAnsi="仿宋" w:eastAsia="仿宋" w:cs="仿宋"/>
        <w:sz w:val="24"/>
        <w:szCs w:val="24"/>
      </w:rPr>
      <w:fldChar w:fldCharType="separate"/>
    </w:r>
    <w:r>
      <w:rPr>
        <w:rFonts w:ascii="仿宋" w:hAnsi="仿宋" w:eastAsia="仿宋" w:cs="仿宋"/>
        <w:sz w:val="24"/>
        <w:szCs w:val="24"/>
        <w:lang w:val="zh-CN"/>
      </w:rPr>
      <w:t>23</w:t>
    </w:r>
    <w:r>
      <w:rPr>
        <w:rFonts w:ascii="仿宋" w:hAnsi="仿宋" w:eastAsia="仿宋" w:cs="仿宋"/>
        <w:sz w:val="24"/>
        <w:szCs w:val="24"/>
      </w:rPr>
      <w:fldChar w:fldCharType="end"/>
    </w:r>
  </w:p>
  <w:p>
    <w:pPr>
      <w:pStyle w:val="4"/>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F809E5"/>
    <w:multiLevelType w:val="multilevel"/>
    <w:tmpl w:val="36F809E5"/>
    <w:lvl w:ilvl="0" w:tentative="0">
      <w:start w:val="5"/>
      <w:numFmt w:val="chineseCounting"/>
      <w:suff w:val="nothing"/>
      <w:lvlText w:val="%1、"/>
      <w:lvlJc w:val="left"/>
      <w:pPr>
        <w:ind w:left="3"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AAA"/>
    <w:rsid w:val="000200D3"/>
    <w:rsid w:val="00041CBC"/>
    <w:rsid w:val="00044B90"/>
    <w:rsid w:val="0004578F"/>
    <w:rsid w:val="00057AC8"/>
    <w:rsid w:val="000624C7"/>
    <w:rsid w:val="00073F13"/>
    <w:rsid w:val="00080A5A"/>
    <w:rsid w:val="000A796E"/>
    <w:rsid w:val="000B7E3F"/>
    <w:rsid w:val="000C04A2"/>
    <w:rsid w:val="000D5AEA"/>
    <w:rsid w:val="000D7584"/>
    <w:rsid w:val="00101C7A"/>
    <w:rsid w:val="00101E52"/>
    <w:rsid w:val="00124D36"/>
    <w:rsid w:val="0012792D"/>
    <w:rsid w:val="00131928"/>
    <w:rsid w:val="00134AD5"/>
    <w:rsid w:val="001402F0"/>
    <w:rsid w:val="0014320C"/>
    <w:rsid w:val="0014419A"/>
    <w:rsid w:val="001A3CB4"/>
    <w:rsid w:val="001E0121"/>
    <w:rsid w:val="001E0232"/>
    <w:rsid w:val="00206B22"/>
    <w:rsid w:val="0021183F"/>
    <w:rsid w:val="00211CAA"/>
    <w:rsid w:val="00223610"/>
    <w:rsid w:val="0023395E"/>
    <w:rsid w:val="0025412C"/>
    <w:rsid w:val="00270593"/>
    <w:rsid w:val="00273AF9"/>
    <w:rsid w:val="002A5134"/>
    <w:rsid w:val="002B0964"/>
    <w:rsid w:val="002C0317"/>
    <w:rsid w:val="002D046F"/>
    <w:rsid w:val="002D05B8"/>
    <w:rsid w:val="002D340F"/>
    <w:rsid w:val="002F7AC9"/>
    <w:rsid w:val="003038CE"/>
    <w:rsid w:val="003069ED"/>
    <w:rsid w:val="0033146B"/>
    <w:rsid w:val="0034017A"/>
    <w:rsid w:val="0035500B"/>
    <w:rsid w:val="00365A22"/>
    <w:rsid w:val="00371523"/>
    <w:rsid w:val="00374043"/>
    <w:rsid w:val="0037750D"/>
    <w:rsid w:val="003779A4"/>
    <w:rsid w:val="003C082A"/>
    <w:rsid w:val="003C3F10"/>
    <w:rsid w:val="003C4C5D"/>
    <w:rsid w:val="003D22B1"/>
    <w:rsid w:val="003D2A1F"/>
    <w:rsid w:val="003D6BAD"/>
    <w:rsid w:val="003E5451"/>
    <w:rsid w:val="003F5EDA"/>
    <w:rsid w:val="0040161D"/>
    <w:rsid w:val="00404A82"/>
    <w:rsid w:val="004108B7"/>
    <w:rsid w:val="00432089"/>
    <w:rsid w:val="00452A55"/>
    <w:rsid w:val="00453A06"/>
    <w:rsid w:val="00463F7C"/>
    <w:rsid w:val="00480474"/>
    <w:rsid w:val="00485AED"/>
    <w:rsid w:val="004868E4"/>
    <w:rsid w:val="00490249"/>
    <w:rsid w:val="00490E9A"/>
    <w:rsid w:val="00497BE6"/>
    <w:rsid w:val="004A02DE"/>
    <w:rsid w:val="004A6983"/>
    <w:rsid w:val="004C6CE1"/>
    <w:rsid w:val="004E1914"/>
    <w:rsid w:val="004E2694"/>
    <w:rsid w:val="00505C51"/>
    <w:rsid w:val="00524AAA"/>
    <w:rsid w:val="005412A2"/>
    <w:rsid w:val="00554472"/>
    <w:rsid w:val="00565ABB"/>
    <w:rsid w:val="005725CE"/>
    <w:rsid w:val="005838CA"/>
    <w:rsid w:val="00587944"/>
    <w:rsid w:val="00593619"/>
    <w:rsid w:val="0059726E"/>
    <w:rsid w:val="005A1846"/>
    <w:rsid w:val="005B3BB6"/>
    <w:rsid w:val="005F4345"/>
    <w:rsid w:val="005F738E"/>
    <w:rsid w:val="0060611C"/>
    <w:rsid w:val="00615C9A"/>
    <w:rsid w:val="006262C4"/>
    <w:rsid w:val="00626438"/>
    <w:rsid w:val="00636876"/>
    <w:rsid w:val="00640A68"/>
    <w:rsid w:val="00641C4A"/>
    <w:rsid w:val="0064269C"/>
    <w:rsid w:val="006463EC"/>
    <w:rsid w:val="006615F1"/>
    <w:rsid w:val="00663C2C"/>
    <w:rsid w:val="00676C43"/>
    <w:rsid w:val="0069518A"/>
    <w:rsid w:val="006979A7"/>
    <w:rsid w:val="006A4E08"/>
    <w:rsid w:val="006C1FAF"/>
    <w:rsid w:val="006C34E8"/>
    <w:rsid w:val="006C5971"/>
    <w:rsid w:val="006E25E1"/>
    <w:rsid w:val="006E3F29"/>
    <w:rsid w:val="00747D9E"/>
    <w:rsid w:val="00762CF4"/>
    <w:rsid w:val="00771288"/>
    <w:rsid w:val="007723F9"/>
    <w:rsid w:val="007775CB"/>
    <w:rsid w:val="00792045"/>
    <w:rsid w:val="007B7554"/>
    <w:rsid w:val="007C098C"/>
    <w:rsid w:val="007C484E"/>
    <w:rsid w:val="007D18BA"/>
    <w:rsid w:val="007E001B"/>
    <w:rsid w:val="007F0D2E"/>
    <w:rsid w:val="007F0F56"/>
    <w:rsid w:val="00803530"/>
    <w:rsid w:val="00825F97"/>
    <w:rsid w:val="00830186"/>
    <w:rsid w:val="008327A0"/>
    <w:rsid w:val="00844338"/>
    <w:rsid w:val="00866339"/>
    <w:rsid w:val="0086688D"/>
    <w:rsid w:val="008734A1"/>
    <w:rsid w:val="00876E19"/>
    <w:rsid w:val="00896B3D"/>
    <w:rsid w:val="008A5E8C"/>
    <w:rsid w:val="008B1C76"/>
    <w:rsid w:val="008B2E78"/>
    <w:rsid w:val="008B60A2"/>
    <w:rsid w:val="008C2867"/>
    <w:rsid w:val="009108F1"/>
    <w:rsid w:val="009113FA"/>
    <w:rsid w:val="00911C7C"/>
    <w:rsid w:val="00933068"/>
    <w:rsid w:val="009536E5"/>
    <w:rsid w:val="00956AA1"/>
    <w:rsid w:val="00956B59"/>
    <w:rsid w:val="00965CD0"/>
    <w:rsid w:val="00970548"/>
    <w:rsid w:val="009825B0"/>
    <w:rsid w:val="00990CB9"/>
    <w:rsid w:val="00994DA0"/>
    <w:rsid w:val="009C264C"/>
    <w:rsid w:val="009D200B"/>
    <w:rsid w:val="009D222A"/>
    <w:rsid w:val="009D275F"/>
    <w:rsid w:val="009E7F94"/>
    <w:rsid w:val="009F0612"/>
    <w:rsid w:val="00A12AE7"/>
    <w:rsid w:val="00A15ADE"/>
    <w:rsid w:val="00A16538"/>
    <w:rsid w:val="00A302AC"/>
    <w:rsid w:val="00A36FC1"/>
    <w:rsid w:val="00A443E6"/>
    <w:rsid w:val="00A5174C"/>
    <w:rsid w:val="00A65644"/>
    <w:rsid w:val="00A72762"/>
    <w:rsid w:val="00A95F51"/>
    <w:rsid w:val="00AA23AC"/>
    <w:rsid w:val="00AC03E9"/>
    <w:rsid w:val="00AC6968"/>
    <w:rsid w:val="00AD7AB5"/>
    <w:rsid w:val="00AF2296"/>
    <w:rsid w:val="00B00F44"/>
    <w:rsid w:val="00B13EFE"/>
    <w:rsid w:val="00B36C7B"/>
    <w:rsid w:val="00B43C9F"/>
    <w:rsid w:val="00B47857"/>
    <w:rsid w:val="00B50088"/>
    <w:rsid w:val="00B500A4"/>
    <w:rsid w:val="00B67BB5"/>
    <w:rsid w:val="00B704E4"/>
    <w:rsid w:val="00B75EC1"/>
    <w:rsid w:val="00B80C4A"/>
    <w:rsid w:val="00B9188E"/>
    <w:rsid w:val="00BA37E2"/>
    <w:rsid w:val="00BA4DC7"/>
    <w:rsid w:val="00BA6B82"/>
    <w:rsid w:val="00BA6EEF"/>
    <w:rsid w:val="00BD168A"/>
    <w:rsid w:val="00BD519C"/>
    <w:rsid w:val="00BD7F5C"/>
    <w:rsid w:val="00BF6801"/>
    <w:rsid w:val="00C2191D"/>
    <w:rsid w:val="00C2770E"/>
    <w:rsid w:val="00C4259A"/>
    <w:rsid w:val="00C43E48"/>
    <w:rsid w:val="00C53CF6"/>
    <w:rsid w:val="00C547CB"/>
    <w:rsid w:val="00C612A7"/>
    <w:rsid w:val="00C73787"/>
    <w:rsid w:val="00C80575"/>
    <w:rsid w:val="00C80BD2"/>
    <w:rsid w:val="00C8370C"/>
    <w:rsid w:val="00CE2464"/>
    <w:rsid w:val="00CE7AE3"/>
    <w:rsid w:val="00CF1C16"/>
    <w:rsid w:val="00D02321"/>
    <w:rsid w:val="00D04994"/>
    <w:rsid w:val="00D27A25"/>
    <w:rsid w:val="00D312BA"/>
    <w:rsid w:val="00D409C0"/>
    <w:rsid w:val="00D53009"/>
    <w:rsid w:val="00D73351"/>
    <w:rsid w:val="00D92F55"/>
    <w:rsid w:val="00DA1103"/>
    <w:rsid w:val="00DA6D2E"/>
    <w:rsid w:val="00DA716B"/>
    <w:rsid w:val="00DC71C8"/>
    <w:rsid w:val="00DE10E7"/>
    <w:rsid w:val="00DF4781"/>
    <w:rsid w:val="00E06810"/>
    <w:rsid w:val="00E12E17"/>
    <w:rsid w:val="00E20E09"/>
    <w:rsid w:val="00E24B37"/>
    <w:rsid w:val="00E43FD0"/>
    <w:rsid w:val="00E46DF2"/>
    <w:rsid w:val="00E70AD0"/>
    <w:rsid w:val="00E87B0C"/>
    <w:rsid w:val="00E93AB3"/>
    <w:rsid w:val="00EC6EBD"/>
    <w:rsid w:val="00ED7902"/>
    <w:rsid w:val="00EF7D12"/>
    <w:rsid w:val="00F019CE"/>
    <w:rsid w:val="00F031D1"/>
    <w:rsid w:val="00F12708"/>
    <w:rsid w:val="00F14752"/>
    <w:rsid w:val="00F51A57"/>
    <w:rsid w:val="00F63202"/>
    <w:rsid w:val="00FD38A8"/>
    <w:rsid w:val="00FE199B"/>
    <w:rsid w:val="01D606DD"/>
    <w:rsid w:val="042C1CE8"/>
    <w:rsid w:val="04F45B88"/>
    <w:rsid w:val="07DE0E30"/>
    <w:rsid w:val="0E35452F"/>
    <w:rsid w:val="0F1E3837"/>
    <w:rsid w:val="11F65F62"/>
    <w:rsid w:val="160F120C"/>
    <w:rsid w:val="1AFC3C21"/>
    <w:rsid w:val="1C8C3F9A"/>
    <w:rsid w:val="215C47EF"/>
    <w:rsid w:val="217B3EC2"/>
    <w:rsid w:val="227149C4"/>
    <w:rsid w:val="280C757D"/>
    <w:rsid w:val="29175B13"/>
    <w:rsid w:val="29375B84"/>
    <w:rsid w:val="34563E02"/>
    <w:rsid w:val="360C27D6"/>
    <w:rsid w:val="3708086D"/>
    <w:rsid w:val="3A0C5B83"/>
    <w:rsid w:val="3C8C49CB"/>
    <w:rsid w:val="3D0969D0"/>
    <w:rsid w:val="3F045B56"/>
    <w:rsid w:val="403551D5"/>
    <w:rsid w:val="40384609"/>
    <w:rsid w:val="44594240"/>
    <w:rsid w:val="482E6B98"/>
    <w:rsid w:val="48FE65AC"/>
    <w:rsid w:val="4A2F05B3"/>
    <w:rsid w:val="4D1B528B"/>
    <w:rsid w:val="4E53037F"/>
    <w:rsid w:val="4EC65338"/>
    <w:rsid w:val="516266E5"/>
    <w:rsid w:val="51707CE6"/>
    <w:rsid w:val="5730409C"/>
    <w:rsid w:val="5760253C"/>
    <w:rsid w:val="5E1635F1"/>
    <w:rsid w:val="5EFA247B"/>
    <w:rsid w:val="5F3B365E"/>
    <w:rsid w:val="67230C1F"/>
    <w:rsid w:val="6A6C0CDB"/>
    <w:rsid w:val="71650E95"/>
    <w:rsid w:val="734252E2"/>
    <w:rsid w:val="757B3A9D"/>
    <w:rsid w:val="7647063B"/>
    <w:rsid w:val="77B204FD"/>
    <w:rsid w:val="786019C5"/>
    <w:rsid w:val="79527AA2"/>
    <w:rsid w:val="7EC021E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semiHidden/>
    <w:unhideWhenUsed/>
    <w:uiPriority w:val="99"/>
    <w:pPr>
      <w:spacing w:after="120"/>
      <w:ind w:left="420" w:leftChars="200"/>
    </w:pPr>
  </w:style>
  <w:style w:type="paragraph" w:styleId="3">
    <w:name w:val="Balloon Text"/>
    <w:basedOn w:val="1"/>
    <w:link w:val="12"/>
    <w:semiHidden/>
    <w:qFormat/>
    <w:uiPriority w:val="99"/>
    <w:rPr>
      <w:sz w:val="18"/>
      <w:szCs w:val="18"/>
    </w:rPr>
  </w:style>
  <w:style w:type="paragraph" w:styleId="4">
    <w:name w:val="footer"/>
    <w:basedOn w:val="1"/>
    <w:link w:val="9"/>
    <w:qFormat/>
    <w:uiPriority w:val="99"/>
    <w:pPr>
      <w:tabs>
        <w:tab w:val="center" w:pos="4153"/>
        <w:tab w:val="right" w:pos="8306"/>
      </w:tabs>
      <w:snapToGrid w:val="0"/>
      <w:jc w:val="left"/>
    </w:pPr>
    <w:rPr>
      <w:kern w:val="0"/>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Body Text First Indent 2"/>
    <w:basedOn w:val="2"/>
    <w:link w:val="15"/>
    <w:unhideWhenUsed/>
    <w:qFormat/>
    <w:uiPriority w:val="99"/>
    <w:pPr>
      <w:spacing w:before="100" w:beforeAutospacing="1" w:after="100" w:afterAutospacing="1"/>
      <w:ind w:left="200" w:firstLine="200" w:firstLineChars="200"/>
    </w:pPr>
    <w:rPr>
      <w:rFonts w:ascii="Calibri" w:hAnsi="Calibri" w:eastAsia="宋体" w:cs="宋体"/>
    </w:rPr>
  </w:style>
  <w:style w:type="character" w:customStyle="1" w:styleId="9">
    <w:name w:val="页脚 Char"/>
    <w:link w:val="4"/>
    <w:qFormat/>
    <w:locked/>
    <w:uiPriority w:val="99"/>
    <w:rPr>
      <w:sz w:val="18"/>
      <w:szCs w:val="18"/>
    </w:rPr>
  </w:style>
  <w:style w:type="character" w:customStyle="1" w:styleId="10">
    <w:name w:val="页眉 Char"/>
    <w:link w:val="5"/>
    <w:qFormat/>
    <w:locked/>
    <w:uiPriority w:val="99"/>
    <w:rPr>
      <w:sz w:val="18"/>
      <w:szCs w:val="18"/>
    </w:rPr>
  </w:style>
  <w:style w:type="paragraph" w:customStyle="1" w:styleId="11">
    <w:name w:val="列出段落1"/>
    <w:basedOn w:val="1"/>
    <w:qFormat/>
    <w:uiPriority w:val="99"/>
    <w:pPr>
      <w:ind w:firstLine="420" w:firstLineChars="200"/>
    </w:pPr>
  </w:style>
  <w:style w:type="character" w:customStyle="1" w:styleId="12">
    <w:name w:val="批注框文本 Char"/>
    <w:link w:val="3"/>
    <w:semiHidden/>
    <w:qFormat/>
    <w:locked/>
    <w:uiPriority w:val="99"/>
    <w:rPr>
      <w:kern w:val="2"/>
      <w:sz w:val="18"/>
      <w:szCs w:val="18"/>
    </w:rPr>
  </w:style>
  <w:style w:type="paragraph" w:styleId="13">
    <w:name w:val="List Paragraph"/>
    <w:basedOn w:val="1"/>
    <w:qFormat/>
    <w:uiPriority w:val="99"/>
    <w:pPr>
      <w:ind w:firstLine="420" w:firstLineChars="200"/>
    </w:pPr>
    <w:rPr>
      <w:rFonts w:ascii="Calibri" w:hAnsi="Calibri" w:eastAsia="宋体" w:cs="Calibri"/>
    </w:rPr>
  </w:style>
  <w:style w:type="character" w:customStyle="1" w:styleId="14">
    <w:name w:val="正文文本缩进 Char"/>
    <w:basedOn w:val="8"/>
    <w:link w:val="2"/>
    <w:semiHidden/>
    <w:uiPriority w:val="99"/>
    <w:rPr>
      <w:rFonts w:ascii="等线" w:hAnsi="等线" w:eastAsia="等线" w:cs="等线"/>
      <w:kern w:val="2"/>
      <w:sz w:val="21"/>
      <w:szCs w:val="21"/>
    </w:rPr>
  </w:style>
  <w:style w:type="character" w:customStyle="1" w:styleId="15">
    <w:name w:val="正文首行缩进 2 Char"/>
    <w:basedOn w:val="14"/>
    <w:link w:val="6"/>
    <w:qFormat/>
    <w:uiPriority w:val="99"/>
    <w:rPr>
      <w:rFonts w:ascii="Calibri" w:hAnsi="Calibri"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1654</Words>
  <Characters>9434</Characters>
  <Lines>78</Lines>
  <Paragraphs>22</Paragraphs>
  <TotalTime>23</TotalTime>
  <ScaleCrop>false</ScaleCrop>
  <LinksUpToDate>false</LinksUpToDate>
  <CharactersWithSpaces>11066</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2017-06-24T03:13:00Z</dcterms:created>
  <dc:creator>旭东</dc:creator>
  <cp:lastModifiedBy>Administrator</cp:lastModifiedBy>
  <cp:lastPrinted>2020-03-25T02:21:00Z</cp:lastPrinted>
  <dcterms:modified xsi:type="dcterms:W3CDTF">2024-05-23T02:11:52Z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7F132ABCD8534B49A400B295C8810171</vt:lpwstr>
  </property>
</Properties>
</file>