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rPr>
      </w:pPr>
    </w:p>
    <w:p>
      <w:pPr>
        <w:jc w:val="center"/>
        <w:rPr>
          <w:rFonts w:ascii="宋体" w:hAnsi="宋体" w:eastAsia="宋体"/>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成安县自然资源和规划局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2021年部门预算公开情况说明</w:t>
      </w:r>
    </w:p>
    <w:p>
      <w:pPr>
        <w:jc w:val="center"/>
        <w:rPr>
          <w:rFonts w:ascii="宋体" w:hAnsi="宋体" w:eastAsia="宋体"/>
        </w:rPr>
      </w:pP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按照《预算法》有关规定和</w:t>
      </w:r>
      <w:r>
        <w:rPr>
          <w:rFonts w:hint="eastAsia" w:ascii="仿宋_GB2312" w:hAnsi="宋体" w:eastAsia="仿宋_GB2312" w:cs="楷体_GB2312"/>
          <w:sz w:val="32"/>
          <w:szCs w:val="32"/>
        </w:rPr>
        <w:t>财政部关于印发《地方预决算公开操作规程》的通知，</w:t>
      </w:r>
      <w:r>
        <w:rPr>
          <w:rFonts w:hint="eastAsia" w:ascii="仿宋_GB2312" w:hAnsi="Calibri" w:eastAsia="仿宋_GB2312" w:cs="仿宋_GB2312"/>
          <w:kern w:val="0"/>
          <w:sz w:val="32"/>
          <w:szCs w:val="32"/>
        </w:rPr>
        <w:t>现将国土局2021年部门预算公开如下：</w:t>
      </w:r>
    </w:p>
    <w:p>
      <w:pPr>
        <w:widowControl/>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kern w:val="0"/>
          <w:sz w:val="32"/>
          <w:szCs w:val="32"/>
        </w:rPr>
        <w:t>部门职责及机构设置情况</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实施国家有关法律、法规，拟定国土资源和测绘方面的地方管理办法，负责有关复议和信访工作，执行国家和省国土资源的技术标准、规程、规范和办法，组织编绘工作规划。搞好本单位人员培训，加强队伍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（二）组织编制和实施全县国土资源规划，土地利用总体规划和其他专项规划，指导、审核各乡（镇）土地利用总体规划，并负责上报审查批准实施。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（三）依法保护国土资源所有者和使用者的合法权益，承办并组织调处国土资源权属纠纷，查处有关各类违法案件，监督检查国土资源法律法规的执行情况。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（四）实施农地用途管制，切实保护基本农田，并负责指导和实施全县未利用土地的开发、土地整理、土地复垦和开发耕地的监督工作，确保耕地总量的动态平衡或只增不减。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（五）负责全县城乡、地籍管理工作，组织土地资源调查，地籍调查，土地统计和动态监测，负责土地确权，土地纠纷调处及土地登记发证工作。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（六）承担全县各类用地的审查报批工作 。组织开展土地资源等自然资源的对外工作与交流。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（七）按规定组织实施土地使用权、出让、转让、出租、抵押和政府收购工作 ，指导农村集体非农土地使用权流转管理。组织基准地价，标定地价评测，确认土地使用权价格。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（八）依法征收有关专项收费并负责专项管理，负责机关及有所属事业单位年度经费预算建设计划的编审，安排上级拨给的专项经费，并负责监督管理使用。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（九）贯彻执行国家《测绘法》等法律法规，对本行政区域内的测绘规划及其实施情况依法进行监督检查，负责全县测绘单位资格审查和任务登记等业务，依法查处违反国家测绘法律法规的违法行为。</w:t>
      </w:r>
    </w:p>
    <w:p>
      <w:pPr>
        <w:ind w:firstLine="720"/>
        <w:outlineLvl w:val="0"/>
        <w:rPr>
          <w:rFonts w:ascii="仿宋_GB2312" w:hAnsi="Calibri" w:eastAsia="仿宋_GB2312" w:cs="Calibri"/>
          <w:b/>
          <w:kern w:val="0"/>
          <w:sz w:val="32"/>
          <w:szCs w:val="32"/>
        </w:rPr>
      </w:pPr>
      <w:r>
        <w:rPr>
          <w:rFonts w:hint="eastAsia" w:ascii="仿宋_GB2312" w:hAnsi="Calibri" w:eastAsia="仿宋_GB2312" w:cs="Calibri"/>
          <w:b/>
          <w:kern w:val="0"/>
          <w:sz w:val="32"/>
          <w:szCs w:val="32"/>
        </w:rPr>
        <w:t>内设机构及职责</w:t>
      </w:r>
    </w:p>
    <w:p>
      <w:pPr>
        <w:ind w:firstLine="72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3317"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成安县自然资源和规划局</w:t>
            </w:r>
          </w:p>
        </w:tc>
        <w:tc>
          <w:tcPr>
            <w:tcW w:w="1134"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正科</w:t>
            </w:r>
          </w:p>
        </w:tc>
        <w:tc>
          <w:tcPr>
            <w:tcW w:w="2902" w:type="dxa"/>
            <w:vAlign w:val="center"/>
          </w:tcPr>
          <w:p>
            <w:pPr>
              <w:spacing w:line="300" w:lineRule="exact"/>
              <w:jc w:val="left"/>
              <w:rPr>
                <w:rFonts w:ascii="Times New Roman" w:hAnsi="Times New Roman" w:eastAsia="方正书宋_GBK" w:cs="Times New Roman"/>
              </w:rPr>
            </w:pPr>
            <w:r>
              <w:rPr>
                <w:rFonts w:hint="eastAsia" w:ascii="仿宋" w:hAnsi="仿宋" w:eastAsia="仿宋" w:cs="仿宋"/>
                <w:sz w:val="32"/>
                <w:szCs w:val="32"/>
              </w:rPr>
              <w:t>财政拨款</w:t>
            </w:r>
          </w:p>
        </w:tc>
      </w:tr>
    </w:tbl>
    <w:p>
      <w:pPr>
        <w:tabs>
          <w:tab w:val="left" w:pos="7125"/>
        </w:tabs>
        <w:ind w:firstLine="627" w:firstLineChars="196"/>
        <w:rPr>
          <w:rFonts w:ascii="仿宋_GB2312" w:hAnsi="仿宋" w:eastAsia="仿宋_GB2312" w:cs="仿宋"/>
          <w:bCs/>
          <w:kern w:val="0"/>
          <w:sz w:val="32"/>
          <w:szCs w:val="32"/>
        </w:rPr>
      </w:pPr>
    </w:p>
    <w:p>
      <w:pPr>
        <w:tabs>
          <w:tab w:val="left" w:pos="7125"/>
        </w:tabs>
        <w:ind w:firstLine="627" w:firstLineChars="196"/>
        <w:rPr>
          <w:rFonts w:ascii="仿宋_GB2312" w:hAnsi="宋体" w:eastAsia="仿宋_GB2312" w:cs="Times New Roman"/>
          <w:sz w:val="32"/>
          <w:szCs w:val="32"/>
        </w:rPr>
      </w:pPr>
      <w:r>
        <w:rPr>
          <w:rFonts w:hint="eastAsia" w:ascii="仿宋_GB2312" w:hAnsi="仿宋" w:eastAsia="仿宋_GB2312" w:cs="仿宋"/>
          <w:bCs/>
          <w:kern w:val="0"/>
          <w:sz w:val="32"/>
          <w:szCs w:val="32"/>
        </w:rPr>
        <w:t>成安县自然资源和规划局，预算编码是324，</w:t>
      </w:r>
      <w:r>
        <w:rPr>
          <w:rFonts w:hint="eastAsia" w:ascii="仿宋_GB2312" w:hAnsi="宋体" w:eastAsia="仿宋_GB2312" w:cs="宋体"/>
          <w:color w:val="000000"/>
          <w:sz w:val="32"/>
          <w:szCs w:val="32"/>
        </w:rPr>
        <w:t>机关内设办公室、土地利用股、执法监察股、地理信息股、下设16个事业单位。</w:t>
      </w:r>
    </w:p>
    <w:p>
      <w:pPr>
        <w:pStyle w:val="11"/>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办公室，负责协调机关日常工作，负责机关行政管理；负责国土资源法律法规的宣传工作；负责机关来文收发、传递、保密和机关文件起草印发工作和重要会议组织工作等；</w:t>
      </w:r>
    </w:p>
    <w:p>
      <w:pPr>
        <w:pStyle w:val="11"/>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土地利用股，负责全县各类建设用地的管理；指导规范地产市场；负责国有土地使用权划拨、出让、转让、租赁、作价出资、收回工作等；</w:t>
      </w:r>
    </w:p>
    <w:p>
      <w:pPr>
        <w:pStyle w:val="11"/>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执法监察股，负责组织重大处罚事项的听证工作，负责组织办理行政复议，应诉工作，负责土地卫片执法检查，负责土地信访工作等；</w:t>
      </w:r>
    </w:p>
    <w:p>
      <w:pPr>
        <w:pStyle w:val="11"/>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地理信息股，负责测绘地理信息项目备案登记、测绘作业证审核管理等；</w:t>
      </w:r>
    </w:p>
    <w:p>
      <w:pPr>
        <w:widowControl/>
        <w:ind w:firstLine="643" w:firstLineChars="200"/>
        <w:jc w:val="left"/>
        <w:rPr>
          <w:rFonts w:ascii="仿宋_GB2312" w:hAnsi="Calibri" w:eastAsia="仿宋_GB2312" w:cs="Calibri"/>
          <w:b/>
          <w:kern w:val="0"/>
          <w:sz w:val="32"/>
          <w:szCs w:val="32"/>
        </w:rPr>
      </w:pPr>
      <w:r>
        <w:rPr>
          <w:rFonts w:hint="eastAsia" w:ascii="宋体" w:hAnsi="宋体" w:cs="宋体"/>
          <w:b/>
          <w:bCs/>
          <w:kern w:val="0"/>
          <w:sz w:val="32"/>
          <w:szCs w:val="32"/>
        </w:rPr>
        <w:t>人员编制和领导职数</w:t>
      </w:r>
    </w:p>
    <w:p>
      <w:pPr>
        <w:widowControl/>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成安县自然资源和规划局，人员编制95名，其中领导职数9个。</w:t>
      </w:r>
    </w:p>
    <w:p>
      <w:pPr>
        <w:widowControl/>
        <w:ind w:firstLine="627" w:firstLineChars="196"/>
        <w:jc w:val="left"/>
        <w:rPr>
          <w:rFonts w:ascii="黑体" w:hAnsi="黑体" w:eastAsia="黑体" w:cs="仿宋_GB2312"/>
          <w:bCs/>
          <w:kern w:val="0"/>
          <w:sz w:val="32"/>
          <w:szCs w:val="32"/>
        </w:rPr>
      </w:pPr>
      <w:bookmarkStart w:id="0" w:name="_Toc482002933"/>
      <w:r>
        <w:rPr>
          <w:rFonts w:hint="eastAsia" w:ascii="黑体" w:hAnsi="黑体" w:eastAsia="黑体" w:cs="仿宋_GB2312"/>
          <w:bCs/>
          <w:kern w:val="0"/>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ind w:firstLine="640" w:firstLineChars="200"/>
        <w:rPr>
          <w:rFonts w:ascii="宋体" w:hAnsi="宋体" w:eastAsia="宋体" w:cs="宋体"/>
          <w:kern w:val="0"/>
          <w:sz w:val="18"/>
          <w:szCs w:val="18"/>
        </w:rPr>
      </w:pPr>
      <w:r>
        <w:rPr>
          <w:rFonts w:hint="eastAsia" w:ascii="仿宋" w:hAnsi="仿宋" w:eastAsia="仿宋" w:cs="Times New Roman"/>
          <w:sz w:val="32"/>
          <w:szCs w:val="32"/>
        </w:rPr>
        <w:t>2021年</w:t>
      </w:r>
      <w:r>
        <w:rPr>
          <w:rFonts w:hint="eastAsia" w:ascii="仿宋" w:hAnsi="仿宋" w:eastAsia="仿宋" w:cs="方正仿宋_GBK"/>
          <w:sz w:val="32"/>
          <w:szCs w:val="32"/>
        </w:rPr>
        <w:t>预算收入4687.45万元，其中：一般公共预算收入4687.45万元，政府性基金收入0万元，国有资本经营收入0万元，事业收入0万元，其他收入0万元。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2021年</w:t>
      </w:r>
      <w:r>
        <w:rPr>
          <w:rFonts w:hint="eastAsia" w:ascii="仿宋" w:hAnsi="仿宋" w:eastAsia="仿宋" w:cs="方正仿宋_GBK"/>
          <w:sz w:val="32"/>
          <w:szCs w:val="32"/>
        </w:rPr>
        <w:t>支出预算4687.45万元，其中基本支出4687.45万元，包括人员经费1760.67万元、日常公用经费222.72万元和项目支出2704.06万元。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ind w:firstLine="627" w:firstLineChars="196"/>
        <w:jc w:val="left"/>
        <w:rPr>
          <w:rFonts w:ascii="仿宋" w:hAnsi="仿宋" w:eastAsia="仿宋" w:cs="仿宋_GB2312"/>
          <w:b/>
          <w:bCs/>
          <w:kern w:val="0"/>
          <w:sz w:val="32"/>
          <w:szCs w:val="32"/>
        </w:rPr>
      </w:pPr>
      <w:r>
        <w:rPr>
          <w:rFonts w:hint="eastAsia" w:ascii="仿宋" w:hAnsi="仿宋" w:eastAsia="仿宋" w:cs="Times New Roman"/>
          <w:sz w:val="32"/>
          <w:szCs w:val="32"/>
        </w:rPr>
        <w:t>2021年</w:t>
      </w:r>
      <w:r>
        <w:rPr>
          <w:rFonts w:hint="eastAsia" w:ascii="仿宋" w:hAnsi="仿宋" w:eastAsia="仿宋" w:cs="方正仿宋_GBK"/>
          <w:sz w:val="32"/>
          <w:szCs w:val="32"/>
        </w:rPr>
        <w:t>预算收支安排4687.45万元，较</w:t>
      </w:r>
      <w:r>
        <w:rPr>
          <w:rFonts w:hint="eastAsia" w:ascii="仿宋" w:hAnsi="仿宋" w:eastAsia="仿宋" w:cs="Times New Roman"/>
          <w:sz w:val="32"/>
          <w:szCs w:val="32"/>
        </w:rPr>
        <w:t>2020年</w:t>
      </w:r>
      <w:r>
        <w:rPr>
          <w:rFonts w:hint="eastAsia" w:ascii="仿宋" w:hAnsi="仿宋" w:eastAsia="仿宋" w:cs="方正仿宋_GBK"/>
          <w:sz w:val="32"/>
          <w:szCs w:val="32"/>
        </w:rPr>
        <w:t>预算增加2505.93万元，主要原因是单位合并各项资金和专款增加。</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三、机关运行经费安排情况</w:t>
      </w: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日常公用经费安排222.72万元，包括：办公费、差旅费、水费、电费、会议费、招待费及其他支出等。</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2021年度“三公”经费预算支出2</w:t>
      </w:r>
      <w:r>
        <w:rPr>
          <w:rFonts w:hint="eastAsia" w:ascii="仿宋_GB2312" w:hAnsi="Calibri" w:eastAsia="仿宋_GB2312" w:cs="仿宋_GB2312"/>
          <w:kern w:val="0"/>
          <w:sz w:val="32"/>
          <w:szCs w:val="32"/>
          <w:lang w:eastAsia="zh-CN"/>
        </w:rPr>
        <w:t>万</w:t>
      </w:r>
      <w:r>
        <w:rPr>
          <w:rFonts w:hint="eastAsia" w:ascii="仿宋_GB2312" w:hAnsi="Calibri" w:eastAsia="仿宋_GB2312" w:cs="仿宋_GB2312"/>
          <w:kern w:val="0"/>
          <w:sz w:val="32"/>
          <w:szCs w:val="32"/>
        </w:rPr>
        <w:t>元，其中，因公出国（境）费0元，安排公务用车维护费2万元，（其中公务用车购置费0元，公务用车运行维护费2万元，全部为财政年初预算安排，不包括非税收入列示部分，与去年“三公经费”按照预算资金持平），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费0万元。2021年度因公出国（境）费与上年持平</w:t>
      </w:r>
      <w:r>
        <w:rPr>
          <w:rFonts w:hint="eastAsia" w:ascii="仿宋_GB2312" w:hAnsi="Calibri" w:eastAsia="仿宋_GB2312" w:cs="仿宋_GB2312"/>
          <w:kern w:val="0"/>
          <w:sz w:val="32"/>
          <w:szCs w:val="32"/>
          <w:lang w:eastAsia="zh-CN"/>
        </w:rPr>
        <w:t>，</w:t>
      </w:r>
      <w:r>
        <w:rPr>
          <w:rFonts w:hint="eastAsia" w:ascii="仿宋_GB2312" w:hAnsi="Calibri" w:eastAsia="仿宋_GB2312" w:cs="仿宋_GB2312"/>
          <w:kern w:val="0"/>
          <w:sz w:val="32"/>
          <w:szCs w:val="32"/>
        </w:rPr>
        <w:t>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费与上年持平</w:t>
      </w:r>
      <w:r>
        <w:rPr>
          <w:rFonts w:hint="eastAsia" w:ascii="仿宋_GB2312" w:hAnsi="Calibri" w:eastAsia="仿宋_GB2312" w:cs="仿宋_GB2312"/>
          <w:kern w:val="0"/>
          <w:sz w:val="32"/>
          <w:szCs w:val="32"/>
          <w:lang w:eastAsia="zh-CN"/>
        </w:rPr>
        <w:t>，</w:t>
      </w:r>
      <w:r>
        <w:rPr>
          <w:rFonts w:hint="eastAsia" w:ascii="仿宋_GB2312" w:hAnsi="Calibri" w:eastAsia="仿宋_GB2312" w:cs="仿宋_GB2312"/>
          <w:kern w:val="0"/>
          <w:sz w:val="32"/>
          <w:szCs w:val="32"/>
        </w:rPr>
        <w:t>公务用车运行维护费“三公”经费与上年持平。</w:t>
      </w:r>
    </w:p>
    <w:p>
      <w:pPr>
        <w:widowControl/>
        <w:numPr>
          <w:ilvl w:val="0"/>
          <w:numId w:val="2"/>
        </w:numPr>
        <w:ind w:firstLine="640" w:firstLineChars="200"/>
        <w:jc w:val="left"/>
        <w:rPr>
          <w:rFonts w:hint="eastAsia" w:ascii="黑体" w:hAnsi="黑体" w:eastAsia="黑体" w:cs="仿宋_GB2312"/>
          <w:bCs/>
          <w:kern w:val="0"/>
          <w:sz w:val="32"/>
          <w:szCs w:val="32"/>
        </w:rPr>
      </w:pPr>
      <w:r>
        <w:rPr>
          <w:rFonts w:hint="eastAsia" w:ascii="黑体" w:hAnsi="黑体" w:eastAsia="黑体" w:cs="仿宋_GB2312"/>
          <w:bCs/>
          <w:kern w:val="0"/>
          <w:sz w:val="32"/>
          <w:szCs w:val="32"/>
        </w:rPr>
        <w:t>绩效预算信息</w:t>
      </w:r>
    </w:p>
    <w:p>
      <w:pPr>
        <w:widowControl/>
        <w:numPr>
          <w:numId w:val="0"/>
        </w:numPr>
        <w:ind w:firstLine="640" w:firstLineChars="200"/>
        <w:jc w:val="left"/>
        <w:rPr>
          <w:rFonts w:hint="default" w:ascii="黑体" w:hAnsi="黑体" w:eastAsia="黑体" w:cs="仿宋_GB2312"/>
          <w:bCs/>
          <w:kern w:val="0"/>
          <w:sz w:val="32"/>
          <w:szCs w:val="32"/>
          <w:lang w:val="en-US" w:eastAsia="zh-CN"/>
        </w:rPr>
      </w:pPr>
      <w:r>
        <w:rPr>
          <w:rFonts w:hint="eastAsia" w:ascii="黑体" w:hAnsi="黑体" w:eastAsia="黑体" w:cs="仿宋_GB2312"/>
          <w:bCs/>
          <w:kern w:val="0"/>
          <w:sz w:val="32"/>
          <w:szCs w:val="32"/>
          <w:lang w:eastAsia="zh-CN"/>
        </w:rPr>
        <w:t>第一部分</w:t>
      </w:r>
      <w:r>
        <w:rPr>
          <w:rFonts w:hint="eastAsia" w:ascii="黑体" w:hAnsi="黑体" w:eastAsia="黑体" w:cs="仿宋_GB2312"/>
          <w:bCs/>
          <w:kern w:val="0"/>
          <w:sz w:val="32"/>
          <w:szCs w:val="32"/>
          <w:lang w:val="en-US" w:eastAsia="zh-CN"/>
        </w:rPr>
        <w:t xml:space="preserve"> 部门整体绩效目标：</w:t>
      </w:r>
    </w:p>
    <w:p>
      <w:pPr>
        <w:widowControl/>
        <w:ind w:firstLine="640" w:firstLineChars="200"/>
        <w:jc w:val="left"/>
        <w:rPr>
          <w:rFonts w:hint="eastAsia" w:ascii="宋体" w:hAnsi="宋体" w:eastAsia="宋体" w:cs="方正仿宋_GBK"/>
          <w:bCs/>
          <w:sz w:val="32"/>
          <w:szCs w:val="32"/>
        </w:rPr>
      </w:pPr>
      <w:r>
        <w:rPr>
          <w:rFonts w:hint="eastAsia" w:ascii="宋体" w:hAnsi="宋体" w:eastAsia="宋体" w:cs="方正仿宋_GBK"/>
          <w:bCs/>
          <w:sz w:val="32"/>
          <w:szCs w:val="32"/>
          <w:lang w:eastAsia="zh-CN"/>
        </w:rPr>
        <w:t>（一）</w:t>
      </w:r>
      <w:r>
        <w:rPr>
          <w:rFonts w:hint="eastAsia" w:ascii="宋体" w:hAnsi="宋体" w:eastAsia="宋体" w:cs="方正仿宋_GBK"/>
          <w:bCs/>
          <w:sz w:val="32"/>
          <w:szCs w:val="32"/>
        </w:rPr>
        <w:t>总体绩效目标</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组织实施耕地与基本农田保护工作</w:t>
      </w:r>
      <w:r>
        <w:rPr>
          <w:rFonts w:ascii="仿宋" w:hAnsi="仿宋" w:eastAsia="仿宋"/>
          <w:sz w:val="32"/>
          <w:szCs w:val="32"/>
        </w:rPr>
        <w:t>,</w:t>
      </w:r>
      <w:r>
        <w:rPr>
          <w:rFonts w:hint="eastAsia" w:ascii="仿宋" w:hAnsi="仿宋" w:eastAsia="仿宋"/>
          <w:sz w:val="32"/>
          <w:szCs w:val="32"/>
        </w:rPr>
        <w:t>组织建设用地审批，开展农村集体土地确权登记发证与土地变更调查</w:t>
      </w:r>
      <w:r>
        <w:rPr>
          <w:rFonts w:ascii="仿宋" w:hAnsi="仿宋" w:eastAsia="仿宋"/>
          <w:sz w:val="32"/>
          <w:szCs w:val="32"/>
        </w:rPr>
        <w:t>,</w:t>
      </w:r>
      <w:r>
        <w:rPr>
          <w:rFonts w:hint="eastAsia" w:ascii="仿宋" w:hAnsi="仿宋" w:eastAsia="仿宋"/>
          <w:sz w:val="32"/>
          <w:szCs w:val="32"/>
        </w:rPr>
        <w:t>做好土地利用工作和不动产登记。实现基本农田面积不减少，质量有提高，各行业合理用地需求得到保障，土地节约集约利用水平进一步提高，保证全县耕地占补平衡。实现土地整治补充耕地亩以上，确保全县耕地占补平衡，完成年度建设高标准基本农田建设任务，开展土地复垦方案的审查，完成耕地保护相关制度研究。</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jc w:val="left"/>
        <w:rPr>
          <w:rFonts w:hint="eastAsia" w:ascii="仿宋" w:hAnsi="仿宋" w:eastAsia="仿宋"/>
          <w:sz w:val="32"/>
          <w:lang w:eastAsia="zh-CN"/>
        </w:rPr>
      </w:pPr>
      <w:r>
        <w:rPr>
          <w:rFonts w:ascii="仿宋" w:hAnsi="仿宋" w:eastAsia="仿宋"/>
          <w:sz w:val="32"/>
        </w:rPr>
        <w:t>（</w:t>
      </w:r>
      <w:r>
        <w:rPr>
          <w:rFonts w:hint="eastAsia" w:ascii="仿宋" w:hAnsi="仿宋" w:eastAsia="仿宋"/>
          <w:sz w:val="32"/>
        </w:rPr>
        <w:t>1</w:t>
      </w:r>
      <w:r>
        <w:rPr>
          <w:rFonts w:ascii="仿宋" w:hAnsi="仿宋" w:eastAsia="仿宋"/>
          <w:sz w:val="32"/>
        </w:rPr>
        <w:t>）矿产资源管理与地质环境保护职责绩效目标：加强我</w:t>
      </w:r>
      <w:r>
        <w:rPr>
          <w:rFonts w:hint="eastAsia" w:ascii="仿宋" w:hAnsi="仿宋" w:eastAsia="仿宋"/>
          <w:sz w:val="32"/>
          <w:lang w:eastAsia="zh-CN"/>
        </w:rPr>
        <w:t>县</w:t>
      </w:r>
      <w:r>
        <w:rPr>
          <w:rFonts w:ascii="仿宋" w:hAnsi="仿宋" w:eastAsia="仿宋"/>
          <w:sz w:val="32"/>
        </w:rPr>
        <w:t>基础地质工作，掌控资源储量家底；对重要地质遗迹进行有效保护；做好汛期地质灾害防治工作，提高地质灾害预警预报水平确保人民生命财产安全</w:t>
      </w:r>
      <w:r>
        <w:rPr>
          <w:rFonts w:hint="eastAsia" w:ascii="仿宋" w:hAnsi="仿宋" w:eastAsia="仿宋"/>
          <w:sz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2</w:t>
      </w:r>
      <w:r>
        <w:rPr>
          <w:rFonts w:ascii="仿宋" w:hAnsi="仿宋" w:eastAsia="仿宋"/>
          <w:sz w:val="32"/>
        </w:rPr>
        <w:t>）土地资源管理职责绩效目标：组织开展土地级别与基准地价更新，建立完善政府公示自然资源价格体系。对全</w:t>
      </w:r>
      <w:r>
        <w:rPr>
          <w:rFonts w:hint="eastAsia" w:ascii="仿宋" w:hAnsi="仿宋" w:eastAsia="仿宋"/>
          <w:sz w:val="32"/>
          <w:lang w:eastAsia="zh-CN"/>
        </w:rPr>
        <w:t>县</w:t>
      </w:r>
      <w:r>
        <w:rPr>
          <w:rFonts w:ascii="仿宋" w:hAnsi="仿宋" w:eastAsia="仿宋"/>
          <w:sz w:val="32"/>
        </w:rPr>
        <w:t>地价和土地市场进行动态监测，为</w:t>
      </w:r>
      <w:r>
        <w:rPr>
          <w:rFonts w:hint="eastAsia" w:ascii="仿宋" w:hAnsi="仿宋" w:eastAsia="仿宋"/>
          <w:sz w:val="32"/>
          <w:lang w:eastAsia="zh-CN"/>
        </w:rPr>
        <w:t>县</w:t>
      </w:r>
      <w:r>
        <w:rPr>
          <w:rFonts w:ascii="仿宋" w:hAnsi="仿宋" w:eastAsia="仿宋"/>
          <w:sz w:val="32"/>
        </w:rPr>
        <w:t>政府宏观调控和稳定土地市场提供决策依据。编制</w:t>
      </w:r>
      <w:r>
        <w:rPr>
          <w:rFonts w:hint="eastAsia" w:ascii="仿宋" w:hAnsi="仿宋" w:eastAsia="仿宋"/>
          <w:sz w:val="32"/>
          <w:lang w:eastAsia="zh-CN"/>
        </w:rPr>
        <w:t>县</w:t>
      </w:r>
      <w:r>
        <w:rPr>
          <w:rFonts w:ascii="仿宋" w:hAnsi="仿宋" w:eastAsia="仿宋"/>
          <w:sz w:val="32"/>
        </w:rPr>
        <w:t>本级国有建设用地年度供应计划，加强国有建设用地供应管理，科学调控土地市场。掌握评价</w:t>
      </w:r>
      <w:r>
        <w:rPr>
          <w:rFonts w:hint="eastAsia" w:ascii="仿宋" w:hAnsi="仿宋" w:eastAsia="仿宋"/>
          <w:sz w:val="32"/>
          <w:lang w:eastAsia="zh-CN"/>
        </w:rPr>
        <w:t>我县</w:t>
      </w:r>
      <w:r>
        <w:rPr>
          <w:rFonts w:ascii="仿宋" w:hAnsi="仿宋" w:eastAsia="仿宋"/>
          <w:sz w:val="32"/>
        </w:rPr>
        <w:t>土地利用现状和节约集约程度，为科学管地用地提供依据。加强土地批后监管提高图例利用效率，有效处置全</w:t>
      </w:r>
      <w:r>
        <w:rPr>
          <w:rFonts w:hint="eastAsia" w:ascii="仿宋" w:hAnsi="仿宋" w:eastAsia="仿宋"/>
          <w:sz w:val="32"/>
          <w:lang w:eastAsia="zh-CN"/>
        </w:rPr>
        <w:t>县</w:t>
      </w:r>
      <w:r>
        <w:rPr>
          <w:rFonts w:ascii="仿宋" w:hAnsi="仿宋" w:eastAsia="仿宋"/>
          <w:sz w:val="32"/>
        </w:rPr>
        <w:t>低效用地。</w:t>
      </w:r>
      <w:r>
        <w:rPr>
          <w:rFonts w:hint="eastAsia" w:ascii="仿宋" w:hAnsi="仿宋" w:eastAsia="仿宋"/>
          <w:sz w:val="32"/>
          <w:lang w:eastAsia="zh-CN"/>
        </w:rPr>
        <w:t>县</w:t>
      </w:r>
      <w:r>
        <w:rPr>
          <w:rFonts w:ascii="仿宋" w:hAnsi="仿宋" w:eastAsia="仿宋"/>
          <w:sz w:val="32"/>
        </w:rPr>
        <w:t>本级国有建设用地供地计划工作完成率力争达100%。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3</w:t>
      </w:r>
      <w:r>
        <w:rPr>
          <w:rFonts w:ascii="仿宋" w:hAnsi="仿宋" w:eastAsia="仿宋"/>
          <w:sz w:val="32"/>
        </w:rPr>
        <w:t>）耕地保护监督职责绩效目标：完成耕地和基本农田保护任务，确保全</w:t>
      </w:r>
      <w:r>
        <w:rPr>
          <w:rFonts w:hint="eastAsia" w:ascii="仿宋" w:hAnsi="仿宋" w:eastAsia="仿宋"/>
          <w:sz w:val="32"/>
          <w:lang w:eastAsia="zh-CN"/>
        </w:rPr>
        <w:t>县</w:t>
      </w:r>
      <w:r>
        <w:rPr>
          <w:rFonts w:ascii="仿宋" w:hAnsi="仿宋" w:eastAsia="仿宋"/>
          <w:sz w:val="32"/>
        </w:rPr>
        <w:t>耕地占补平衡，掌握全</w:t>
      </w:r>
      <w:r>
        <w:rPr>
          <w:rFonts w:hint="eastAsia" w:ascii="仿宋" w:hAnsi="仿宋" w:eastAsia="仿宋"/>
          <w:sz w:val="32"/>
          <w:lang w:eastAsia="zh-CN"/>
        </w:rPr>
        <w:t>县</w:t>
      </w:r>
      <w:r>
        <w:rPr>
          <w:rFonts w:ascii="仿宋" w:hAnsi="仿宋" w:eastAsia="仿宋"/>
          <w:sz w:val="32"/>
        </w:rPr>
        <w:t>耕地质量变化情况。对年度内耕地现状变化及耕地质量建设引起的耕地质量等别变化情况进行更新评价。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jc w:val="left"/>
        <w:rPr>
          <w:rFonts w:ascii="仿宋" w:hAnsi="仿宋" w:eastAsia="仿宋"/>
          <w:sz w:val="32"/>
        </w:rPr>
      </w:pPr>
      <w:r>
        <w:rPr>
          <w:rFonts w:ascii="仿宋" w:hAnsi="仿宋" w:eastAsia="仿宋"/>
          <w:sz w:val="32"/>
        </w:rPr>
        <w:t>（</w:t>
      </w:r>
      <w:r>
        <w:rPr>
          <w:rFonts w:hint="eastAsia" w:ascii="仿宋" w:hAnsi="仿宋" w:eastAsia="仿宋"/>
          <w:sz w:val="32"/>
        </w:rPr>
        <w:t>4</w:t>
      </w:r>
      <w:r>
        <w:rPr>
          <w:rFonts w:ascii="仿宋" w:hAnsi="仿宋" w:eastAsia="仿宋"/>
          <w:sz w:val="32"/>
        </w:rPr>
        <w:t>）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w:t>
      </w:r>
      <w:r>
        <w:rPr>
          <w:rFonts w:hint="eastAsia" w:ascii="仿宋" w:hAnsi="仿宋" w:eastAsia="仿宋"/>
          <w:sz w:val="32"/>
          <w:lang w:val="en-US" w:eastAsia="zh-CN"/>
        </w:rPr>
        <w:t>2021</w:t>
      </w:r>
      <w:r>
        <w:rPr>
          <w:rFonts w:ascii="仿宋" w:hAnsi="仿宋" w:eastAsia="仿宋"/>
          <w:sz w:val="32"/>
        </w:rPr>
        <w:t>年度土地变更调查工作，全面查清全市自然资源利用变化情况，保持全市土地变更数据的现势性和连续性，完成率力争达到90%以上，加强过程质量管控，确保成果数据真实准确可靠。分析评价自然资源调查监测数据，为科学分析和客观评价自然资源和生态环境保护修复治理利用效率提供数据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5</w:t>
      </w:r>
      <w:r>
        <w:rPr>
          <w:rFonts w:ascii="仿宋" w:hAnsi="仿宋" w:eastAsia="仿宋"/>
          <w:sz w:val="32"/>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6</w:t>
      </w:r>
      <w:r>
        <w:rPr>
          <w:rFonts w:ascii="仿宋" w:hAnsi="仿宋" w:eastAsia="仿宋"/>
          <w:sz w:val="32"/>
        </w:rPr>
        <w:t>）自然资源和规划执法与监察职责绩效目标：组织全市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95%以上，重大典型违法案件调查反馈率95%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7</w:t>
      </w:r>
      <w:r>
        <w:rPr>
          <w:rFonts w:ascii="仿宋" w:hAnsi="仿宋" w:eastAsia="仿宋"/>
          <w:sz w:val="32"/>
        </w:rPr>
        <w:t>）不动产确权登记职责绩效目标：推进各类自然资源和不动产统一确权登记、权籍调查。做好自然资源和不动产权属调查处理工作，界定各类自然资源产权主体，划清各类自然资源所有权和使用权边界。科学、合理、高效完成自然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8</w:t>
      </w:r>
      <w:r>
        <w:rPr>
          <w:rFonts w:ascii="仿宋" w:hAnsi="仿宋" w:eastAsia="仿宋"/>
          <w:sz w:val="32"/>
        </w:rPr>
        <w:t>）城乡规划指导职责绩效目标：搞好县总体规划的编制审查工作，确保县总体规划的编制、审查科学、合理、有效。进一步提升县国土空间编制水平。按照正常规定和时间要求开展历史文化名城保护规划编制、审查、报批。落实好国家、省历史文化名镇名村保护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9</w:t>
      </w:r>
      <w:r>
        <w:rPr>
          <w:rFonts w:ascii="仿宋" w:hAnsi="仿宋" w:eastAsia="仿宋"/>
          <w:sz w:val="32"/>
        </w:rPr>
        <w:t>）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推进符合相关法律法规的各类规划调整工作，对城市规划技术服务进行有序管理。各类规划规定期限内完成率力争95%以上，规划调整工作完成率力争90%以上。</w:t>
      </w:r>
    </w:p>
    <w:p>
      <w:pPr>
        <w:pStyle w:val="14"/>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10</w:t>
      </w:r>
      <w:r>
        <w:rPr>
          <w:rFonts w:ascii="仿宋" w:hAnsi="仿宋" w:eastAsia="仿宋"/>
          <w:sz w:val="32"/>
          <w:lang w:eastAsia="zh-CN"/>
        </w:rPr>
        <w:t>）国土空间生态修复。开展全</w:t>
      </w:r>
      <w:r>
        <w:rPr>
          <w:rFonts w:hint="eastAsia" w:ascii="仿宋" w:hAnsi="仿宋" w:eastAsia="仿宋"/>
          <w:sz w:val="32"/>
          <w:lang w:eastAsia="zh-CN"/>
        </w:rPr>
        <w:t>县</w:t>
      </w:r>
      <w:r>
        <w:rPr>
          <w:rFonts w:ascii="仿宋" w:hAnsi="仿宋" w:eastAsia="仿宋"/>
          <w:sz w:val="32"/>
          <w:lang w:eastAsia="zh-CN"/>
        </w:rPr>
        <w:t>国土空间生态修复政策研究工作。制定国土空间生态修复规划，推进国土空间综合整治、土地整理复垦、矿山地质环境恢复治理等工作，开展生态保护补偿相关工作，指导</w:t>
      </w:r>
      <w:r>
        <w:rPr>
          <w:rFonts w:hint="eastAsia" w:ascii="仿宋" w:hAnsi="仿宋" w:eastAsia="仿宋"/>
          <w:sz w:val="32"/>
          <w:lang w:eastAsia="zh-CN"/>
        </w:rPr>
        <w:t>全</w:t>
      </w:r>
      <w:r>
        <w:rPr>
          <w:rFonts w:ascii="仿宋" w:hAnsi="仿宋" w:eastAsia="仿宋"/>
          <w:sz w:val="32"/>
          <w:lang w:eastAsia="zh-CN"/>
        </w:rPr>
        <w:t>县国土空间生态修复工作，搞好城乡建设用地增减挂钩拆旧区的立项和验收。通过工程治理、转型利用、自然复绿的范式对裸露矿山迹地进行生态修复任务完成率达100%。</w:t>
      </w:r>
    </w:p>
    <w:p>
      <w:pPr>
        <w:pStyle w:val="14"/>
        <w:rPr>
          <w:rFonts w:ascii="仿宋" w:hAnsi="仿宋" w:eastAsia="仿宋"/>
          <w:sz w:val="32"/>
          <w:lang w:eastAsia="zh-CN"/>
        </w:rPr>
      </w:pPr>
      <w:r>
        <w:rPr>
          <w:rFonts w:hint="eastAsia" w:ascii="仿宋" w:hAnsi="仿宋" w:eastAsia="仿宋"/>
          <w:sz w:val="32"/>
          <w:lang w:eastAsia="zh-CN"/>
        </w:rPr>
        <w:t xml:space="preserve">   （三）工作保障措施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1</w:t>
      </w:r>
      <w:r>
        <w:rPr>
          <w:rFonts w:ascii="仿宋" w:hAnsi="仿宋" w:eastAsia="仿宋"/>
          <w:sz w:val="32"/>
        </w:rPr>
        <w:t>）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2</w:t>
      </w:r>
      <w:r>
        <w:rPr>
          <w:rFonts w:ascii="仿宋" w:hAnsi="仿宋" w:eastAsia="仿宋"/>
          <w:sz w:val="32"/>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3</w:t>
      </w:r>
      <w:r>
        <w:rPr>
          <w:rFonts w:ascii="仿宋" w:hAnsi="仿宋" w:eastAsia="仿宋"/>
          <w:sz w:val="32"/>
        </w:rPr>
        <w:t>）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pPr>
        <w:pStyle w:val="14"/>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4</w:t>
      </w:r>
      <w:r>
        <w:rPr>
          <w:rFonts w:ascii="仿宋" w:hAnsi="仿宋" w:eastAsia="仿宋"/>
          <w:sz w:val="32"/>
          <w:lang w:eastAsia="zh-CN"/>
        </w:rPr>
        <w:t>）开展专项考核。建立工作台账，结合工作职责，定期开展督促、指导和检查。将年度工作纳入局重点工作范围，对工作落实情况将定期进行通报，切实推动各项重点工作落实落地。</w:t>
      </w:r>
    </w:p>
    <w:p>
      <w:pPr>
        <w:widowControl/>
        <w:numPr>
          <w:ilvl w:val="0"/>
          <w:numId w:val="0"/>
        </w:numPr>
        <w:ind w:firstLine="640" w:firstLineChars="200"/>
        <w:jc w:val="left"/>
        <w:rPr>
          <w:rFonts w:hint="eastAsia" w:ascii="黑体" w:hAnsi="黑体" w:eastAsia="黑体" w:cs="仿宋_GB2312"/>
          <w:bCs/>
          <w:kern w:val="0"/>
          <w:sz w:val="32"/>
          <w:szCs w:val="32"/>
          <w:lang w:eastAsia="zh-CN"/>
        </w:rPr>
      </w:pPr>
    </w:p>
    <w:p>
      <w:pPr>
        <w:widowControl/>
        <w:numPr>
          <w:ilvl w:val="0"/>
          <w:numId w:val="0"/>
        </w:numPr>
        <w:ind w:firstLine="640" w:firstLineChars="200"/>
        <w:jc w:val="left"/>
        <w:rPr>
          <w:rFonts w:hint="eastAsia" w:ascii="黑体" w:hAnsi="黑体" w:eastAsia="黑体" w:cs="仿宋_GB2312"/>
          <w:bCs/>
          <w:kern w:val="0"/>
          <w:sz w:val="32"/>
          <w:szCs w:val="32"/>
          <w:lang w:eastAsia="zh-CN"/>
        </w:rPr>
      </w:pPr>
    </w:p>
    <w:p>
      <w:pPr>
        <w:widowControl/>
        <w:numPr>
          <w:ilvl w:val="0"/>
          <w:numId w:val="0"/>
        </w:numPr>
        <w:ind w:firstLine="640" w:firstLineChars="200"/>
        <w:jc w:val="left"/>
        <w:rPr>
          <w:rFonts w:hint="eastAsia" w:ascii="黑体" w:hAnsi="黑体" w:eastAsia="黑体" w:cs="仿宋_GB2312"/>
          <w:bCs/>
          <w:kern w:val="0"/>
          <w:sz w:val="32"/>
          <w:szCs w:val="32"/>
          <w:lang w:eastAsia="zh-CN"/>
        </w:rPr>
      </w:pPr>
    </w:p>
    <w:p>
      <w:pPr>
        <w:widowControl/>
        <w:numPr>
          <w:ilvl w:val="0"/>
          <w:numId w:val="0"/>
        </w:numPr>
        <w:ind w:firstLine="640" w:firstLineChars="200"/>
        <w:jc w:val="left"/>
        <w:rPr>
          <w:rFonts w:hint="default" w:ascii="黑体" w:hAnsi="黑体" w:eastAsia="黑体" w:cs="仿宋_GB2312"/>
          <w:bCs/>
          <w:kern w:val="0"/>
          <w:sz w:val="32"/>
          <w:szCs w:val="32"/>
          <w:lang w:val="en-US" w:eastAsia="zh-CN"/>
        </w:rPr>
      </w:pPr>
      <w:bookmarkStart w:id="1" w:name="_GoBack"/>
      <w:r>
        <w:rPr>
          <w:rFonts w:hint="eastAsia" w:ascii="黑体" w:hAnsi="黑体" w:eastAsia="黑体" w:cs="仿宋_GB2312"/>
          <w:bCs/>
          <w:kern w:val="0"/>
          <w:sz w:val="32"/>
          <w:szCs w:val="32"/>
          <w:lang w:eastAsia="zh-CN"/>
        </w:rPr>
        <w:t>第二部分</w:t>
      </w:r>
      <w:r>
        <w:rPr>
          <w:rFonts w:hint="eastAsia" w:ascii="黑体" w:hAnsi="黑体" w:eastAsia="黑体" w:cs="仿宋_GB2312"/>
          <w:bCs/>
          <w:kern w:val="0"/>
          <w:sz w:val="32"/>
          <w:szCs w:val="32"/>
          <w:lang w:val="en-US" w:eastAsia="zh-CN"/>
        </w:rPr>
        <w:t xml:space="preserve"> 专项资金绩效目标：</w:t>
      </w:r>
    </w:p>
    <w:bookmarkEnd w:id="1"/>
    <w:p>
      <w:pPr>
        <w:widowControl/>
        <w:ind w:firstLine="643" w:firstLineChars="200"/>
        <w:jc w:val="left"/>
        <w:rPr>
          <w:rFonts w:ascii="仿宋" w:hAnsi="仿宋" w:eastAsia="仿宋" w:cs="仿宋_GB2312"/>
          <w:b/>
          <w:bCs/>
          <w:kern w:val="0"/>
          <w:sz w:val="32"/>
          <w:szCs w:val="32"/>
        </w:rPr>
      </w:pPr>
    </w:p>
    <w:p>
      <w:pPr>
        <w:outlineLvl w:val="0"/>
        <w:rPr>
          <w:rFonts w:ascii="仿宋" w:hAnsi="仿宋" w:eastAsia="仿宋" w:cs="仿宋"/>
          <w:b/>
          <w:bCs/>
          <w:sz w:val="32"/>
        </w:rPr>
      </w:pPr>
    </w:p>
    <w:p>
      <w:pPr>
        <w:outlineLvl w:val="0"/>
        <w:rPr>
          <w:rFonts w:ascii="仿宋" w:hAnsi="仿宋" w:eastAsia="仿宋" w:cs="仿宋"/>
          <w:b/>
          <w:bCs/>
          <w:sz w:val="32"/>
        </w:rPr>
        <w:sectPr>
          <w:footerReference r:id="rId3" w:type="default"/>
          <w:pgSz w:w="11907" w:h="16839"/>
          <w:pgMar w:top="1361" w:right="1020" w:bottom="1361" w:left="1020" w:header="851" w:footer="992" w:gutter="0"/>
          <w:cols w:space="425" w:num="1"/>
          <w:docGrid w:type="lines" w:linePitch="312" w:charSpace="0"/>
        </w:sectPr>
      </w:pPr>
    </w:p>
    <w:bookmarkEnd w:id="0"/>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631"/>
        <w:gridCol w:w="1163"/>
        <w:gridCol w:w="812"/>
        <w:gridCol w:w="957"/>
        <w:gridCol w:w="900"/>
        <w:gridCol w:w="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0387"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成安县自然资源和规划局</w:t>
            </w:r>
          </w:p>
        </w:tc>
        <w:tc>
          <w:tcPr>
            <w:tcW w:w="354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数年度预算</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6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547"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631" w:type="dxa"/>
            <w:vMerge w:val="continue"/>
            <w:shd w:val="clear" w:color="auto" w:fill="auto"/>
            <w:vAlign w:val="center"/>
          </w:tcPr>
          <w:p>
            <w:pPr>
              <w:spacing w:line="300" w:lineRule="exact"/>
              <w:jc w:val="left"/>
              <w:outlineLvl w:val="0"/>
            </w:pPr>
          </w:p>
        </w:tc>
        <w:tc>
          <w:tcPr>
            <w:tcW w:w="1163" w:type="dxa"/>
            <w:vMerge w:val="continue"/>
            <w:shd w:val="clear" w:color="auto" w:fill="auto"/>
            <w:vAlign w:val="center"/>
          </w:tcPr>
          <w:p>
            <w:pPr>
              <w:spacing w:line="300" w:lineRule="exact"/>
              <w:jc w:val="left"/>
              <w:outlineLvl w:val="0"/>
            </w:pPr>
          </w:p>
        </w:tc>
        <w:tc>
          <w:tcPr>
            <w:tcW w:w="81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9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7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土地资源管理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组织实施耕地与基本农田保护工作</w:t>
            </w:r>
            <w:r>
              <w:rPr>
                <w:rFonts w:ascii="方正书宋_GBK" w:eastAsia="方正书宋_GBK"/>
              </w:rPr>
              <w:t>,</w:t>
            </w:r>
            <w:r>
              <w:rPr>
                <w:rFonts w:hint="eastAsia" w:ascii="方正书宋_GBK" w:eastAsia="方正书宋_GBK"/>
              </w:rPr>
              <w:t>组织建设用地审批，开展农村集体土地确权登记发证与土地变更调查</w:t>
            </w:r>
            <w:r>
              <w:rPr>
                <w:rFonts w:ascii="方正书宋_GBK" w:eastAsia="方正书宋_GBK"/>
              </w:rPr>
              <w:t>,</w:t>
            </w:r>
            <w:r>
              <w:rPr>
                <w:rFonts w:hint="eastAsia" w:ascii="方正书宋_GBK" w:eastAsia="方正书宋_GBK"/>
              </w:rPr>
              <w:t>做好土地利用工作和不动产登记。</w:t>
            </w:r>
          </w:p>
        </w:tc>
        <w:tc>
          <w:tcPr>
            <w:tcW w:w="26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实现基本农田面积不减少，质量有提高，各行业合理用地需求得到保障，土地节约集约利用水平进一步提高，保证全县耕地占补平衡。</w:t>
            </w:r>
          </w:p>
        </w:tc>
        <w:tc>
          <w:tcPr>
            <w:tcW w:w="1163" w:type="dxa"/>
            <w:shd w:val="clear" w:color="auto" w:fill="auto"/>
            <w:vAlign w:val="center"/>
          </w:tcPr>
          <w:p>
            <w:pPr>
              <w:spacing w:line="300" w:lineRule="exact"/>
              <w:jc w:val="left"/>
              <w:rPr>
                <w:rFonts w:ascii="方正书宋_GBK" w:eastAsia="方正书宋_GBK"/>
              </w:rPr>
            </w:pP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耕地与基本农田保护</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530.43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开展基本农田保护和土地整理、复垦、开发工作。</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实现土地整治补充耕地亩以上，确保全县耕地占补平衡，完成年度建设高标准基本农田建设任务，开展土地复垦方案的审查，完成耕地保护相关制度研究。</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验收报备的总量平衡项目工程数量核实完成率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土地变更调查新增耕地管理信息核查标注完成率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54</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土地复垦方案审查完成率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71</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耕地质量等别更新与监测完成率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71</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在建土地整治项目督导（含测量）次数</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地籍管理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455.5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开展土地确权登记发证工作，组织县级土地利用现状变化调查和检查，更新县级土地调查数据库，生成增量数据包，开展县级的不动产统一登记工作。</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推进农村集体土地确权登记发证工作，完成年度土地变更调查工作，部署完成全省土地登记信息动态监管查询系统，进行不动产统一登记工作的调查研究，按照国家要求完成工作进度。</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不动产登记工作的调查研究开展率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年度土地变更调查工作完成率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全县（包括开发区）土地登记信息动态监管查询系统建设工作完成率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72</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土地利用管理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330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推进节约集约用地，管理和监督城乡建设用地供应、政府土地储备、土地开发和节约集约利用，组织实施城乡建设用地增减挂钩。</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提高全县节约集约用地水平，维护全县土地市场良好秩序，统筹组织城乡建设用地增减挂钩管理和未利用地调查评价及利用。</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节约集约用地、土地利用管理相关制度改革研究完成率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59</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开展建设用地集约利用评价数量</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57</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中国开发区审核公告目录（</w:t>
            </w:r>
            <w:r>
              <w:rPr>
                <w:rFonts w:ascii="方正书宋_GBK" w:eastAsia="方正书宋_GBK"/>
              </w:rPr>
              <w:t>2006</w:t>
            </w:r>
            <w:r>
              <w:rPr>
                <w:rFonts w:hint="eastAsia" w:ascii="方正书宋_GBK" w:eastAsia="方正书宋_GBK"/>
              </w:rPr>
              <w:t>年版）中河北省</w:t>
            </w:r>
            <w:r>
              <w:rPr>
                <w:rFonts w:ascii="方正书宋_GBK" w:eastAsia="方正书宋_GBK"/>
              </w:rPr>
              <w:t>50</w:t>
            </w:r>
            <w:r>
              <w:rPr>
                <w:rFonts w:hint="eastAsia" w:ascii="方正书宋_GBK" w:eastAsia="方正书宋_GBK"/>
              </w:rPr>
              <w:t>个开发区土地集约利用评价与更新数量</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完成县土地市场和城市地价动态监测分析并提交季度报告</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54</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是否获得</w:t>
            </w:r>
            <w:r>
              <w:rPr>
                <w:rFonts w:hint="cs" w:ascii="方正书宋_GBK" w:eastAsia="方正书宋_GBK"/>
              </w:rPr>
              <w:t>“</w:t>
            </w:r>
            <w:r>
              <w:rPr>
                <w:rFonts w:hint="eastAsia" w:ascii="方正书宋_GBK" w:eastAsia="方正书宋_GBK"/>
              </w:rPr>
              <w:t>国土资源节约集约模范县</w:t>
            </w:r>
            <w:r>
              <w:rPr>
                <w:rFonts w:hint="cs" w:ascii="方正书宋_GBK" w:eastAsia="方正书宋_GBK"/>
              </w:rPr>
              <w:t>”</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91</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51</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国土资源执法与监察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320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强化县级国土资源执法监察工作</w:t>
            </w:r>
            <w:r>
              <w:rPr>
                <w:rFonts w:ascii="方正书宋_GBK" w:eastAsia="方正书宋_GBK"/>
              </w:rPr>
              <w:t>,</w:t>
            </w:r>
            <w:r>
              <w:rPr>
                <w:rFonts w:hint="eastAsia" w:ascii="方正书宋_GBK" w:eastAsia="方正书宋_GBK"/>
              </w:rPr>
              <w:t>提高国土资源执法能力。</w:t>
            </w:r>
          </w:p>
        </w:tc>
        <w:tc>
          <w:tcPr>
            <w:tcW w:w="26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进一步加大执法监督力度。</w:t>
            </w:r>
          </w:p>
        </w:tc>
        <w:tc>
          <w:tcPr>
            <w:tcW w:w="1163" w:type="dxa"/>
            <w:shd w:val="clear" w:color="auto" w:fill="auto"/>
            <w:vAlign w:val="center"/>
          </w:tcPr>
          <w:p>
            <w:pPr>
              <w:spacing w:line="300" w:lineRule="exact"/>
              <w:jc w:val="left"/>
              <w:rPr>
                <w:rFonts w:ascii="方正书宋_GBK" w:eastAsia="方正书宋_GBK"/>
              </w:rPr>
            </w:pP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≥92%</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≥74%</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国土资源执法监察</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315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对县级国土资源法律法规执行情况监督检查，依法查处国土资源违法案件。</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组织各级国土资源（海洋）执法监察部门，及时发现、制止违法行为。依法查处案件，开展卫片执法监督检查，协调、联络国家土地督察机构，推进国土资源基层所标准化建设。</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土地、矿产卫片执法监督检查各项任务完成率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51</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受理造成矿产资源破坏价值鉴定申请鉴定结论率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重大典型违法案件调查反馈率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ascii="方正书宋_GBK" w:eastAsia="方正书宋_GBK"/>
              </w:rPr>
              <w:t>12336</w:t>
            </w:r>
            <w:r>
              <w:rPr>
                <w:rFonts w:hint="eastAsia" w:ascii="方正书宋_GBK" w:eastAsia="方正书宋_GBK"/>
              </w:rPr>
              <w:t>等违法举报督办案件反馈率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91</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72</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专项执法工作开展完成率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74</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54</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国土资源政务管理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235.25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负责国土资源系统综合业务管理和机关综合事务管理。</w:t>
            </w:r>
          </w:p>
        </w:tc>
        <w:tc>
          <w:tcPr>
            <w:tcW w:w="26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进一步增强国土资源（海洋）管理能力。</w:t>
            </w:r>
          </w:p>
        </w:tc>
        <w:tc>
          <w:tcPr>
            <w:tcW w:w="1163" w:type="dxa"/>
            <w:shd w:val="clear" w:color="auto" w:fill="auto"/>
            <w:vAlign w:val="center"/>
          </w:tcPr>
          <w:p>
            <w:pPr>
              <w:spacing w:line="300" w:lineRule="exact"/>
              <w:jc w:val="left"/>
              <w:rPr>
                <w:rFonts w:ascii="方正书宋_GBK" w:eastAsia="方正书宋_GBK"/>
              </w:rPr>
            </w:pP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310.23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制定编制县级国土资源规划，制定相关政策法规，开展国土资源科技发展研究等。</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规范做好国土资源（海洋）各类规划编制和实施，全面推行国土资源（海洋）工作依法行政，推动普法工作落实，做好行政复议、行政应诉工作，推进国土资源（海洋）科技的应用和推广。</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国土资源（海洋）科技发展研究建设及外事交流活动完成率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87</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国土资源（海洋）业务管理综合统计及制度研究完成率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74</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54</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项目用地预审率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79</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410.21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做好国土资源相关综合性事务管理，保证行政工作高效有序运行。</w:t>
            </w:r>
          </w:p>
        </w:tc>
        <w:tc>
          <w:tcPr>
            <w:tcW w:w="2631"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提高国土资源（海洋）事业发展保障能力。</w:t>
            </w: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国土资源（海洋）财务管理工作完成率</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国土资源（海洋）宣传工作，及相关资料编写发布</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国土资源（海洋）信息安全体系建设</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国土资源（海洋）管理网络体系及相关数据、档案、信息服务管理</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631" w:type="dxa"/>
            <w:vMerge w:val="continue"/>
            <w:shd w:val="clear" w:color="auto" w:fill="auto"/>
            <w:vAlign w:val="center"/>
          </w:tcPr>
          <w:p>
            <w:pPr>
              <w:spacing w:line="300" w:lineRule="exact"/>
              <w:jc w:val="left"/>
              <w:rPr>
                <w:rFonts w:ascii="方正书宋_GBK" w:eastAsia="方正书宋_GBK"/>
              </w:rPr>
            </w:pPr>
          </w:p>
        </w:tc>
        <w:tc>
          <w:tcPr>
            <w:tcW w:w="116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保障国土资源（海洋）管理各项工作正常运行</w:t>
            </w:r>
          </w:p>
        </w:tc>
        <w:tc>
          <w:tcPr>
            <w:tcW w:w="81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w:t>
            </w:r>
          </w:p>
        </w:tc>
        <w:tc>
          <w:tcPr>
            <w:tcW w:w="95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w:t>
            </w:r>
          </w:p>
        </w:tc>
        <w:tc>
          <w:tcPr>
            <w:tcW w:w="90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72</w:t>
            </w:r>
            <w:r>
              <w:rPr>
                <w:rFonts w:hint="eastAsia" w:ascii="方正书宋_GBK" w:eastAsia="方正书宋_GBK"/>
              </w:rPr>
              <w:t>%</w:t>
            </w:r>
          </w:p>
        </w:tc>
        <w:tc>
          <w:tcPr>
            <w:tcW w:w="87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rPr>
              <w:t>%</w:t>
            </w:r>
          </w:p>
        </w:tc>
      </w:tr>
    </w:tbl>
    <w:p>
      <w:pPr>
        <w:spacing w:line="300" w:lineRule="exact"/>
        <w:jc w:val="left"/>
        <w:outlineLvl w:val="0"/>
        <w:sectPr>
          <w:pgSz w:w="16839" w:h="11907" w:orient="landscape"/>
          <w:pgMar w:top="1020" w:right="1361" w:bottom="1020" w:left="1361" w:header="851" w:footer="992" w:gutter="0"/>
          <w:cols w:space="0" w:num="1"/>
          <w:docGrid w:type="lines" w:linePitch="318" w:charSpace="0"/>
        </w:sectPr>
      </w:pPr>
    </w:p>
    <w:p>
      <w:pPr>
        <w:widowControl/>
        <w:ind w:left="643"/>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spacing w:line="560" w:lineRule="exact"/>
        <w:ind w:firstLine="640"/>
        <w:rPr>
          <w:rFonts w:ascii="仿宋_GB2312" w:hAnsi="黑体" w:eastAsia="仿宋_GB2312" w:cs="仿宋_GB2312"/>
          <w:sz w:val="32"/>
          <w:szCs w:val="32"/>
        </w:rPr>
      </w:pPr>
      <w:r>
        <w:rPr>
          <w:rFonts w:hint="eastAsia" w:ascii="仿宋_GB2312" w:hAnsi="黑体"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2021年我局政府采购事项为9.6万元，本年拟用于政府采购电脑、床、打印机、电视等，计9.6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36"/>
        <w:gridCol w:w="1105"/>
        <w:gridCol w:w="1080"/>
        <w:gridCol w:w="575"/>
        <w:gridCol w:w="324"/>
        <w:gridCol w:w="694"/>
        <w:gridCol w:w="714"/>
        <w:gridCol w:w="717"/>
        <w:gridCol w:w="708"/>
        <w:gridCol w:w="486"/>
        <w:gridCol w:w="458"/>
        <w:gridCol w:w="597"/>
        <w:gridCol w:w="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部门（单位）名称成安县自然资源和规划局</w:t>
            </w:r>
          </w:p>
        </w:tc>
        <w:tc>
          <w:tcPr>
            <w:tcW w:w="4240"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tblHeader/>
          <w:jc w:val="center"/>
        </w:trPr>
        <w:tc>
          <w:tcPr>
            <w:tcW w:w="1837" w:type="dxa"/>
            <w:gridSpan w:val="2"/>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10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08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7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32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69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240"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10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73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105" w:type="dxa"/>
            <w:vMerge w:val="continue"/>
            <w:vAlign w:val="center"/>
          </w:tcPr>
          <w:p>
            <w:pPr>
              <w:spacing w:line="560" w:lineRule="exact"/>
              <w:jc w:val="left"/>
              <w:outlineLvl w:val="0"/>
              <w:rPr>
                <w:rFonts w:ascii="宋体" w:hAnsi="宋体" w:eastAsia="宋体" w:cs="Times New Roman"/>
              </w:rPr>
            </w:pPr>
          </w:p>
        </w:tc>
        <w:tc>
          <w:tcPr>
            <w:tcW w:w="1080" w:type="dxa"/>
            <w:vMerge w:val="continue"/>
            <w:vAlign w:val="center"/>
          </w:tcPr>
          <w:p>
            <w:pPr>
              <w:spacing w:line="560" w:lineRule="exact"/>
              <w:jc w:val="left"/>
              <w:outlineLvl w:val="0"/>
              <w:rPr>
                <w:rFonts w:ascii="宋体" w:hAnsi="宋体" w:eastAsia="宋体" w:cs="Times New Roman"/>
              </w:rPr>
            </w:pPr>
          </w:p>
        </w:tc>
        <w:tc>
          <w:tcPr>
            <w:tcW w:w="575" w:type="dxa"/>
            <w:vMerge w:val="continue"/>
            <w:vAlign w:val="center"/>
          </w:tcPr>
          <w:p>
            <w:pPr>
              <w:spacing w:line="560" w:lineRule="exact"/>
              <w:jc w:val="left"/>
              <w:outlineLvl w:val="0"/>
              <w:rPr>
                <w:rFonts w:ascii="宋体" w:hAnsi="宋体" w:eastAsia="宋体" w:cs="Times New Roman"/>
              </w:rPr>
            </w:pPr>
          </w:p>
        </w:tc>
        <w:tc>
          <w:tcPr>
            <w:tcW w:w="324" w:type="dxa"/>
            <w:vMerge w:val="continue"/>
            <w:vAlign w:val="center"/>
          </w:tcPr>
          <w:p>
            <w:pPr>
              <w:spacing w:line="560" w:lineRule="exact"/>
              <w:jc w:val="left"/>
              <w:outlineLvl w:val="0"/>
              <w:rPr>
                <w:rFonts w:ascii="宋体" w:hAnsi="宋体" w:eastAsia="宋体" w:cs="Times New Roman"/>
              </w:rPr>
            </w:pPr>
          </w:p>
        </w:tc>
        <w:tc>
          <w:tcPr>
            <w:tcW w:w="694" w:type="dxa"/>
            <w:vMerge w:val="continue"/>
            <w:vAlign w:val="center"/>
          </w:tcPr>
          <w:p>
            <w:pPr>
              <w:spacing w:line="560" w:lineRule="exact"/>
              <w:jc w:val="left"/>
              <w:outlineLvl w:val="0"/>
              <w:rPr>
                <w:rFonts w:ascii="宋体" w:hAnsi="宋体" w:eastAsia="宋体" w:cs="Times New Roman"/>
              </w:rPr>
            </w:pPr>
          </w:p>
        </w:tc>
        <w:tc>
          <w:tcPr>
            <w:tcW w:w="71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966" w:type="dxa"/>
            <w:gridSpan w:val="5"/>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60"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01" w:type="dxa"/>
            <w:vMerge w:val="continue"/>
            <w:vAlign w:val="center"/>
          </w:tcPr>
          <w:p>
            <w:pPr>
              <w:spacing w:line="560" w:lineRule="exact"/>
              <w:jc w:val="left"/>
              <w:outlineLvl w:val="0"/>
              <w:rPr>
                <w:rFonts w:ascii="宋体" w:hAnsi="宋体" w:eastAsia="宋体" w:cs="Times New Roman"/>
              </w:rPr>
            </w:pPr>
          </w:p>
        </w:tc>
        <w:tc>
          <w:tcPr>
            <w:tcW w:w="736" w:type="dxa"/>
            <w:vMerge w:val="continue"/>
            <w:vAlign w:val="center"/>
          </w:tcPr>
          <w:p>
            <w:pPr>
              <w:spacing w:line="560" w:lineRule="exact"/>
              <w:jc w:val="left"/>
              <w:outlineLvl w:val="0"/>
              <w:rPr>
                <w:rFonts w:ascii="宋体" w:hAnsi="宋体" w:eastAsia="宋体" w:cs="Times New Roman"/>
              </w:rPr>
            </w:pPr>
          </w:p>
        </w:tc>
        <w:tc>
          <w:tcPr>
            <w:tcW w:w="1105" w:type="dxa"/>
            <w:vMerge w:val="continue"/>
            <w:vAlign w:val="center"/>
          </w:tcPr>
          <w:p>
            <w:pPr>
              <w:spacing w:line="560" w:lineRule="exact"/>
              <w:jc w:val="left"/>
              <w:outlineLvl w:val="0"/>
              <w:rPr>
                <w:rFonts w:ascii="宋体" w:hAnsi="宋体" w:eastAsia="宋体" w:cs="Times New Roman"/>
              </w:rPr>
            </w:pPr>
          </w:p>
        </w:tc>
        <w:tc>
          <w:tcPr>
            <w:tcW w:w="1080" w:type="dxa"/>
            <w:vMerge w:val="continue"/>
            <w:vAlign w:val="center"/>
          </w:tcPr>
          <w:p>
            <w:pPr>
              <w:spacing w:line="560" w:lineRule="exact"/>
              <w:jc w:val="left"/>
              <w:outlineLvl w:val="0"/>
              <w:rPr>
                <w:rFonts w:ascii="宋体" w:hAnsi="宋体" w:eastAsia="宋体" w:cs="Times New Roman"/>
              </w:rPr>
            </w:pPr>
          </w:p>
        </w:tc>
        <w:tc>
          <w:tcPr>
            <w:tcW w:w="575" w:type="dxa"/>
            <w:vMerge w:val="continue"/>
            <w:vAlign w:val="center"/>
          </w:tcPr>
          <w:p>
            <w:pPr>
              <w:spacing w:line="560" w:lineRule="exact"/>
              <w:jc w:val="left"/>
              <w:outlineLvl w:val="0"/>
              <w:rPr>
                <w:rFonts w:ascii="宋体" w:hAnsi="宋体" w:eastAsia="宋体" w:cs="Times New Roman"/>
              </w:rPr>
            </w:pPr>
          </w:p>
        </w:tc>
        <w:tc>
          <w:tcPr>
            <w:tcW w:w="324" w:type="dxa"/>
            <w:vMerge w:val="continue"/>
            <w:vAlign w:val="center"/>
          </w:tcPr>
          <w:p>
            <w:pPr>
              <w:spacing w:line="560" w:lineRule="exact"/>
              <w:jc w:val="left"/>
              <w:outlineLvl w:val="0"/>
              <w:rPr>
                <w:rFonts w:ascii="宋体" w:hAnsi="宋体" w:eastAsia="宋体" w:cs="Times New Roman"/>
              </w:rPr>
            </w:pPr>
          </w:p>
        </w:tc>
        <w:tc>
          <w:tcPr>
            <w:tcW w:w="694" w:type="dxa"/>
            <w:vMerge w:val="continue"/>
            <w:vAlign w:val="center"/>
          </w:tcPr>
          <w:p>
            <w:pPr>
              <w:spacing w:line="560" w:lineRule="exact"/>
              <w:jc w:val="left"/>
              <w:outlineLvl w:val="0"/>
              <w:rPr>
                <w:rFonts w:ascii="宋体" w:hAnsi="宋体" w:eastAsia="宋体" w:cs="Times New Roman"/>
              </w:rPr>
            </w:pPr>
          </w:p>
        </w:tc>
        <w:tc>
          <w:tcPr>
            <w:tcW w:w="714" w:type="dxa"/>
            <w:vMerge w:val="continue"/>
            <w:vAlign w:val="center"/>
          </w:tcPr>
          <w:p>
            <w:pPr>
              <w:spacing w:line="560" w:lineRule="exact"/>
              <w:jc w:val="left"/>
              <w:outlineLvl w:val="0"/>
              <w:rPr>
                <w:rFonts w:ascii="宋体" w:hAnsi="宋体" w:eastAsia="宋体" w:cs="Times New Roman"/>
              </w:rPr>
            </w:pPr>
          </w:p>
        </w:tc>
        <w:tc>
          <w:tcPr>
            <w:tcW w:w="71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08"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48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458"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97"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60" w:type="dxa"/>
            <w:vMerge w:val="continue"/>
            <w:vAlign w:val="center"/>
          </w:tcPr>
          <w:p>
            <w:pPr>
              <w:spacing w:line="2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10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9.6</w:t>
            </w:r>
          </w:p>
        </w:tc>
        <w:tc>
          <w:tcPr>
            <w:tcW w:w="1105" w:type="dxa"/>
            <w:vAlign w:val="center"/>
          </w:tcPr>
          <w:p>
            <w:pPr>
              <w:spacing w:line="560" w:lineRule="exact"/>
              <w:jc w:val="left"/>
              <w:rPr>
                <w:rFonts w:ascii="宋体" w:hAnsi="宋体" w:eastAsia="宋体" w:cs="Times New Roman"/>
                <w:b/>
                <w:bCs/>
              </w:rPr>
            </w:pPr>
          </w:p>
        </w:tc>
        <w:tc>
          <w:tcPr>
            <w:tcW w:w="1080" w:type="dxa"/>
            <w:vAlign w:val="center"/>
          </w:tcPr>
          <w:p>
            <w:pPr>
              <w:spacing w:line="560" w:lineRule="exact"/>
              <w:jc w:val="left"/>
              <w:rPr>
                <w:rFonts w:ascii="宋体" w:hAnsi="宋体" w:eastAsia="宋体" w:cs="Times New Roman"/>
                <w:b/>
                <w:bCs/>
              </w:rPr>
            </w:pPr>
          </w:p>
        </w:tc>
        <w:tc>
          <w:tcPr>
            <w:tcW w:w="575" w:type="dxa"/>
            <w:vAlign w:val="center"/>
          </w:tcPr>
          <w:p>
            <w:pPr>
              <w:spacing w:line="560" w:lineRule="exact"/>
              <w:jc w:val="left"/>
              <w:rPr>
                <w:rFonts w:ascii="宋体" w:hAnsi="宋体" w:eastAsia="宋体" w:cs="Times New Roman"/>
                <w:b/>
                <w:bCs/>
              </w:rPr>
            </w:pPr>
          </w:p>
        </w:tc>
        <w:tc>
          <w:tcPr>
            <w:tcW w:w="324" w:type="dxa"/>
            <w:vAlign w:val="center"/>
          </w:tcPr>
          <w:p>
            <w:pPr>
              <w:spacing w:line="560" w:lineRule="exact"/>
              <w:jc w:val="right"/>
              <w:rPr>
                <w:rFonts w:ascii="宋体" w:hAnsi="宋体" w:eastAsia="宋体" w:cs="Times New Roman"/>
                <w:b/>
                <w:bCs/>
              </w:rPr>
            </w:pPr>
          </w:p>
        </w:tc>
        <w:tc>
          <w:tcPr>
            <w:tcW w:w="694" w:type="dxa"/>
            <w:vAlign w:val="center"/>
          </w:tcPr>
          <w:p>
            <w:pPr>
              <w:spacing w:line="560" w:lineRule="exact"/>
              <w:jc w:val="right"/>
              <w:rPr>
                <w:rFonts w:ascii="宋体" w:hAnsi="宋体" w:eastAsia="宋体" w:cs="Times New Roman"/>
                <w:b/>
                <w:bCs/>
              </w:rPr>
            </w:pP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9.6</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9.6</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9.6</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A0201060199</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1.05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0.28</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床</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A0999</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张</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4</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0.07</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0.28</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0.28</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0.28</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空调</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A0206180203</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1.05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1.05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电视</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A020812IP</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0.25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1.43</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柜子</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A0999</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个</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0.12</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1.43</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1.43</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1.43</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01"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2.24</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A0201060199</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8</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0.28</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2.24</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2.24</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2.24</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0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highlight w:val="none"/>
                <w:lang w:eastAsia="zh-CN"/>
              </w:rPr>
              <w:t>日常公用经费</w:t>
            </w:r>
          </w:p>
        </w:tc>
        <w:tc>
          <w:tcPr>
            <w:tcW w:w="73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3.3</w:t>
            </w:r>
          </w:p>
        </w:tc>
        <w:tc>
          <w:tcPr>
            <w:tcW w:w="110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电脑</w:t>
            </w:r>
          </w:p>
        </w:tc>
        <w:tc>
          <w:tcPr>
            <w:tcW w:w="108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A02010199</w:t>
            </w:r>
          </w:p>
        </w:tc>
        <w:tc>
          <w:tcPr>
            <w:tcW w:w="575"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3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0.30</w:t>
            </w:r>
          </w:p>
        </w:tc>
        <w:tc>
          <w:tcPr>
            <w:tcW w:w="71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3.3</w:t>
            </w:r>
          </w:p>
        </w:tc>
        <w:tc>
          <w:tcPr>
            <w:tcW w:w="71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3.3</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3.3</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bl>
    <w:p>
      <w:pPr>
        <w:widowControl/>
        <w:ind w:left="643"/>
        <w:jc w:val="left"/>
        <w:rPr>
          <w:rFonts w:ascii="黑体" w:hAnsi="黑体" w:eastAsia="黑体" w:cs="Calibri"/>
          <w:kern w:val="0"/>
          <w:sz w:val="32"/>
          <w:szCs w:val="32"/>
        </w:rPr>
      </w:pPr>
      <w:r>
        <w:rPr>
          <w:rFonts w:hint="eastAsia" w:ascii="黑体" w:hAnsi="黑体" w:eastAsia="黑体" w:cs="Calibri"/>
          <w:kern w:val="0"/>
          <w:sz w:val="32"/>
          <w:szCs w:val="32"/>
        </w:rPr>
        <w:t>七、国有资产情况的说明</w:t>
      </w:r>
    </w:p>
    <w:p>
      <w:pPr>
        <w:spacing w:line="560" w:lineRule="exact"/>
        <w:ind w:firstLine="640"/>
        <w:rPr>
          <w:rFonts w:ascii="仿宋_GB2312" w:hAnsi="黑体" w:eastAsia="仿宋_GB2312" w:cs="仿宋_GB2312"/>
          <w:color w:val="FF0000"/>
          <w:sz w:val="32"/>
          <w:szCs w:val="32"/>
        </w:rPr>
      </w:pPr>
      <w:r>
        <w:rPr>
          <w:rFonts w:hint="eastAsia" w:ascii="仿宋_GB2312" w:hAnsi="黑体" w:eastAsia="仿宋_GB2312" w:cs="仿宋_GB2312"/>
          <w:sz w:val="32"/>
          <w:szCs w:val="32"/>
        </w:rPr>
        <w:t>成安县自然资源和规划局</w:t>
      </w:r>
      <w:r>
        <w:rPr>
          <w:rFonts w:hint="eastAsia" w:ascii="仿宋_GB2312" w:hAnsi="宋体" w:eastAsia="仿宋_GB2312" w:cs="宋体"/>
          <w:kern w:val="0"/>
          <w:sz w:val="32"/>
          <w:szCs w:val="32"/>
        </w:rPr>
        <w:t>截止上年</w:t>
      </w:r>
      <w:r>
        <w:rPr>
          <w:rFonts w:hint="eastAsia" w:ascii="仿宋_GB2312" w:hAnsi="Calibri" w:eastAsia="仿宋_GB2312" w:cs="仿宋_GB2312"/>
          <w:kern w:val="0"/>
          <w:sz w:val="32"/>
          <w:szCs w:val="32"/>
        </w:rPr>
        <w:t>末固定资产帐面结余780.888397万元。其中：房屋价值435.683154万元，车辆价值123.2057万元，其它资产办公用电脑、办公家具、专用设备等价值221.999543万元。2021年我单位拟购置9.6万元。</w:t>
      </w:r>
    </w:p>
    <w:p>
      <w:pPr>
        <w:spacing w:line="560" w:lineRule="exact"/>
        <w:ind w:firstLine="640" w:firstLineChars="200"/>
        <w:rPr>
          <w:rFonts w:ascii="仿宋_GB2312" w:hAnsi="黑体" w:eastAsia="仿宋_GB2312" w:cs="Times New Roman"/>
          <w:color w:val="FF0000"/>
          <w:sz w:val="32"/>
          <w:szCs w:val="32"/>
        </w:rPr>
      </w:pPr>
      <w:r>
        <w:rPr>
          <w:rFonts w:hint="eastAsia" w:ascii="仿宋_GB2312" w:hAnsi="黑体" w:eastAsia="仿宋_GB2312" w:cs="仿宋_GB2312"/>
          <w:sz w:val="32"/>
          <w:szCs w:val="32"/>
        </w:rPr>
        <w:t>.</w:t>
      </w:r>
    </w:p>
    <w:tbl>
      <w:tblPr>
        <w:tblStyle w:val="7"/>
        <w:tblW w:w="9855" w:type="dxa"/>
        <w:tblInd w:w="-106" w:type="dxa"/>
        <w:tblLayout w:type="fixed"/>
        <w:tblCellMar>
          <w:top w:w="0" w:type="dxa"/>
          <w:left w:w="108" w:type="dxa"/>
          <w:bottom w:w="0" w:type="dxa"/>
          <w:right w:w="108" w:type="dxa"/>
        </w:tblCellMar>
      </w:tblPr>
      <w:tblGrid>
        <w:gridCol w:w="4042"/>
        <w:gridCol w:w="1390"/>
        <w:gridCol w:w="4423"/>
      </w:tblGrid>
      <w:tr>
        <w:tblPrEx>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编制部门：成安县自然资源和规划局</w:t>
            </w:r>
          </w:p>
        </w:tc>
        <w:tc>
          <w:tcPr>
            <w:tcW w:w="4423"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截止时间：2020年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p>
        </w:tc>
      </w:tr>
      <w:tr>
        <w:tblPrEx>
          <w:tblCellMar>
            <w:top w:w="0" w:type="dxa"/>
            <w:left w:w="108" w:type="dxa"/>
            <w:bottom w:w="0" w:type="dxa"/>
            <w:right w:w="108" w:type="dxa"/>
          </w:tblCellMar>
        </w:tblPrEx>
        <w:trPr>
          <w:trHeight w:val="645" w:hRule="atLeast"/>
        </w:trPr>
        <w:tc>
          <w:tcPr>
            <w:tcW w:w="4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仿宋_GB2312" w:hAnsi="Calibri" w:eastAsia="仿宋_GB2312" w:cs="仿宋_GB2312"/>
                <w:kern w:val="0"/>
                <w:sz w:val="32"/>
                <w:szCs w:val="32"/>
              </w:rPr>
              <w:t>780.888397</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1244.56</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435.683154</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1244.56</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435.683154</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9</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123.2057</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221.999543</w:t>
            </w:r>
          </w:p>
        </w:tc>
      </w:tr>
    </w:tbl>
    <w:p>
      <w:pPr>
        <w:widowControl/>
        <w:ind w:firstLine="643" w:firstLineChars="200"/>
        <w:jc w:val="left"/>
        <w:rPr>
          <w:rFonts w:ascii="仿宋_GB2312" w:hAnsi="Calibri" w:eastAsia="仿宋_GB2312" w:cs="仿宋_GB2312"/>
          <w:b/>
          <w:kern w:val="0"/>
          <w:sz w:val="32"/>
          <w:szCs w:val="32"/>
        </w:rPr>
      </w:pPr>
    </w:p>
    <w:p>
      <w:pPr>
        <w:widowControl/>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宋体" w:hAnsi="宋体" w:eastAsia="宋体" w:cs="宋体"/>
          <w:kern w:val="0"/>
          <w:sz w:val="32"/>
          <w:szCs w:val="32"/>
        </w:rPr>
        <w:t> </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bCs/>
          <w:kern w:val="0"/>
          <w:sz w:val="32"/>
          <w:szCs w:val="32"/>
        </w:rPr>
        <w:t>1、财政拨款收入：指</w:t>
      </w:r>
      <w:r>
        <w:rPr>
          <w:rFonts w:hint="eastAsia" w:ascii="仿宋_GB2312" w:hAnsi="仿宋" w:eastAsia="仿宋_GB2312" w:cs="仿宋"/>
          <w:kern w:val="0"/>
          <w:sz w:val="32"/>
          <w:szCs w:val="32"/>
        </w:rPr>
        <w:t>财政当年拨付的资金。</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ind w:firstLine="640" w:firstLineChars="200"/>
        <w:jc w:val="left"/>
        <w:rPr>
          <w:rFonts w:ascii="仿宋_GB2312" w:hAnsi="仿宋" w:eastAsia="仿宋_GB2312" w:cs="仿宋"/>
          <w:kern w:val="0"/>
          <w:sz w:val="32"/>
          <w:szCs w:val="32"/>
        </w:rPr>
      </w:pPr>
      <w:r>
        <w:rPr>
          <w:rFonts w:hint="eastAsia" w:ascii="仿宋_GB2312" w:hAnsi="微软雅黑" w:eastAsia="仿宋_GB2312" w:cs="微软雅黑"/>
          <w:kern w:val="0"/>
          <w:sz w:val="32"/>
          <w:szCs w:val="32"/>
        </w:rPr>
        <w:t xml:space="preserve"> 3</w:t>
      </w:r>
      <w:r>
        <w:rPr>
          <w:rFonts w:hint="eastAsia" w:ascii="仿宋_GB2312" w:hAnsi="仿宋" w:eastAsia="仿宋_GB2312" w:cs="仿宋"/>
          <w:b/>
          <w:kern w:val="0"/>
          <w:sz w:val="32"/>
          <w:szCs w:val="32"/>
        </w:rPr>
        <w:t>、</w:t>
      </w:r>
      <w:r>
        <w:rPr>
          <w:rFonts w:hint="eastAsia" w:ascii="仿宋_GB2312" w:hAnsi="仿宋" w:eastAsia="仿宋_GB2312" w:cs="仿宋"/>
          <w:kern w:val="0"/>
          <w:sz w:val="32"/>
          <w:szCs w:val="32"/>
        </w:rPr>
        <w:t>年初结转和结余：指以前年度尚未完成，结转到本年仍按照原规定用途继续使用的资金，或项目已完成等产生的结余资金。</w:t>
      </w:r>
    </w:p>
    <w:p>
      <w:pPr>
        <w:widowControl/>
        <w:ind w:firstLine="482" w:firstLineChars="150"/>
        <w:jc w:val="left"/>
        <w:rPr>
          <w:rFonts w:ascii="仿宋" w:hAnsi="仿宋" w:eastAsia="仿宋_GB2312" w:cs="仿宋"/>
          <w:kern w:val="0"/>
          <w:sz w:val="32"/>
          <w:szCs w:val="32"/>
        </w:rPr>
      </w:pPr>
      <w:r>
        <w:rPr>
          <w:rFonts w:hint="eastAsia" w:ascii="仿宋" w:hAnsi="仿宋" w:eastAsia="仿宋_GB2312" w:cs="仿宋"/>
          <w:b/>
          <w:kern w:val="0"/>
          <w:sz w:val="32"/>
          <w:szCs w:val="32"/>
        </w:rPr>
        <w:t> </w:t>
      </w:r>
      <w:r>
        <w:rPr>
          <w:rFonts w:hint="eastAsia" w:ascii="仿宋_GB2312" w:hAnsi="仿宋" w:eastAsia="仿宋_GB2312" w:cs="仿宋"/>
          <w:kern w:val="0"/>
          <w:sz w:val="32"/>
          <w:szCs w:val="32"/>
        </w:rPr>
        <w:t>4、基本支出：指单位为了保障其正常运转、完成日常工作任务而发生的人员支出和公用支出。</w:t>
      </w:r>
      <w:r>
        <w:rPr>
          <w:rFonts w:hint="eastAsia" w:ascii="仿宋" w:hAnsi="仿宋" w:eastAsia="仿宋_GB2312" w:cs="仿宋"/>
          <w:kern w:val="0"/>
          <w:sz w:val="32"/>
          <w:szCs w:val="32"/>
        </w:rPr>
        <w:t> </w:t>
      </w:r>
    </w:p>
    <w:p>
      <w:pPr>
        <w:widowControl/>
        <w:ind w:firstLine="800" w:firstLineChars="250"/>
        <w:jc w:val="left"/>
        <w:rPr>
          <w:rFonts w:ascii="仿宋_GB2312" w:hAnsi="仿宋" w:eastAsia="仿宋_GB2312" w:cs="仿宋"/>
          <w:kern w:val="0"/>
          <w:sz w:val="32"/>
          <w:szCs w:val="32"/>
        </w:rPr>
      </w:pPr>
      <w:r>
        <w:rPr>
          <w:rFonts w:hint="eastAsia" w:ascii="仿宋_GB2312" w:hAnsi="仿宋" w:eastAsia="仿宋_GB2312"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_GB2312" w:eastAsia="仿宋_GB2312"/>
          <w:sz w:val="32"/>
          <w:szCs w:val="32"/>
        </w:rPr>
      </w:pPr>
      <w:r>
        <w:rPr>
          <w:rFonts w:hint="eastAsia" w:ascii="仿宋" w:hAnsi="仿宋" w:eastAsia="仿宋" w:cs="仿宋"/>
          <w:kern w:val="0"/>
          <w:sz w:val="32"/>
          <w:szCs w:val="32"/>
        </w:rPr>
        <w:t>无其他需要说明的事项。</w:t>
      </w: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661740"/>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F352C"/>
    <w:multiLevelType w:val="multilevel"/>
    <w:tmpl w:val="462F352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88057F"/>
    <w:multiLevelType w:val="singleLevel"/>
    <w:tmpl w:val="6188057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10D6"/>
    <w:rsid w:val="000019F2"/>
    <w:rsid w:val="00040D7B"/>
    <w:rsid w:val="000D63CB"/>
    <w:rsid w:val="000F0CC0"/>
    <w:rsid w:val="001107D2"/>
    <w:rsid w:val="00131694"/>
    <w:rsid w:val="00143DA4"/>
    <w:rsid w:val="00170E54"/>
    <w:rsid w:val="001F75AF"/>
    <w:rsid w:val="002E3A95"/>
    <w:rsid w:val="002F2DD8"/>
    <w:rsid w:val="00307B5C"/>
    <w:rsid w:val="00322E21"/>
    <w:rsid w:val="003B03E7"/>
    <w:rsid w:val="00441C29"/>
    <w:rsid w:val="0049005E"/>
    <w:rsid w:val="004E5222"/>
    <w:rsid w:val="00527056"/>
    <w:rsid w:val="00593C87"/>
    <w:rsid w:val="005C0C25"/>
    <w:rsid w:val="005D136A"/>
    <w:rsid w:val="005D2678"/>
    <w:rsid w:val="00620507"/>
    <w:rsid w:val="0062621A"/>
    <w:rsid w:val="00631136"/>
    <w:rsid w:val="00663954"/>
    <w:rsid w:val="00664322"/>
    <w:rsid w:val="0068269C"/>
    <w:rsid w:val="00685811"/>
    <w:rsid w:val="006921AF"/>
    <w:rsid w:val="006A1386"/>
    <w:rsid w:val="006D1C5B"/>
    <w:rsid w:val="006D5149"/>
    <w:rsid w:val="00733829"/>
    <w:rsid w:val="007416BC"/>
    <w:rsid w:val="007A507B"/>
    <w:rsid w:val="007C68F5"/>
    <w:rsid w:val="007D6BF0"/>
    <w:rsid w:val="008058DC"/>
    <w:rsid w:val="00843B5A"/>
    <w:rsid w:val="008571D8"/>
    <w:rsid w:val="00860A1E"/>
    <w:rsid w:val="0088383D"/>
    <w:rsid w:val="008C7744"/>
    <w:rsid w:val="008F0398"/>
    <w:rsid w:val="00935893"/>
    <w:rsid w:val="00991DBE"/>
    <w:rsid w:val="009A165A"/>
    <w:rsid w:val="009D4206"/>
    <w:rsid w:val="009D482C"/>
    <w:rsid w:val="00A01314"/>
    <w:rsid w:val="00A043F6"/>
    <w:rsid w:val="00A07D70"/>
    <w:rsid w:val="00A07E36"/>
    <w:rsid w:val="00A21BBE"/>
    <w:rsid w:val="00A55A6A"/>
    <w:rsid w:val="00A60B93"/>
    <w:rsid w:val="00A77C1B"/>
    <w:rsid w:val="00BC6AD4"/>
    <w:rsid w:val="00BD1F79"/>
    <w:rsid w:val="00C00535"/>
    <w:rsid w:val="00C048E3"/>
    <w:rsid w:val="00C1359E"/>
    <w:rsid w:val="00C13FD2"/>
    <w:rsid w:val="00C67E67"/>
    <w:rsid w:val="00D269B0"/>
    <w:rsid w:val="00D31302"/>
    <w:rsid w:val="00D605BA"/>
    <w:rsid w:val="00D86AF1"/>
    <w:rsid w:val="00DA4DBC"/>
    <w:rsid w:val="00DC03D9"/>
    <w:rsid w:val="00E37B16"/>
    <w:rsid w:val="00E55341"/>
    <w:rsid w:val="00E810D6"/>
    <w:rsid w:val="00E943AA"/>
    <w:rsid w:val="00EF6AEE"/>
    <w:rsid w:val="00F911C1"/>
    <w:rsid w:val="00FC4F55"/>
    <w:rsid w:val="013B67CD"/>
    <w:rsid w:val="01CA412B"/>
    <w:rsid w:val="02435755"/>
    <w:rsid w:val="037D399A"/>
    <w:rsid w:val="03B213E5"/>
    <w:rsid w:val="06096D52"/>
    <w:rsid w:val="06550E5D"/>
    <w:rsid w:val="065B4D53"/>
    <w:rsid w:val="069A04F8"/>
    <w:rsid w:val="071F6BC2"/>
    <w:rsid w:val="0726741C"/>
    <w:rsid w:val="07316150"/>
    <w:rsid w:val="08D34D69"/>
    <w:rsid w:val="09E50DB9"/>
    <w:rsid w:val="0BB65E4B"/>
    <w:rsid w:val="0BB759F9"/>
    <w:rsid w:val="0BFF7C14"/>
    <w:rsid w:val="0CB72F7C"/>
    <w:rsid w:val="0CBF7A43"/>
    <w:rsid w:val="0DD4180B"/>
    <w:rsid w:val="0E0669F4"/>
    <w:rsid w:val="100A173A"/>
    <w:rsid w:val="130B706D"/>
    <w:rsid w:val="139106CF"/>
    <w:rsid w:val="13DE0FA8"/>
    <w:rsid w:val="140D4044"/>
    <w:rsid w:val="142D3924"/>
    <w:rsid w:val="14F5713F"/>
    <w:rsid w:val="163506CD"/>
    <w:rsid w:val="17252863"/>
    <w:rsid w:val="172772F2"/>
    <w:rsid w:val="175940C0"/>
    <w:rsid w:val="17C16AC9"/>
    <w:rsid w:val="180D78B9"/>
    <w:rsid w:val="1AEF7278"/>
    <w:rsid w:val="1B2A5EA4"/>
    <w:rsid w:val="1CC97251"/>
    <w:rsid w:val="1CEB0A1C"/>
    <w:rsid w:val="1E8167C1"/>
    <w:rsid w:val="1EAA0AE1"/>
    <w:rsid w:val="204927BF"/>
    <w:rsid w:val="20DC54E9"/>
    <w:rsid w:val="21B66276"/>
    <w:rsid w:val="228819EE"/>
    <w:rsid w:val="2716314B"/>
    <w:rsid w:val="278A2860"/>
    <w:rsid w:val="288A4B30"/>
    <w:rsid w:val="28E516DB"/>
    <w:rsid w:val="299267B6"/>
    <w:rsid w:val="2AD57C75"/>
    <w:rsid w:val="2BAA47A7"/>
    <w:rsid w:val="2D846FBE"/>
    <w:rsid w:val="2DCE40BA"/>
    <w:rsid w:val="2DFE1EEC"/>
    <w:rsid w:val="2E066AE5"/>
    <w:rsid w:val="2E2777CE"/>
    <w:rsid w:val="2EE04A84"/>
    <w:rsid w:val="304B55E8"/>
    <w:rsid w:val="31D059F4"/>
    <w:rsid w:val="32B93421"/>
    <w:rsid w:val="332A0BBD"/>
    <w:rsid w:val="3387759D"/>
    <w:rsid w:val="351C5D1D"/>
    <w:rsid w:val="355058A3"/>
    <w:rsid w:val="36DF5EE5"/>
    <w:rsid w:val="37857DA2"/>
    <w:rsid w:val="38963AA1"/>
    <w:rsid w:val="393E4CFD"/>
    <w:rsid w:val="39461E7C"/>
    <w:rsid w:val="39A75722"/>
    <w:rsid w:val="3A593FD7"/>
    <w:rsid w:val="3B6E7B6E"/>
    <w:rsid w:val="3C712CD5"/>
    <w:rsid w:val="3CEC5D53"/>
    <w:rsid w:val="3DD269BA"/>
    <w:rsid w:val="3F184E05"/>
    <w:rsid w:val="422C110C"/>
    <w:rsid w:val="441C57E9"/>
    <w:rsid w:val="44240E6E"/>
    <w:rsid w:val="4427762F"/>
    <w:rsid w:val="44986D47"/>
    <w:rsid w:val="452565BB"/>
    <w:rsid w:val="453F2DCC"/>
    <w:rsid w:val="456A5D0D"/>
    <w:rsid w:val="457C0C14"/>
    <w:rsid w:val="45907E61"/>
    <w:rsid w:val="45B90BF3"/>
    <w:rsid w:val="460143F1"/>
    <w:rsid w:val="475B18CD"/>
    <w:rsid w:val="48847682"/>
    <w:rsid w:val="49A76DB8"/>
    <w:rsid w:val="4A4F1F05"/>
    <w:rsid w:val="4B7040C7"/>
    <w:rsid w:val="4CA957E7"/>
    <w:rsid w:val="4D9730D4"/>
    <w:rsid w:val="4DFA2B01"/>
    <w:rsid w:val="4E4335D2"/>
    <w:rsid w:val="505D7F08"/>
    <w:rsid w:val="50FC5E1B"/>
    <w:rsid w:val="53672701"/>
    <w:rsid w:val="553A5DED"/>
    <w:rsid w:val="56026CEB"/>
    <w:rsid w:val="569B6C16"/>
    <w:rsid w:val="59AF56D7"/>
    <w:rsid w:val="5ABB126B"/>
    <w:rsid w:val="5B2B3FCD"/>
    <w:rsid w:val="5B867A8D"/>
    <w:rsid w:val="5BAE356C"/>
    <w:rsid w:val="5BBD4DA1"/>
    <w:rsid w:val="5CB07A05"/>
    <w:rsid w:val="5ED17601"/>
    <w:rsid w:val="5EFD7AED"/>
    <w:rsid w:val="5F545477"/>
    <w:rsid w:val="5F7B3FCA"/>
    <w:rsid w:val="60A45202"/>
    <w:rsid w:val="60FA3F31"/>
    <w:rsid w:val="612A3987"/>
    <w:rsid w:val="612F2391"/>
    <w:rsid w:val="61897173"/>
    <w:rsid w:val="62F13DAE"/>
    <w:rsid w:val="634935BB"/>
    <w:rsid w:val="63F21B1B"/>
    <w:rsid w:val="65493192"/>
    <w:rsid w:val="666C26EF"/>
    <w:rsid w:val="6B336532"/>
    <w:rsid w:val="6B511389"/>
    <w:rsid w:val="6D5763C1"/>
    <w:rsid w:val="6D81148F"/>
    <w:rsid w:val="6E8006EE"/>
    <w:rsid w:val="6EA31E55"/>
    <w:rsid w:val="6ECC4D84"/>
    <w:rsid w:val="70BA2DA1"/>
    <w:rsid w:val="71B87B2B"/>
    <w:rsid w:val="729B4F6A"/>
    <w:rsid w:val="733E01F4"/>
    <w:rsid w:val="7424079F"/>
    <w:rsid w:val="748815AC"/>
    <w:rsid w:val="74D4598A"/>
    <w:rsid w:val="76FD3FC3"/>
    <w:rsid w:val="776F4BB9"/>
    <w:rsid w:val="79EE2C0C"/>
    <w:rsid w:val="7AA5545A"/>
    <w:rsid w:val="7BAA5900"/>
    <w:rsid w:val="7D764359"/>
    <w:rsid w:val="7D9A3104"/>
    <w:rsid w:val="7DB94919"/>
    <w:rsid w:val="7E3F0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列出段落1"/>
    <w:basedOn w:val="1"/>
    <w:unhideWhenUsed/>
    <w:qFormat/>
    <w:uiPriority w:val="99"/>
    <w:pPr>
      <w:ind w:firstLine="420" w:firstLineChars="200"/>
    </w:pPr>
  </w:style>
  <w:style w:type="paragraph" w:customStyle="1" w:styleId="12">
    <w:name w:val="列出段落2"/>
    <w:basedOn w:val="1"/>
    <w:unhideWhenUsed/>
    <w:qFormat/>
    <w:uiPriority w:val="99"/>
    <w:pPr>
      <w:ind w:firstLine="420" w:firstLineChars="200"/>
    </w:pPr>
  </w:style>
  <w:style w:type="character" w:customStyle="1" w:styleId="13">
    <w:name w:val="批注框文本 Char"/>
    <w:basedOn w:val="8"/>
    <w:link w:val="2"/>
    <w:semiHidden/>
    <w:uiPriority w:val="99"/>
    <w:rPr>
      <w:rFonts w:asciiTheme="minorHAnsi" w:hAnsiTheme="minorHAnsi" w:eastAsiaTheme="minorEastAsia" w:cstheme="minorBidi"/>
      <w:kern w:val="2"/>
      <w:sz w:val="18"/>
      <w:szCs w:val="18"/>
    </w:rPr>
  </w:style>
  <w:style w:type="paragraph" w:customStyle="1" w:styleId="14">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博奥公司</Company>
  <Pages>1</Pages>
  <Words>850</Words>
  <Characters>4851</Characters>
  <Lines>40</Lines>
  <Paragraphs>11</Paragraphs>
  <TotalTime>5</TotalTime>
  <ScaleCrop>false</ScaleCrop>
  <LinksUpToDate>false</LinksUpToDate>
  <CharactersWithSpaces>5690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2018-04-04T01:26:00Z</dcterms:created>
  <dc:creator>lenovo</dc:creator>
  <cp:lastModifiedBy>Administrator</cp:lastModifiedBy>
  <cp:lastPrinted>2017-05-18T02:05:00Z</cp:lastPrinted>
  <dcterms:modified xsi:type="dcterms:W3CDTF">2021-05-18T02:54:01Z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F4AC1247709A4F2FBD09CADC2AFF0B1C</vt:lpwstr>
  </property>
</Properties>
</file>