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仿宋" w:asciiTheme="majorEastAsia" w:hAnsiTheme="majorEastAsia" w:eastAsiaTheme="majorEastAsia"/>
          <w:b/>
          <w:kern w:val="0"/>
          <w:sz w:val="44"/>
          <w:szCs w:val="44"/>
        </w:rPr>
      </w:pP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成安县审计局</w:t>
      </w:r>
    </w:p>
    <w:p>
      <w:pPr>
        <w:jc w:val="center"/>
        <w:rPr>
          <w:rFonts w:cs="仿宋" w:asciiTheme="majorEastAsia" w:hAnsiTheme="majorEastAsia" w:eastAsiaTheme="majorEastAsia"/>
          <w:b/>
          <w:kern w:val="0"/>
          <w:sz w:val="44"/>
          <w:szCs w:val="44"/>
        </w:rPr>
      </w:pPr>
      <w:r>
        <w:rPr>
          <w:rFonts w:hint="eastAsia" w:cs="仿宋" w:asciiTheme="majorEastAsia" w:hAnsiTheme="majorEastAsia" w:eastAsiaTheme="majorEastAsia"/>
          <w:b/>
          <w:kern w:val="0"/>
          <w:sz w:val="44"/>
          <w:szCs w:val="44"/>
        </w:rPr>
        <w:t>2021年部门预算公开情况说明</w:t>
      </w:r>
    </w:p>
    <w:p>
      <w:pPr>
        <w:spacing w:line="580" w:lineRule="exact"/>
        <w:ind w:firstLine="640" w:firstLineChars="200"/>
        <w:rPr>
          <w:rFonts w:ascii="黑体" w:hAnsi="黑体" w:eastAsia="黑体" w:cs="黑体"/>
          <w:bCs/>
          <w:sz w:val="32"/>
          <w:szCs w:val="32"/>
        </w:rPr>
      </w:pPr>
    </w:p>
    <w:p>
      <w:pPr>
        <w:spacing w:line="580" w:lineRule="exact"/>
        <w:ind w:firstLine="640" w:firstLineChars="200"/>
        <w:rPr>
          <w:rFonts w:ascii="仿宋" w:hAnsi="仿宋" w:eastAsia="仿宋" w:cs="仿宋"/>
          <w:b/>
          <w:kern w:val="0"/>
          <w:sz w:val="32"/>
          <w:szCs w:val="32"/>
        </w:rPr>
      </w:pPr>
      <w:r>
        <w:rPr>
          <w:rFonts w:hint="eastAsia" w:ascii="黑体" w:hAnsi="黑体" w:eastAsia="黑体" w:cs="黑体"/>
          <w:bCs/>
          <w:sz w:val="32"/>
          <w:szCs w:val="32"/>
        </w:rPr>
        <w:t>一、部门职责及机构设置情况</w:t>
      </w:r>
    </w:p>
    <w:p>
      <w:pPr>
        <w:spacing w:line="580" w:lineRule="exact"/>
        <w:ind w:firstLine="630" w:firstLineChars="196"/>
        <w:rPr>
          <w:rFonts w:ascii="楷体" w:hAnsi="楷体" w:eastAsia="楷体" w:cs="仿宋"/>
          <w:b/>
          <w:kern w:val="0"/>
          <w:sz w:val="32"/>
          <w:szCs w:val="32"/>
        </w:rPr>
      </w:pPr>
      <w:r>
        <w:rPr>
          <w:rFonts w:hint="eastAsia" w:ascii="楷体" w:hAnsi="楷体" w:eastAsia="楷体" w:cs="仿宋"/>
          <w:b/>
          <w:kern w:val="0"/>
          <w:sz w:val="32"/>
          <w:szCs w:val="32"/>
        </w:rPr>
        <w:t>部门职责：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县审计局在县政府和市审计局的领导下，负责县域内的审计工作。对县政府和市审计局负责并报告工作。审计业务以市审计局领导为主，主要对县财政预算执行、对县政府各部门，下设人民政府的财政收支、党政领导干部和国有控股企业领导人的任期经济责任、对地方金融机构全民所有制企业事业单位以及其他国有资产单位的财务收支进行审计监督，监督国有资产保值增值，监督社会中价组织执行法规情况，接受市审计局委派的审计项目。审计监督工作实行以有关法规为标准的统一领导、分级审计的原则，独立行使审计监督权。审计局的主要职责是：</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（一）组织领导全县审计工作，编制全县审计工作长远计划，年度计划，确定年度工作重点，研究制定年度工作重点，研究制定地方性审计业务法规和规章制度，指导行业和专项资金审计。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（二）直接进行下列审计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县政府各部门和接受县财政拨款的财政财务收支及资金使用效益。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县政府各部门和乡（镇）人民政府的预算外资金的收支及使用效益。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县政府财政预算执行情况。</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乡（镇）政府的财政预算、决算。</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党政领导干部和国有控股企业领导人员任期经济责任。</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对县属与国计民生有重大关系、上交利税或接受财政补贴较多或亏损额较大的县办国有企业实行定期审计。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地方金融、保险机构以及非银行金融机构的财务审计。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基本建设资金来源有开工前、施工中和竣工决算审计。</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县政府各部门管理和社会团体受县政府委托管理的</w:t>
      </w:r>
      <w:bookmarkStart w:id="0" w:name="_GoBack"/>
      <w:bookmarkEnd w:id="0"/>
      <w:r>
        <w:rPr>
          <w:rFonts w:hint="eastAsia" w:ascii="仿宋" w:hAnsi="仿宋" w:eastAsia="仿宋" w:cs="仿宋"/>
          <w:sz w:val="32"/>
          <w:szCs w:val="32"/>
        </w:rPr>
        <w:t>保障资金、社会捐赠以及其他有关基金我、资金。</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县政府各部门及乡（镇）借用国外资金和使用的国外援助资金。</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国有资产占控股地位或主要地位企业的资产、负债、损益。</w:t>
      </w:r>
    </w:p>
    <w:p>
      <w:pPr>
        <w:numPr>
          <w:ilvl w:val="0"/>
          <w:numId w:val="1"/>
        </w:numPr>
        <w:spacing w:line="580" w:lineRule="exact"/>
        <w:ind w:left="0" w:firstLine="640" w:firstLineChars="200"/>
        <w:rPr>
          <w:rFonts w:ascii="仿宋" w:hAnsi="仿宋" w:eastAsia="仿宋" w:cs="仿宋"/>
          <w:sz w:val="32"/>
          <w:szCs w:val="32"/>
        </w:rPr>
      </w:pPr>
      <w:r>
        <w:rPr>
          <w:rFonts w:hint="eastAsia" w:ascii="仿宋" w:hAnsi="仿宋" w:eastAsia="仿宋" w:cs="仿宋"/>
          <w:sz w:val="32"/>
          <w:szCs w:val="32"/>
        </w:rPr>
        <w:t>对其他法律、行政法规规定应当审计的项目。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（三）对上级审计机关授权的国家金融保险企业的财务、信贷、现金、外汇管理以及我县辖区内的中央、省、市属企业事业的单位审计。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（四）以危害社会主义经济和严重贪污、侵占国家资财、严重损失浪费及损害国家利益等行为进行专案审计。</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（五）对审计中发现的宏观管理方面的问题，进行专题审计或审计调查，并向县政府反映情况提出建议。</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（六）指导和监察审计事务所。</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（七）指导、监督县属部门、单位内部审计工作。</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（八）对社会中介组织执行有关财经法规情况实行审计监督。</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（九）组织审计人员培训。</w:t>
      </w:r>
    </w:p>
    <w:p>
      <w:pPr>
        <w:widowControl/>
        <w:spacing w:line="580" w:lineRule="exact"/>
        <w:ind w:firstLine="627" w:firstLineChars="196"/>
        <w:jc w:val="left"/>
        <w:rPr>
          <w:rFonts w:ascii="仿宋" w:hAnsi="仿宋" w:eastAsia="仿宋" w:cs="仿宋"/>
          <w:sz w:val="32"/>
          <w:szCs w:val="32"/>
        </w:rPr>
      </w:pPr>
      <w:r>
        <w:rPr>
          <w:rFonts w:hint="eastAsia" w:ascii="仿宋" w:hAnsi="仿宋" w:eastAsia="仿宋" w:cs="仿宋"/>
          <w:sz w:val="32"/>
          <w:szCs w:val="32"/>
        </w:rPr>
        <w:t>（十）承办县政府和市审计局交办的其他事项。</w:t>
      </w:r>
    </w:p>
    <w:p>
      <w:pPr>
        <w:widowControl/>
        <w:spacing w:line="580" w:lineRule="exact"/>
        <w:ind w:firstLine="630" w:firstLineChars="196"/>
        <w:jc w:val="left"/>
        <w:rPr>
          <w:rFonts w:ascii="楷体" w:hAnsi="楷体" w:eastAsia="楷体"/>
          <w:b/>
          <w:bCs/>
          <w:kern w:val="0"/>
          <w:sz w:val="32"/>
          <w:szCs w:val="32"/>
        </w:rPr>
      </w:pPr>
      <w:r>
        <w:rPr>
          <w:rFonts w:hint="eastAsia" w:ascii="楷体" w:hAnsi="楷体" w:eastAsia="楷体" w:cs="宋体"/>
          <w:b/>
          <w:bCs/>
          <w:kern w:val="0"/>
          <w:sz w:val="32"/>
          <w:szCs w:val="32"/>
        </w:rPr>
        <w:t>人员编制和领导职数</w:t>
      </w:r>
    </w:p>
    <w:p>
      <w:pPr>
        <w:widowControl/>
        <w:spacing w:line="580" w:lineRule="exact"/>
        <w:ind w:firstLine="640" w:firstLineChars="200"/>
        <w:jc w:val="left"/>
        <w:rPr>
          <w:rFonts w:ascii="仿宋" w:hAnsi="仿宋" w:eastAsia="仿宋" w:cs="仿宋"/>
          <w:bCs/>
          <w:kern w:val="0"/>
          <w:sz w:val="32"/>
          <w:szCs w:val="32"/>
        </w:rPr>
      </w:pPr>
      <w:r>
        <w:rPr>
          <w:rFonts w:hint="eastAsia" w:ascii="仿宋" w:hAnsi="仿宋" w:eastAsia="仿宋" w:cs="仿宋"/>
          <w:bCs/>
          <w:kern w:val="0"/>
          <w:sz w:val="32"/>
          <w:szCs w:val="32"/>
        </w:rPr>
        <w:t>人员编制23名，其中领导职数5个。</w:t>
      </w: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p>
    <w:p>
      <w:pPr>
        <w:widowControl/>
        <w:spacing w:line="360" w:lineRule="auto"/>
        <w:ind w:firstLine="482" w:firstLineChars="150"/>
        <w:jc w:val="left"/>
        <w:rPr>
          <w:rFonts w:ascii="楷体" w:hAnsi="楷体" w:eastAsia="楷体" w:cs="仿宋"/>
          <w:b/>
          <w:kern w:val="0"/>
          <w:sz w:val="32"/>
          <w:szCs w:val="32"/>
        </w:rPr>
      </w:pPr>
      <w:r>
        <w:rPr>
          <w:rFonts w:hint="eastAsia" w:ascii="楷体" w:hAnsi="楷体" w:eastAsia="楷体" w:cs="仿宋"/>
          <w:b/>
          <w:kern w:val="0"/>
          <w:sz w:val="32"/>
          <w:szCs w:val="32"/>
        </w:rPr>
        <w:t>内设机构：</w:t>
      </w:r>
    </w:p>
    <w:p>
      <w:pPr>
        <w:pStyle w:val="7"/>
        <w:widowControl/>
        <w:spacing w:line="360" w:lineRule="auto"/>
        <w:ind w:firstLine="642"/>
        <w:jc w:val="center"/>
        <w:rPr>
          <w:rFonts w:ascii="仿宋" w:hAnsi="仿宋" w:eastAsia="仿宋" w:cs="仿宋"/>
          <w:b/>
          <w:sz w:val="32"/>
          <w:szCs w:val="32"/>
        </w:rPr>
      </w:pPr>
      <w:r>
        <w:rPr>
          <w:rFonts w:hint="eastAsia" w:ascii="仿宋" w:hAnsi="仿宋" w:eastAsia="仿宋" w:cs="仿宋"/>
          <w:b/>
          <w:sz w:val="32"/>
          <w:szCs w:val="32"/>
        </w:rPr>
        <w:t>部门机构设置情况</w:t>
      </w:r>
    </w:p>
    <w:tbl>
      <w:tblPr>
        <w:tblStyle w:val="9"/>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73"/>
        <w:gridCol w:w="1772"/>
        <w:gridCol w:w="2040"/>
        <w:gridCol w:w="4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单位名称</w:t>
            </w:r>
          </w:p>
        </w:tc>
        <w:tc>
          <w:tcPr>
            <w:tcW w:w="1772"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单位性质</w:t>
            </w:r>
          </w:p>
        </w:tc>
        <w:tc>
          <w:tcPr>
            <w:tcW w:w="2040" w:type="dxa"/>
          </w:tcPr>
          <w:p>
            <w:pPr>
              <w:pStyle w:val="7"/>
              <w:widowControl/>
              <w:jc w:val="center"/>
              <w:rPr>
                <w:rFonts w:ascii="仿宋" w:hAnsi="仿宋" w:eastAsia="仿宋" w:cs="仿宋"/>
                <w:sz w:val="32"/>
                <w:szCs w:val="32"/>
              </w:rPr>
            </w:pPr>
            <w:r>
              <w:rPr>
                <w:rFonts w:hint="eastAsia" w:ascii="仿宋" w:hAnsi="仿宋" w:eastAsia="仿宋" w:cs="仿宋"/>
                <w:sz w:val="32"/>
                <w:szCs w:val="32"/>
              </w:rPr>
              <w:t>单位规格</w:t>
            </w:r>
          </w:p>
        </w:tc>
        <w:tc>
          <w:tcPr>
            <w:tcW w:w="4889" w:type="dxa"/>
          </w:tcPr>
          <w:p>
            <w:pPr>
              <w:pStyle w:val="7"/>
              <w:widowControl/>
              <w:jc w:val="center"/>
              <w:rPr>
                <w:rFonts w:ascii="仿宋" w:hAnsi="仿宋" w:eastAsia="仿宋" w:cs="仿宋"/>
                <w:sz w:val="32"/>
                <w:szCs w:val="32"/>
              </w:rPr>
            </w:pPr>
            <w:r>
              <w:rPr>
                <w:rFonts w:hint="eastAsia" w:ascii="仿宋" w:hAnsi="仿宋" w:eastAsia="仿宋" w:cs="仿宋"/>
                <w:sz w:val="32"/>
                <w:szCs w:val="32"/>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73" w:type="dxa"/>
          </w:tcPr>
          <w:p>
            <w:pPr>
              <w:pStyle w:val="7"/>
              <w:widowControl/>
              <w:jc w:val="center"/>
              <w:rPr>
                <w:rFonts w:ascii="仿宋" w:hAnsi="仿宋" w:eastAsia="仿宋" w:cs="仿宋"/>
                <w:sz w:val="32"/>
                <w:szCs w:val="32"/>
              </w:rPr>
            </w:pPr>
            <w:r>
              <w:rPr>
                <w:rFonts w:ascii="仿宋" w:hAnsi="仿宋" w:eastAsia="仿宋" w:cs="仿宋"/>
                <w:sz w:val="32"/>
                <w:szCs w:val="32"/>
              </w:rPr>
              <w:t>成安县</w:t>
            </w:r>
            <w:r>
              <w:rPr>
                <w:rFonts w:hint="eastAsia" w:ascii="仿宋" w:hAnsi="仿宋" w:eastAsia="仿宋" w:cs="仿宋"/>
                <w:sz w:val="32"/>
                <w:szCs w:val="32"/>
              </w:rPr>
              <w:t>审计</w:t>
            </w:r>
            <w:r>
              <w:rPr>
                <w:rFonts w:ascii="仿宋" w:hAnsi="仿宋" w:eastAsia="仿宋" w:cs="仿宋"/>
                <w:sz w:val="32"/>
                <w:szCs w:val="32"/>
              </w:rPr>
              <w:t>局</w:t>
            </w:r>
          </w:p>
        </w:tc>
        <w:tc>
          <w:tcPr>
            <w:tcW w:w="1772" w:type="dxa"/>
          </w:tcPr>
          <w:p>
            <w:pPr>
              <w:pStyle w:val="7"/>
              <w:widowControl/>
              <w:jc w:val="center"/>
              <w:rPr>
                <w:rFonts w:ascii="仿宋" w:hAnsi="仿宋" w:eastAsia="仿宋" w:cs="仿宋"/>
                <w:sz w:val="32"/>
                <w:szCs w:val="32"/>
              </w:rPr>
            </w:pPr>
            <w:r>
              <w:rPr>
                <w:rFonts w:hint="eastAsia" w:ascii="仿宋" w:hAnsi="仿宋" w:eastAsia="仿宋" w:cs="仿宋"/>
                <w:sz w:val="32"/>
                <w:szCs w:val="32"/>
              </w:rPr>
              <w:t>行政</w:t>
            </w:r>
          </w:p>
        </w:tc>
        <w:tc>
          <w:tcPr>
            <w:tcW w:w="2040" w:type="dxa"/>
          </w:tcPr>
          <w:p>
            <w:pPr>
              <w:pStyle w:val="7"/>
              <w:widowControl/>
              <w:jc w:val="center"/>
              <w:rPr>
                <w:rFonts w:ascii="仿宋" w:hAnsi="仿宋" w:eastAsia="仿宋" w:cs="仿宋"/>
                <w:sz w:val="32"/>
                <w:szCs w:val="32"/>
              </w:rPr>
            </w:pPr>
            <w:r>
              <w:rPr>
                <w:rFonts w:hint="eastAsia" w:ascii="仿宋" w:hAnsi="仿宋" w:eastAsia="仿宋" w:cs="仿宋"/>
                <w:sz w:val="32"/>
                <w:szCs w:val="32"/>
              </w:rPr>
              <w:t>正科级</w:t>
            </w:r>
          </w:p>
        </w:tc>
        <w:tc>
          <w:tcPr>
            <w:tcW w:w="4889" w:type="dxa"/>
          </w:tcPr>
          <w:p>
            <w:pPr>
              <w:pStyle w:val="7"/>
              <w:widowControl/>
              <w:jc w:val="center"/>
              <w:rPr>
                <w:rFonts w:ascii="仿宋" w:hAnsi="仿宋" w:eastAsia="仿宋" w:cs="仿宋"/>
                <w:sz w:val="32"/>
                <w:szCs w:val="32"/>
              </w:rPr>
            </w:pPr>
            <w:r>
              <w:rPr>
                <w:rFonts w:hint="eastAsia" w:ascii="仿宋" w:hAnsi="仿宋" w:eastAsia="仿宋" w:cs="仿宋"/>
                <w:sz w:val="32"/>
                <w:szCs w:val="32"/>
              </w:rPr>
              <w:t>财政拨款</w:t>
            </w:r>
          </w:p>
        </w:tc>
      </w:tr>
    </w:tbl>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我单位内设4个内部机构。办公室主要负责：（1）负责机关行政事务和保密、保卫、卫生、计划生育、综合治理工作，承担文书、档案、打字文印、接待、信访等工作，负责机关财务收支及财产车辆管理，负责筹备重要会议。（2）负责对局机关及下属事业单位职工的调配、任免、录用提出初步意见，并报有关部门审批及考核、奖惩、工资福利管理。负责编制全县审计系统干部业务培训计划，组织指导干部审计培训工作，负责本局老干部服务工作。（3）负责编制县审计工作制度计划、长远规划，负责全县审计统计工作，负责对审计业务工作检查和审计项目质量考核、验收，分析研究全县审计工作情况并负责业务工作总结。（4）负责宣传贯彻审计法规，草拟地方性审计规章制度及收集、整理财经法规资料，负责全局宣传教育、执法检查和有关法律咨询，承办审计案件应诉工作。</w:t>
      </w:r>
    </w:p>
    <w:p>
      <w:pPr>
        <w:spacing w:line="580" w:lineRule="exact"/>
        <w:ind w:firstLine="640"/>
        <w:rPr>
          <w:rFonts w:ascii="仿宋" w:hAnsi="仿宋" w:eastAsia="仿宋" w:cs="Times New Roman"/>
          <w:sz w:val="32"/>
          <w:szCs w:val="32"/>
        </w:rPr>
      </w:pPr>
      <w:r>
        <w:rPr>
          <w:rFonts w:hint="eastAsia" w:ascii="仿宋" w:hAnsi="仿宋" w:eastAsia="仿宋" w:cs="Times New Roman"/>
          <w:sz w:val="32"/>
          <w:szCs w:val="32"/>
        </w:rPr>
        <w:t>2、业务科室主要负责：（1）负责审计乡（镇）财政预决算外资金管理情况和县财政预算执行情况，负责起草县政府每年向县人大常委会提出审计机关对财政预算执行和其他财政收支的审计报告。（2）负责审计上级审计机关授权的县级国家金融机构和驻县地方金融和非银行金融机构的财务现金、外汇收支计划的执行及结果，负责审计上级审计机关授权的在我县辖区内的烟草、邮电、石油等中央省、市属企业的资产、负债、损益情况。（3）按照计划进行专项资金审计专题审计调查（4）负责审计县政府各部门管理固定资产投资、施工企业的财务收支及其经济效益。具体落实建设项目资金来源、使用情况和经济效益进行开工前、施工中及竣工决算审计。（5）负责审计县直党、政、群机关和县直事业单位的财政、财务收支，负责对文教、卫生、民政事业费及其他专项事业费的审计，负责对社会保障事业、社会福利保险事业和社会公用事业的审计。（6）负责审计县属中外合资、中外合作企业的财政收支及经济效益的真实合法、合规，审计县属企业事业单位使用国外贷款、援款。按要求对内、外提供审计报告。</w:t>
      </w:r>
    </w:p>
    <w:p>
      <w:pPr>
        <w:widowControl/>
        <w:spacing w:line="580" w:lineRule="exact"/>
        <w:ind w:firstLine="627" w:firstLineChars="196"/>
        <w:jc w:val="left"/>
        <w:rPr>
          <w:rFonts w:ascii="黑体" w:hAnsi="黑体" w:eastAsia="黑体" w:cs="黑体"/>
          <w:bCs/>
          <w:sz w:val="32"/>
          <w:szCs w:val="32"/>
        </w:rPr>
      </w:pPr>
      <w:r>
        <w:rPr>
          <w:rFonts w:hint="eastAsia" w:ascii="黑体" w:hAnsi="黑体" w:eastAsia="黑体" w:cs="黑体"/>
          <w:bCs/>
          <w:sz w:val="32"/>
          <w:szCs w:val="32"/>
        </w:rPr>
        <w:t>二、部门预算安排的总体情况</w:t>
      </w:r>
    </w:p>
    <w:p>
      <w:pPr>
        <w:widowControl/>
        <w:spacing w:line="580" w:lineRule="exact"/>
        <w:ind w:firstLine="627" w:firstLineChars="196"/>
        <w:jc w:val="left"/>
        <w:rPr>
          <w:rFonts w:ascii="仿宋" w:hAnsi="仿宋" w:eastAsia="仿宋" w:cs="方正仿宋_GBK"/>
          <w:sz w:val="32"/>
          <w:szCs w:val="32"/>
        </w:rPr>
      </w:pPr>
      <w:r>
        <w:rPr>
          <w:rFonts w:hint="eastAsia" w:ascii="仿宋" w:hAnsi="仿宋" w:eastAsia="仿宋" w:cs="方正仿宋_GBK"/>
          <w:sz w:val="32"/>
          <w:szCs w:val="32"/>
        </w:rPr>
        <w:t>按照预算管理有关规定，目前我部门预算的编制实行综合预算制度，即全部收入和支出都反映在预算中。</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年预算收入449.22万元，其中：一般公共预算收入449.22万元，政府性基金收入0万元，国有资本经营收入0万元，事业收入0万元，其他收入0万元。</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年支出预算449.22万元，其中基本支出295.27万元，主要包括人员经费286.69万元和日常公用经费8.58万元，主要为办公经费支出、电脑采购等；项目支出153.95万元，主要是自收自支人员工资。</w:t>
      </w:r>
    </w:p>
    <w:p>
      <w:pPr>
        <w:spacing w:line="58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spacing w:line="580" w:lineRule="exact"/>
        <w:ind w:firstLine="480" w:firstLineChars="150"/>
        <w:jc w:val="left"/>
        <w:rPr>
          <w:rFonts w:ascii="仿宋" w:hAnsi="仿宋" w:eastAsia="仿宋" w:cs="仿宋"/>
          <w:sz w:val="32"/>
          <w:szCs w:val="32"/>
        </w:rPr>
      </w:pPr>
      <w:r>
        <w:rPr>
          <w:rFonts w:ascii="仿宋" w:hAnsi="仿宋" w:eastAsia="仿宋" w:cs="仿宋"/>
          <w:sz w:val="32"/>
          <w:szCs w:val="32"/>
        </w:rPr>
        <w:t>20</w:t>
      </w:r>
      <w:r>
        <w:rPr>
          <w:rFonts w:hint="eastAsia" w:ascii="仿宋" w:hAnsi="仿宋" w:eastAsia="仿宋" w:cs="仿宋"/>
          <w:sz w:val="32"/>
          <w:szCs w:val="32"/>
        </w:rPr>
        <w:t>21年预算收支安排449.22万元，较上年预算减少150.47万元，其中： 项目支出减少100万元，人员经费减少50.47万元，减少</w:t>
      </w:r>
      <w:r>
        <w:rPr>
          <w:rFonts w:ascii="仿宋" w:hAnsi="仿宋" w:eastAsia="仿宋" w:cs="仿宋"/>
          <w:sz w:val="32"/>
          <w:szCs w:val="32"/>
        </w:rPr>
        <w:t>原因是</w:t>
      </w:r>
      <w:r>
        <w:rPr>
          <w:rFonts w:hint="eastAsia" w:ascii="仿宋" w:hAnsi="仿宋" w:eastAsia="仿宋" w:cs="仿宋"/>
          <w:sz w:val="32"/>
          <w:szCs w:val="32"/>
        </w:rPr>
        <w:t>主要是2021年对机关事业单位人员退休，人员经费支出部分有所减少另有</w:t>
      </w:r>
      <w:r>
        <w:rPr>
          <w:rFonts w:hint="eastAsia" w:ascii="仿宋" w:hAnsi="仿宋" w:eastAsia="仿宋" w:cs="仿宋_GB2312"/>
          <w:kern w:val="0"/>
          <w:sz w:val="32"/>
          <w:szCs w:val="32"/>
        </w:rPr>
        <w:t>坚持厉行节约及公车改革等原因，预算安排有所减少</w:t>
      </w:r>
      <w:r>
        <w:rPr>
          <w:rFonts w:ascii="仿宋" w:hAnsi="仿宋" w:eastAsia="仿宋" w:cs="仿宋"/>
          <w:sz w:val="32"/>
          <w:szCs w:val="32"/>
        </w:rPr>
        <w:t>。</w:t>
      </w:r>
    </w:p>
    <w:p>
      <w:pPr>
        <w:widowControl/>
        <w:tabs>
          <w:tab w:val="left" w:pos="5115"/>
        </w:tabs>
        <w:spacing w:line="580" w:lineRule="exact"/>
        <w:ind w:firstLine="960" w:firstLineChars="300"/>
        <w:jc w:val="left"/>
        <w:rPr>
          <w:rFonts w:ascii="黑体" w:hAnsi="黑体" w:eastAsia="黑体" w:cs="仿宋_GB2312"/>
          <w:kern w:val="0"/>
          <w:sz w:val="32"/>
          <w:szCs w:val="32"/>
        </w:rPr>
      </w:pPr>
      <w:r>
        <w:rPr>
          <w:rFonts w:hint="eastAsia" w:ascii="黑体" w:hAnsi="黑体" w:eastAsia="黑体" w:cs="仿宋_GB2312"/>
          <w:kern w:val="0"/>
          <w:sz w:val="32"/>
          <w:szCs w:val="32"/>
        </w:rPr>
        <w:t>三、机关运行经费安排情况</w:t>
      </w:r>
      <w:r>
        <w:rPr>
          <w:rFonts w:ascii="黑体" w:hAnsi="黑体" w:eastAsia="黑体" w:cs="仿宋_GB2312"/>
          <w:kern w:val="0"/>
          <w:sz w:val="32"/>
          <w:szCs w:val="32"/>
        </w:rPr>
        <w:tab/>
      </w:r>
    </w:p>
    <w:p>
      <w:pPr>
        <w:widowControl/>
        <w:spacing w:line="580" w:lineRule="exact"/>
        <w:ind w:firstLine="960" w:firstLineChars="300"/>
        <w:jc w:val="left"/>
        <w:rPr>
          <w:rFonts w:ascii="仿宋" w:hAnsi="仿宋" w:eastAsia="仿宋" w:cs="仿宋_GB2312"/>
          <w:kern w:val="0"/>
          <w:sz w:val="32"/>
          <w:szCs w:val="32"/>
        </w:rPr>
      </w:pPr>
      <w:r>
        <w:rPr>
          <w:rFonts w:hint="eastAsia" w:ascii="仿宋" w:hAnsi="仿宋" w:eastAsia="仿宋" w:cs="仿宋"/>
          <w:sz w:val="32"/>
          <w:szCs w:val="32"/>
        </w:rPr>
        <w:t>2021年，我单位</w:t>
      </w:r>
      <w:r>
        <w:rPr>
          <w:rFonts w:hint="eastAsia" w:ascii="仿宋" w:hAnsi="仿宋" w:eastAsia="仿宋" w:cs="仿宋_GB2312"/>
          <w:kern w:val="0"/>
          <w:sz w:val="32"/>
          <w:szCs w:val="32"/>
        </w:rPr>
        <w:t>日常公用经费安排8.58万元，包括：办公费、差旅费、水费、电费、会议费、招待费、转移支付，其他支出等。</w:t>
      </w:r>
    </w:p>
    <w:p>
      <w:pPr>
        <w:widowControl/>
        <w:spacing w:line="580" w:lineRule="exact"/>
        <w:ind w:left="420" w:leftChars="200" w:firstLine="640" w:firstLineChars="200"/>
        <w:jc w:val="left"/>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widowControl/>
        <w:spacing w:line="58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2021年度“三公”预算支出5.5万元，其中，因公出国（境）费0元，安排公务用车维护费4万元，（其中公务用车购置费0元，公务用车运行维护费4万元），公务接</w:t>
      </w:r>
      <w:r>
        <w:rPr>
          <w:rFonts w:hint="eastAsia" w:ascii="仿宋" w:hAnsi="仿宋" w:eastAsia="仿宋" w:cs="仿宋_GB2312"/>
          <w:kern w:val="0"/>
          <w:sz w:val="32"/>
          <w:szCs w:val="32"/>
          <w:lang w:eastAsia="zh-CN"/>
        </w:rPr>
        <w:t>待</w:t>
      </w:r>
      <w:r>
        <w:rPr>
          <w:rFonts w:hint="eastAsia" w:ascii="仿宋" w:hAnsi="仿宋" w:eastAsia="仿宋" w:cs="仿宋_GB2312"/>
          <w:kern w:val="0"/>
          <w:sz w:val="32"/>
          <w:szCs w:val="32"/>
        </w:rPr>
        <w:t>费1.5万元，2020年度“三公”预算支出5.8万元，其中，因公出国（境）费0元，安排公务用车维护费4万元，（其中公务用车购置费0元，公务用车运行维护费4万元），公务接待费用1.8万元，2021年“三公”经费</w:t>
      </w:r>
      <w:r>
        <w:rPr>
          <w:rFonts w:hint="eastAsia" w:ascii="仿宋" w:hAnsi="仿宋" w:eastAsia="仿宋" w:cs="仿宋_GB2312"/>
          <w:kern w:val="0"/>
          <w:sz w:val="32"/>
          <w:szCs w:val="32"/>
          <w:lang w:eastAsia="zh-CN"/>
        </w:rPr>
        <w:t>中因公</w:t>
      </w:r>
      <w:r>
        <w:rPr>
          <w:rFonts w:hint="eastAsia" w:ascii="仿宋" w:hAnsi="仿宋" w:eastAsia="仿宋" w:cs="仿宋_GB2312"/>
          <w:kern w:val="0"/>
          <w:sz w:val="32"/>
          <w:szCs w:val="32"/>
        </w:rPr>
        <w:t>出国（境）费</w:t>
      </w:r>
      <w:r>
        <w:rPr>
          <w:rFonts w:hint="eastAsia" w:ascii="仿宋" w:hAnsi="仿宋" w:eastAsia="仿宋" w:cs="仿宋_GB2312"/>
          <w:kern w:val="0"/>
          <w:sz w:val="32"/>
          <w:szCs w:val="32"/>
          <w:lang w:eastAsia="zh-CN"/>
        </w:rPr>
        <w:t>与去年持平，</w:t>
      </w:r>
      <w:r>
        <w:rPr>
          <w:rFonts w:hint="eastAsia" w:ascii="仿宋" w:hAnsi="仿宋" w:eastAsia="仿宋" w:cs="仿宋_GB2312"/>
          <w:kern w:val="0"/>
          <w:sz w:val="32"/>
          <w:szCs w:val="32"/>
        </w:rPr>
        <w:t>公务用车维护费</w:t>
      </w:r>
      <w:r>
        <w:rPr>
          <w:rFonts w:hint="eastAsia" w:ascii="仿宋" w:hAnsi="仿宋" w:eastAsia="仿宋" w:cs="仿宋_GB2312"/>
          <w:kern w:val="0"/>
          <w:sz w:val="32"/>
          <w:szCs w:val="32"/>
          <w:lang w:eastAsia="zh-CN"/>
        </w:rPr>
        <w:t>与去年持平，</w:t>
      </w:r>
      <w:r>
        <w:rPr>
          <w:rFonts w:hint="eastAsia" w:ascii="仿宋" w:hAnsi="仿宋" w:eastAsia="仿宋" w:cs="仿宋_GB2312"/>
          <w:kern w:val="0"/>
          <w:sz w:val="32"/>
          <w:szCs w:val="32"/>
        </w:rPr>
        <w:t>公务接</w:t>
      </w:r>
      <w:r>
        <w:rPr>
          <w:rFonts w:hint="eastAsia" w:ascii="仿宋" w:hAnsi="仿宋" w:eastAsia="仿宋" w:cs="仿宋_GB2312"/>
          <w:kern w:val="0"/>
          <w:sz w:val="32"/>
          <w:szCs w:val="32"/>
          <w:lang w:eastAsia="zh-CN"/>
        </w:rPr>
        <w:t>待</w:t>
      </w:r>
      <w:r>
        <w:rPr>
          <w:rFonts w:hint="eastAsia" w:ascii="仿宋" w:hAnsi="仿宋" w:eastAsia="仿宋" w:cs="仿宋_GB2312"/>
          <w:kern w:val="0"/>
          <w:sz w:val="32"/>
          <w:szCs w:val="32"/>
        </w:rPr>
        <w:t>费</w:t>
      </w:r>
      <w:r>
        <w:rPr>
          <w:rFonts w:hint="eastAsia" w:ascii="仿宋" w:hAnsi="仿宋" w:eastAsia="仿宋" w:cs="仿宋_GB2312"/>
          <w:kern w:val="0"/>
          <w:sz w:val="32"/>
          <w:szCs w:val="32"/>
          <w:lang w:eastAsia="zh-CN"/>
        </w:rPr>
        <w:t>较去年</w:t>
      </w:r>
      <w:r>
        <w:rPr>
          <w:rFonts w:hint="eastAsia" w:ascii="仿宋" w:hAnsi="仿宋" w:eastAsia="仿宋" w:cs="仿宋_GB2312"/>
          <w:kern w:val="0"/>
          <w:sz w:val="32"/>
          <w:szCs w:val="32"/>
        </w:rPr>
        <w:t>减少了</w:t>
      </w:r>
      <w:r>
        <w:rPr>
          <w:rFonts w:hint="eastAsia" w:ascii="仿宋" w:hAnsi="仿宋" w:eastAsia="仿宋" w:cs="仿宋_GB2312"/>
          <w:kern w:val="0"/>
          <w:sz w:val="32"/>
          <w:szCs w:val="32"/>
          <w:lang w:val="en-US" w:eastAsia="zh-CN"/>
        </w:rPr>
        <w:t>5.17</w:t>
      </w:r>
      <w:r>
        <w:rPr>
          <w:rFonts w:hint="eastAsia" w:ascii="仿宋" w:hAnsi="仿宋" w:eastAsia="仿宋" w:cs="仿宋_GB2312"/>
          <w:kern w:val="0"/>
          <w:sz w:val="32"/>
          <w:szCs w:val="32"/>
        </w:rPr>
        <w:t>%。2021年坚持厉行节约及公车改革等原因，预算安排减少。</w:t>
      </w:r>
    </w:p>
    <w:p>
      <w:pPr>
        <w:spacing w:line="580" w:lineRule="exact"/>
        <w:ind w:firstLine="960" w:firstLineChars="300"/>
        <w:rPr>
          <w:rFonts w:ascii="黑体" w:hAnsi="黑体" w:eastAsia="黑体" w:cs="Times New Roman"/>
          <w:sz w:val="32"/>
          <w:szCs w:val="32"/>
        </w:rPr>
      </w:pPr>
      <w:r>
        <w:rPr>
          <w:rFonts w:hint="eastAsia" w:ascii="黑体" w:hAnsi="黑体" w:eastAsia="黑体" w:cs="黑体"/>
          <w:sz w:val="32"/>
          <w:szCs w:val="32"/>
        </w:rPr>
        <w:t>五、绩效预算信息</w:t>
      </w:r>
    </w:p>
    <w:p>
      <w:pPr>
        <w:ind w:firstLine="320" w:firstLineChars="100"/>
        <w:rPr>
          <w:rFonts w:hint="eastAsia" w:ascii="仿宋_GB2312" w:hAnsi="宋体" w:eastAsia="仿宋_GB2312"/>
          <w:sz w:val="32"/>
          <w:szCs w:val="32"/>
        </w:rPr>
      </w:pPr>
      <w:r>
        <w:rPr>
          <w:rFonts w:hint="eastAsia" w:ascii="仿宋_GB2312" w:hAnsi="宋体" w:eastAsia="仿宋_GB2312"/>
          <w:sz w:val="32"/>
          <w:szCs w:val="32"/>
        </w:rPr>
        <w:t>（一）总体</w:t>
      </w:r>
      <w:r>
        <w:rPr>
          <w:rFonts w:hint="eastAsia" w:ascii="仿宋_GB2312" w:hAnsi="宋体" w:eastAsia="仿宋_GB2312"/>
          <w:sz w:val="32"/>
          <w:szCs w:val="32"/>
          <w:lang w:eastAsia="zh-CN"/>
        </w:rPr>
        <w:t>绩效</w:t>
      </w:r>
      <w:r>
        <w:rPr>
          <w:rFonts w:hint="eastAsia" w:ascii="仿宋_GB2312" w:hAnsi="宋体" w:eastAsia="仿宋_GB2312"/>
          <w:sz w:val="32"/>
          <w:szCs w:val="32"/>
        </w:rPr>
        <w:t>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紧紧围绕全市中心工作，依法履行审计监督职责，扎实推进审计质量管理和审计队伍建设，不断提高审计监督的能力和水平，各项工作取得新的发展和成效。维护财政经济秩序，提高财政资金使用效益，促进廉政建设，保障全</w:t>
      </w:r>
      <w:r>
        <w:rPr>
          <w:rFonts w:hint="eastAsia" w:ascii="仿宋_GB2312" w:hAnsi="宋体" w:eastAsia="仿宋_GB2312"/>
          <w:sz w:val="32"/>
          <w:szCs w:val="32"/>
          <w:lang w:eastAsia="zh-CN"/>
        </w:rPr>
        <w:t>县</w:t>
      </w:r>
      <w:r>
        <w:rPr>
          <w:rFonts w:hint="eastAsia" w:ascii="仿宋_GB2312" w:hAnsi="宋体" w:eastAsia="仿宋_GB2312"/>
          <w:sz w:val="32"/>
          <w:szCs w:val="32"/>
        </w:rPr>
        <w:t>经济和社会健康发展。</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（二</w:t>
      </w: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w:t>
      </w:r>
      <w:r>
        <w:rPr>
          <w:rFonts w:hint="eastAsia" w:ascii="仿宋_GB2312" w:hAnsi="宋体" w:eastAsia="仿宋_GB2312"/>
          <w:sz w:val="32"/>
          <w:szCs w:val="32"/>
        </w:rPr>
        <w:t>分</w:t>
      </w:r>
      <w:r>
        <w:rPr>
          <w:rFonts w:hint="eastAsia" w:ascii="仿宋_GB2312" w:hAnsi="宋体" w:eastAsia="仿宋_GB2312"/>
          <w:sz w:val="32"/>
          <w:szCs w:val="32"/>
          <w:lang w:eastAsia="zh-CN"/>
        </w:rPr>
        <w:t>项</w:t>
      </w:r>
      <w:r>
        <w:rPr>
          <w:rFonts w:hint="eastAsia" w:ascii="仿宋_GB2312" w:hAnsi="宋体" w:eastAsia="仿宋_GB2312"/>
          <w:sz w:val="32"/>
          <w:szCs w:val="32"/>
        </w:rPr>
        <w:t>绩效目标：</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1、主管全</w:t>
      </w:r>
      <w:r>
        <w:rPr>
          <w:rFonts w:hint="eastAsia" w:ascii="仿宋_GB2312" w:hAnsi="宋体" w:eastAsia="仿宋_GB2312"/>
          <w:sz w:val="32"/>
          <w:szCs w:val="32"/>
          <w:lang w:eastAsia="zh-CN"/>
        </w:rPr>
        <w:t>县</w:t>
      </w:r>
      <w:r>
        <w:rPr>
          <w:rFonts w:hint="eastAsia" w:ascii="仿宋_GB2312" w:hAnsi="宋体" w:eastAsia="仿宋_GB2312"/>
          <w:sz w:val="32"/>
          <w:szCs w:val="32"/>
        </w:rPr>
        <w:t>审计工作。通过财政财务收支审计真实、合法和效益情况，维护国家财政经济秩序，提高财政资金使用效益，促进廉政建设，保障国民经济的健康运行。</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2、进行内部审计管理和审计法制管理。通过建立健全法规，加大内部审计管理制度提高审计质量和审计机关法制管理水平。</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3、包括系统综合业务管理和机关综合事务管理。充分发挥参谋助手作用和综合协调作用，推进审计事业科学协调发展。</w:t>
      </w:r>
    </w:p>
    <w:p>
      <w:pPr>
        <w:rPr>
          <w:rFonts w:hint="eastAsia"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sz w:val="32"/>
          <w:szCs w:val="32"/>
          <w:lang w:eastAsia="zh-CN"/>
        </w:rPr>
        <w:t>三</w:t>
      </w:r>
      <w:r>
        <w:rPr>
          <w:rFonts w:hint="eastAsia" w:ascii="仿宋_GB2312" w:hAnsi="宋体" w:eastAsia="仿宋_GB2312"/>
          <w:sz w:val="32"/>
          <w:szCs w:val="32"/>
        </w:rPr>
        <w:t>）</w:t>
      </w:r>
      <w:r>
        <w:rPr>
          <w:rFonts w:hint="eastAsia" w:ascii="仿宋_GB2312" w:hAnsi="宋体" w:eastAsia="仿宋_GB2312"/>
          <w:sz w:val="32"/>
          <w:szCs w:val="32"/>
          <w:lang w:eastAsia="zh-CN"/>
        </w:rPr>
        <w:t>工作</w:t>
      </w:r>
      <w:r>
        <w:rPr>
          <w:rFonts w:hint="eastAsia" w:ascii="仿宋_GB2312" w:hAnsi="宋体" w:eastAsia="仿宋_GB2312"/>
          <w:sz w:val="32"/>
          <w:szCs w:val="32"/>
        </w:rPr>
        <w:t>保障措施</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1、审计本级财政部门组织本级预算执行情况，审计下级人民政府的预算执行和决算情况，审计其他财政收支情况，审计其他取得财政资金的单位和项目接受、运用财政资金的真实、合法和效益情况,实施领导干部经济责任审计等审计。</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2、对经济领域中带有全局性、普遍性、倾向性的特定事项进行系统调查了解并向市政府报告情况和结果。</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3、制定内部审计措施并组织落实；制定内部审计业务规章、制度、管理办法等并开展监督检查；指导内部审计业务，受理内部审计业务咨询；提供内部审计成果。</w:t>
      </w:r>
    </w:p>
    <w:p>
      <w:pPr>
        <w:spacing w:line="740" w:lineRule="exact"/>
        <w:ind w:firstLine="640" w:firstLineChars="200"/>
        <w:jc w:val="left"/>
        <w:rPr>
          <w:rFonts w:ascii="仿宋_GB2312" w:eastAsia="仿宋_GB2312"/>
          <w:bCs/>
          <w:sz w:val="32"/>
          <w:szCs w:val="32"/>
        </w:rPr>
      </w:pPr>
    </w:p>
    <w:p>
      <w:pPr>
        <w:ind w:firstLine="4640" w:firstLineChars="1450"/>
        <w:outlineLvl w:val="0"/>
        <w:rPr>
          <w:rFonts w:ascii="黑体" w:hAnsi="黑体" w:eastAsia="黑体"/>
          <w:sz w:val="32"/>
          <w:szCs w:val="32"/>
        </w:rPr>
      </w:pPr>
      <w:r>
        <w:rPr>
          <w:rFonts w:hint="eastAsia" w:ascii="黑体" w:hAnsi="黑体" w:eastAsia="黑体"/>
          <w:sz w:val="32"/>
          <w:szCs w:val="32"/>
        </w:rPr>
        <w:t>部门职责-工作活动绩效目标</w:t>
      </w:r>
    </w:p>
    <w:tbl>
      <w:tblPr>
        <w:tblStyle w:val="8"/>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773"/>
        <w:gridCol w:w="993"/>
        <w:gridCol w:w="850"/>
        <w:gridCol w:w="851"/>
        <w:gridCol w:w="8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10342"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ascii="方正小标宋_GBK" w:eastAsia="方正小标宋_GBK"/>
                <w:sz w:val="24"/>
              </w:rPr>
              <w:t>319</w:t>
            </w:r>
            <w:r>
              <w:rPr>
                <w:rFonts w:hint="eastAsia" w:ascii="方正小标宋_GBK" w:eastAsia="方正小标宋_GBK"/>
                <w:sz w:val="24"/>
              </w:rPr>
              <w:t>成安县审计局</w:t>
            </w:r>
          </w:p>
        </w:tc>
        <w:tc>
          <w:tcPr>
            <w:tcW w:w="3592"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12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2976"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773" w:type="dxa"/>
            <w:vMerge w:val="restart"/>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3592" w:type="dxa"/>
            <w:gridSpan w:val="4"/>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jc w:val="left"/>
              <w:outlineLvl w:val="0"/>
            </w:pPr>
          </w:p>
        </w:tc>
        <w:tc>
          <w:tcPr>
            <w:tcW w:w="12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2976" w:type="dxa"/>
            <w:vMerge w:val="continue"/>
            <w:shd w:val="clear" w:color="auto" w:fill="auto"/>
            <w:vAlign w:val="center"/>
          </w:tcPr>
          <w:p>
            <w:pPr>
              <w:spacing w:line="300" w:lineRule="exact"/>
              <w:jc w:val="left"/>
              <w:outlineLvl w:val="0"/>
            </w:pPr>
          </w:p>
        </w:tc>
        <w:tc>
          <w:tcPr>
            <w:tcW w:w="773" w:type="dxa"/>
            <w:vMerge w:val="continue"/>
            <w:shd w:val="clear" w:color="auto" w:fill="auto"/>
            <w:vAlign w:val="center"/>
          </w:tcPr>
          <w:p>
            <w:pPr>
              <w:spacing w:line="300" w:lineRule="exact"/>
              <w:jc w:val="left"/>
              <w:outlineLvl w:val="0"/>
            </w:pPr>
          </w:p>
        </w:tc>
        <w:tc>
          <w:tcPr>
            <w:tcW w:w="993"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优</w:t>
            </w:r>
          </w:p>
        </w:tc>
        <w:tc>
          <w:tcPr>
            <w:tcW w:w="850"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良</w:t>
            </w:r>
          </w:p>
        </w:tc>
        <w:tc>
          <w:tcPr>
            <w:tcW w:w="851"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中</w:t>
            </w:r>
          </w:p>
        </w:tc>
        <w:tc>
          <w:tcPr>
            <w:tcW w:w="898" w:type="dxa"/>
            <w:shd w:val="clear" w:color="auto" w:fill="auto"/>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审计业务</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主管县级审计工作。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主管全县审计工作。通过财政财务收支审计真实、合法和效益情况，维护国家财政经济秩序，促进廉政建设，保障国民经济的健康运行。</w:t>
            </w:r>
          </w:p>
        </w:tc>
        <w:tc>
          <w:tcPr>
            <w:tcW w:w="773" w:type="dxa"/>
            <w:shd w:val="clear" w:color="auto" w:fill="auto"/>
            <w:vAlign w:val="center"/>
          </w:tcPr>
          <w:p>
            <w:pPr>
              <w:spacing w:line="300" w:lineRule="exact"/>
              <w:jc w:val="left"/>
              <w:rPr>
                <w:rFonts w:ascii="方正书宋_GBK" w:eastAsia="方正书宋_GBK"/>
              </w:rPr>
            </w:pP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审计业务</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100</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审计本级财政部门组织本级预算执行情况，审计下级人民政府的预算执行和决算情况，审计其他财政收支情况，审计其他取得财政资金的单位和项目接受、运用财政资金的真实、合法和效益情况</w:t>
            </w:r>
            <w:r>
              <w:rPr>
                <w:rFonts w:ascii="方正书宋_GBK" w:eastAsia="方正书宋_GBK"/>
              </w:rPr>
              <w:t>,</w:t>
            </w:r>
            <w:r>
              <w:rPr>
                <w:rFonts w:hint="eastAsia" w:ascii="方正书宋_GBK" w:eastAsia="方正书宋_GBK"/>
              </w:rPr>
              <w:t>实施领导干部经济责任审计等审计。</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通过审计财政、财务收支真实、合法和效益，维护国家财政经济秩序、促进廉政建设、保障国民经济的健康发展。</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审计决定落实率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专项审计调查</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对经济领域中带有全局性、普遍性、倾向性的特定事项进行系统调查了解并向县政府报告情况和结果。</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通过专项审计调查，综合分析，向有关部门反映情况，揭露问题、提出解决问题的建议，为政府决策提供依据，为国家宏观调控服务</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专项审计完成率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进行内部审计管理和审计法制管理。通过建立健全法规，加大内部审计管理制度提高审计质量和审计机关法制管理水平。</w:t>
            </w:r>
          </w:p>
        </w:tc>
        <w:tc>
          <w:tcPr>
            <w:tcW w:w="773" w:type="dxa"/>
            <w:shd w:val="clear" w:color="auto" w:fill="auto"/>
            <w:vAlign w:val="center"/>
          </w:tcPr>
          <w:p>
            <w:pPr>
              <w:spacing w:line="300" w:lineRule="exact"/>
              <w:jc w:val="left"/>
              <w:rPr>
                <w:rFonts w:ascii="方正书宋_GBK" w:eastAsia="方正书宋_GBK"/>
              </w:rPr>
            </w:pP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内部审计管理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制定内部审计措施并组织落实；制定内部审计业务规章、制度、管理办法等并开展监督检查；指导内部审计业务，受理内部审计业务咨询；提供内部审计成果；协调内部审计和国家审计间工作等。</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受理内审业务咨询，提高内部审计质量；协调内部审计和国家审计间工作，保障内部审计工作的顺利进行；控制费用标准严格。</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内审业务办结率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审计政务管理</w:t>
            </w:r>
          </w:p>
        </w:tc>
        <w:tc>
          <w:tcPr>
            <w:tcW w:w="1276" w:type="dxa"/>
            <w:shd w:val="clear" w:color="auto" w:fill="auto"/>
            <w:vAlign w:val="center"/>
          </w:tcPr>
          <w:p>
            <w:pPr>
              <w:spacing w:line="300" w:lineRule="exact"/>
              <w:jc w:val="left"/>
              <w:rPr>
                <w:rFonts w:ascii="方正书宋_GBK" w:eastAsia="方正书宋_GBK"/>
              </w:rPr>
            </w:pP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包括系统综合业务管理和机关综合事务管理。充分发挥参谋助手作用和综合协调作用，推进审计事业科学协调发展。</w:t>
            </w:r>
          </w:p>
        </w:tc>
        <w:tc>
          <w:tcPr>
            <w:tcW w:w="773" w:type="dxa"/>
            <w:shd w:val="clear" w:color="auto" w:fill="auto"/>
            <w:vAlign w:val="center"/>
          </w:tcPr>
          <w:p>
            <w:pPr>
              <w:spacing w:line="300" w:lineRule="exact"/>
              <w:jc w:val="left"/>
              <w:rPr>
                <w:rFonts w:ascii="方正书宋_GBK" w:eastAsia="方正书宋_GBK"/>
              </w:rPr>
            </w:pP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jc w:val="left"/>
              <w:rPr>
                <w:rFonts w:ascii="方正书宋_GBK" w:eastAsia="方正书宋_GBK"/>
                <w:b/>
              </w:rPr>
            </w:pPr>
            <w:r>
              <w:rPr>
                <w:rFonts w:hint="eastAsia" w:ascii="方正书宋_GBK" w:eastAsia="方正书宋_GBK"/>
                <w:b/>
              </w:rPr>
              <w:t>　　综合业务管理</w:t>
            </w:r>
          </w:p>
        </w:tc>
        <w:tc>
          <w:tcPr>
            <w:tcW w:w="12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384</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组织开展信息化建设、教育培训、审计理论研究，抓好新闻宣传和文化建设、政务信息公开，开展审计服务和业务咨询。</w:t>
            </w:r>
          </w:p>
        </w:tc>
        <w:tc>
          <w:tcPr>
            <w:tcW w:w="2976"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信息保障安全有效，信息化建设稳步推进；加强宣传引导；提高人员业务水平；促进审计文化研究，推动审计事业发展。</w:t>
            </w:r>
          </w:p>
        </w:tc>
        <w:tc>
          <w:tcPr>
            <w:tcW w:w="773" w:type="dxa"/>
            <w:shd w:val="clear" w:color="auto" w:fill="auto"/>
            <w:vAlign w:val="center"/>
          </w:tcPr>
          <w:p>
            <w:pPr>
              <w:spacing w:line="300" w:lineRule="exact"/>
              <w:jc w:val="left"/>
              <w:rPr>
                <w:rFonts w:ascii="方正书宋_GBK" w:eastAsia="方正书宋_GBK"/>
              </w:rPr>
            </w:pPr>
            <w:r>
              <w:rPr>
                <w:rFonts w:hint="eastAsia" w:ascii="方正书宋_GBK" w:eastAsia="方正书宋_GBK"/>
              </w:rPr>
              <w:t>综合业务保障率</w:t>
            </w:r>
          </w:p>
        </w:tc>
        <w:tc>
          <w:tcPr>
            <w:tcW w:w="993"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100%</w:t>
            </w:r>
          </w:p>
        </w:tc>
        <w:tc>
          <w:tcPr>
            <w:tcW w:w="850"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≥90%</w:t>
            </w:r>
          </w:p>
        </w:tc>
        <w:tc>
          <w:tcPr>
            <w:tcW w:w="851"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≥80%</w:t>
            </w:r>
          </w:p>
        </w:tc>
        <w:tc>
          <w:tcPr>
            <w:tcW w:w="898" w:type="dxa"/>
            <w:shd w:val="clear" w:color="auto" w:fill="auto"/>
            <w:vAlign w:val="center"/>
          </w:tcPr>
          <w:p>
            <w:pPr>
              <w:spacing w:line="300" w:lineRule="exact"/>
              <w:jc w:val="center"/>
              <w:rPr>
                <w:rFonts w:ascii="方正书宋_GBK" w:eastAsia="方正书宋_GBK"/>
              </w:rPr>
            </w:pPr>
            <w:r>
              <w:rPr>
                <w:rFonts w:hint="eastAsia" w:ascii="方正书宋_GBK" w:eastAsia="方正书宋_GBK"/>
              </w:rPr>
              <w:t>＜60%</w:t>
            </w:r>
          </w:p>
        </w:tc>
      </w:tr>
    </w:tbl>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p>
    <w:p>
      <w:pPr>
        <w:autoSpaceDE w:val="0"/>
        <w:autoSpaceDN w:val="0"/>
        <w:adjustRightIn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六、政府采购预算情况</w:t>
      </w:r>
    </w:p>
    <w:p>
      <w:pPr>
        <w:widowControl/>
        <w:spacing w:line="360" w:lineRule="auto"/>
        <w:ind w:firstLine="640" w:firstLineChars="200"/>
        <w:jc w:val="left"/>
        <w:rPr>
          <w:rFonts w:ascii="仿宋" w:hAnsi="仿宋" w:eastAsia="仿宋" w:cs="方正仿宋_GBK"/>
          <w:sz w:val="32"/>
          <w:szCs w:val="32"/>
        </w:rPr>
      </w:pPr>
      <w:r>
        <w:rPr>
          <w:rFonts w:ascii="仿宋" w:hAnsi="仿宋" w:eastAsia="仿宋" w:cs="Times New Roman"/>
          <w:sz w:val="32"/>
          <w:szCs w:val="32"/>
        </w:rPr>
        <w:t>20</w:t>
      </w:r>
      <w:r>
        <w:rPr>
          <w:rFonts w:hint="eastAsia" w:ascii="仿宋" w:hAnsi="仿宋" w:eastAsia="仿宋" w:cs="Times New Roman"/>
          <w:sz w:val="32"/>
          <w:szCs w:val="32"/>
        </w:rPr>
        <w:t>21</w:t>
      </w:r>
      <w:r>
        <w:rPr>
          <w:rFonts w:hint="eastAsia" w:ascii="仿宋" w:hAnsi="仿宋" w:eastAsia="仿宋" w:cs="方正仿宋_GBK"/>
          <w:sz w:val="32"/>
          <w:szCs w:val="32"/>
        </w:rPr>
        <w:t>年，我单位安排政府采购预算4.0万元。</w:t>
      </w:r>
      <w:r>
        <w:rPr>
          <w:rFonts w:hint="eastAsia" w:ascii="仿宋" w:hAnsi="仿宋" w:eastAsia="仿宋" w:cs="仿宋_GB2312"/>
          <w:kern w:val="0"/>
          <w:sz w:val="32"/>
          <w:szCs w:val="32"/>
        </w:rPr>
        <w:t>其中有</w:t>
      </w:r>
      <w:r>
        <w:rPr>
          <w:rFonts w:hint="eastAsia" w:ascii="仿宋" w:hAnsi="仿宋" w:eastAsia="仿宋" w:cs="仿宋_GB2312"/>
          <w:kern w:val="0"/>
          <w:sz w:val="32"/>
          <w:szCs w:val="32"/>
          <w:lang w:eastAsia="zh-CN"/>
        </w:rPr>
        <w:t>计算</w:t>
      </w:r>
      <w:r>
        <w:rPr>
          <w:rFonts w:hint="eastAsia" w:ascii="仿宋" w:hAnsi="仿宋" w:eastAsia="仿宋" w:cs="仿宋_GB2312"/>
          <w:kern w:val="0"/>
          <w:sz w:val="32"/>
          <w:szCs w:val="32"/>
        </w:rPr>
        <w:t>机10台单价4000元，共计40000元。</w:t>
      </w:r>
      <w:r>
        <w:rPr>
          <w:rFonts w:ascii="仿宋" w:hAnsi="仿宋" w:eastAsia="仿宋" w:cs="仿宋_GB2312"/>
          <w:kern w:val="0"/>
          <w:sz w:val="32"/>
          <w:szCs w:val="32"/>
        </w:rPr>
        <w:t>本年拟用于政府采购</w:t>
      </w:r>
      <w:r>
        <w:rPr>
          <w:rFonts w:hint="eastAsia" w:ascii="仿宋" w:hAnsi="仿宋" w:eastAsia="仿宋" w:cs="仿宋_GB2312"/>
          <w:kern w:val="0"/>
          <w:sz w:val="32"/>
          <w:szCs w:val="32"/>
        </w:rPr>
        <w:t>40000元，</w:t>
      </w:r>
      <w:r>
        <w:rPr>
          <w:rFonts w:hint="eastAsia" w:ascii="仿宋" w:hAnsi="仿宋" w:eastAsia="仿宋" w:cs="仿宋_GB2312"/>
          <w:kern w:val="0"/>
          <w:sz w:val="32"/>
          <w:szCs w:val="32"/>
          <w:lang w:eastAsia="zh-CN"/>
        </w:rPr>
        <w:t>计算机</w:t>
      </w:r>
      <w:r>
        <w:rPr>
          <w:rFonts w:hint="eastAsia" w:ascii="仿宋" w:hAnsi="仿宋" w:eastAsia="仿宋" w:cs="仿宋_GB2312"/>
          <w:kern w:val="0"/>
          <w:sz w:val="32"/>
          <w:szCs w:val="32"/>
        </w:rPr>
        <w:t>10台，单价4000元。</w:t>
      </w:r>
      <w:r>
        <w:rPr>
          <w:rFonts w:hint="eastAsia" w:ascii="仿宋" w:hAnsi="仿宋" w:eastAsia="仿宋" w:cs="方正仿宋_GBK"/>
          <w:sz w:val="32"/>
          <w:szCs w:val="32"/>
        </w:rPr>
        <w:t>具体内容见下表。</w:t>
      </w:r>
    </w:p>
    <w:p>
      <w:pPr>
        <w:spacing w:line="560" w:lineRule="exact"/>
        <w:jc w:val="center"/>
        <w:outlineLvl w:val="0"/>
        <w:rPr>
          <w:rFonts w:ascii="黑体" w:hAnsi="黑体" w:eastAsia="黑体" w:cs="方正小标宋_GBK"/>
          <w:sz w:val="32"/>
          <w:szCs w:val="32"/>
        </w:rPr>
      </w:pPr>
    </w:p>
    <w:p>
      <w:pPr>
        <w:spacing w:line="560" w:lineRule="exact"/>
        <w:jc w:val="center"/>
        <w:outlineLvl w:val="0"/>
        <w:rPr>
          <w:rFonts w:ascii="黑体" w:hAnsi="黑体" w:eastAsia="黑体" w:cs="方正小标宋_GBK"/>
          <w:sz w:val="32"/>
          <w:szCs w:val="32"/>
        </w:rPr>
      </w:pPr>
      <w:r>
        <w:rPr>
          <w:rFonts w:hint="eastAsia" w:ascii="黑体" w:hAnsi="黑体" w:eastAsia="黑体" w:cs="方正小标宋_GBK"/>
          <w:sz w:val="32"/>
          <w:szCs w:val="32"/>
        </w:rPr>
        <w:t>部门政府采购预算</w:t>
      </w:r>
    </w:p>
    <w:tbl>
      <w:tblPr>
        <w:tblStyle w:val="8"/>
        <w:tblW w:w="131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30"/>
        <w:gridCol w:w="992"/>
        <w:gridCol w:w="1134"/>
        <w:gridCol w:w="992"/>
        <w:gridCol w:w="851"/>
        <w:gridCol w:w="708"/>
        <w:gridCol w:w="708"/>
        <w:gridCol w:w="1097"/>
        <w:gridCol w:w="992"/>
        <w:gridCol w:w="888"/>
        <w:gridCol w:w="710"/>
        <w:gridCol w:w="709"/>
        <w:gridCol w:w="708"/>
        <w:gridCol w:w="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115" w:type="dxa"/>
            <w:gridSpan w:val="7"/>
            <w:tcBorders>
              <w:top w:val="single" w:color="FFFFFF" w:sz="6" w:space="0"/>
              <w:left w:val="single" w:color="FFFFFF" w:sz="6" w:space="0"/>
              <w:right w:val="single" w:color="FFFFFF" w:sz="6" w:space="0"/>
            </w:tcBorders>
            <w:vAlign w:val="center"/>
          </w:tcPr>
          <w:p>
            <w:pPr>
              <w:spacing w:line="280" w:lineRule="exact"/>
              <w:jc w:val="left"/>
              <w:rPr>
                <w:rFonts w:ascii="仿宋" w:hAnsi="仿宋" w:eastAsia="仿宋" w:cs="Times New Roman"/>
                <w:sz w:val="24"/>
                <w:szCs w:val="24"/>
              </w:rPr>
            </w:pPr>
            <w:r>
              <w:rPr>
                <w:rFonts w:hint="eastAsia" w:ascii="仿宋" w:hAnsi="仿宋" w:eastAsia="仿宋" w:cs="Times New Roman"/>
                <w:sz w:val="24"/>
                <w:szCs w:val="24"/>
              </w:rPr>
              <w:t>部门（单位）：319成安县审计局</w:t>
            </w:r>
          </w:p>
        </w:tc>
        <w:tc>
          <w:tcPr>
            <w:tcW w:w="6037" w:type="dxa"/>
            <w:gridSpan w:val="7"/>
            <w:tcBorders>
              <w:top w:val="single" w:color="FFFFFF" w:sz="6" w:space="0"/>
              <w:left w:val="single" w:color="FFFFFF" w:sz="6" w:space="0"/>
              <w:right w:val="single" w:color="FFFFFF" w:sz="6" w:space="0"/>
            </w:tcBorders>
            <w:vAlign w:val="center"/>
          </w:tcPr>
          <w:p>
            <w:pPr>
              <w:spacing w:line="280" w:lineRule="exact"/>
              <w:jc w:val="right"/>
              <w:rPr>
                <w:rFonts w:ascii="仿宋" w:hAnsi="仿宋" w:eastAsia="仿宋" w:cs="Times New Roman"/>
                <w:sz w:val="24"/>
                <w:szCs w:val="24"/>
              </w:rPr>
            </w:pPr>
            <w:r>
              <w:rPr>
                <w:rFonts w:hint="eastAsia" w:ascii="仿宋" w:hAnsi="仿宋" w:eastAsia="仿宋" w:cs="Times New Roman"/>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722" w:type="dxa"/>
            <w:gridSpan w:val="2"/>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政府采购项目</w:t>
            </w:r>
          </w:p>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来源</w:t>
            </w:r>
          </w:p>
        </w:tc>
        <w:tc>
          <w:tcPr>
            <w:tcW w:w="1134"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采购物品名称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政府采购目录序号</w:t>
            </w:r>
          </w:p>
        </w:tc>
        <w:tc>
          <w:tcPr>
            <w:tcW w:w="851"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数量单位</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数量</w:t>
            </w:r>
          </w:p>
        </w:tc>
        <w:tc>
          <w:tcPr>
            <w:tcW w:w="708"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单价</w:t>
            </w:r>
          </w:p>
        </w:tc>
        <w:tc>
          <w:tcPr>
            <w:tcW w:w="6037" w:type="dxa"/>
            <w:gridSpan w:val="7"/>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42" w:hRule="atLeast"/>
          <w:tblHeader/>
          <w:jc w:val="center"/>
        </w:trPr>
        <w:tc>
          <w:tcPr>
            <w:tcW w:w="1730"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项目名称</w:t>
            </w:r>
          </w:p>
        </w:tc>
        <w:tc>
          <w:tcPr>
            <w:tcW w:w="992"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预算资金</w:t>
            </w: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总计</w:t>
            </w:r>
          </w:p>
        </w:tc>
        <w:tc>
          <w:tcPr>
            <w:tcW w:w="4007" w:type="dxa"/>
            <w:gridSpan w:val="5"/>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当年部门预算安排资金</w:t>
            </w:r>
          </w:p>
        </w:tc>
        <w:tc>
          <w:tcPr>
            <w:tcW w:w="933" w:type="dxa"/>
            <w:vMerge w:val="restart"/>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369" w:hRule="atLeast"/>
          <w:tblHeader/>
          <w:jc w:val="center"/>
        </w:trPr>
        <w:tc>
          <w:tcPr>
            <w:tcW w:w="1730"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1134" w:type="dxa"/>
            <w:vMerge w:val="continue"/>
            <w:vAlign w:val="center"/>
          </w:tcPr>
          <w:p>
            <w:pPr>
              <w:spacing w:line="280" w:lineRule="exact"/>
              <w:jc w:val="left"/>
              <w:outlineLvl w:val="0"/>
              <w:rPr>
                <w:rFonts w:ascii="仿宋" w:hAnsi="仿宋" w:eastAsia="仿宋" w:cs="Times New Roman"/>
                <w:sz w:val="24"/>
                <w:szCs w:val="24"/>
              </w:rPr>
            </w:pPr>
          </w:p>
        </w:tc>
        <w:tc>
          <w:tcPr>
            <w:tcW w:w="992" w:type="dxa"/>
            <w:vMerge w:val="continue"/>
            <w:vAlign w:val="center"/>
          </w:tcPr>
          <w:p>
            <w:pPr>
              <w:spacing w:line="280" w:lineRule="exact"/>
              <w:jc w:val="left"/>
              <w:outlineLvl w:val="0"/>
              <w:rPr>
                <w:rFonts w:ascii="仿宋" w:hAnsi="仿宋" w:eastAsia="仿宋" w:cs="Times New Roman"/>
                <w:sz w:val="24"/>
                <w:szCs w:val="24"/>
              </w:rPr>
            </w:pPr>
          </w:p>
        </w:tc>
        <w:tc>
          <w:tcPr>
            <w:tcW w:w="851"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708" w:type="dxa"/>
            <w:vMerge w:val="continue"/>
            <w:vAlign w:val="center"/>
          </w:tcPr>
          <w:p>
            <w:pPr>
              <w:spacing w:line="280" w:lineRule="exact"/>
              <w:jc w:val="left"/>
              <w:outlineLvl w:val="0"/>
              <w:rPr>
                <w:rFonts w:ascii="仿宋" w:hAnsi="仿宋" w:eastAsia="仿宋" w:cs="Times New Roman"/>
                <w:sz w:val="24"/>
                <w:szCs w:val="24"/>
              </w:rPr>
            </w:pPr>
          </w:p>
        </w:tc>
        <w:tc>
          <w:tcPr>
            <w:tcW w:w="1097" w:type="dxa"/>
            <w:vMerge w:val="continue"/>
            <w:vAlign w:val="center"/>
          </w:tcPr>
          <w:p>
            <w:pPr>
              <w:spacing w:line="280" w:lineRule="exact"/>
              <w:jc w:val="left"/>
              <w:outlineLvl w:val="0"/>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合计</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一般公共预算拨款</w:t>
            </w:r>
          </w:p>
        </w:tc>
        <w:tc>
          <w:tcPr>
            <w:tcW w:w="71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基金预算拨款</w:t>
            </w:r>
          </w:p>
        </w:tc>
        <w:tc>
          <w:tcPr>
            <w:tcW w:w="709"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财政专户核拨</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其他来源收入</w:t>
            </w:r>
          </w:p>
        </w:tc>
        <w:tc>
          <w:tcPr>
            <w:tcW w:w="933" w:type="dxa"/>
            <w:vMerge w:val="continue"/>
            <w:vAlign w:val="center"/>
          </w:tcPr>
          <w:p>
            <w:pPr>
              <w:spacing w:line="280" w:lineRule="exact"/>
              <w:jc w:val="left"/>
              <w:outlineLvl w:val="0"/>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0"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合　计</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1134" w:type="dxa"/>
            <w:vAlign w:val="center"/>
          </w:tcPr>
          <w:p>
            <w:pPr>
              <w:spacing w:line="280" w:lineRule="exact"/>
              <w:jc w:val="center"/>
              <w:rPr>
                <w:rFonts w:ascii="仿宋" w:hAnsi="仿宋" w:eastAsia="仿宋" w:cs="Times New Roman"/>
                <w:sz w:val="24"/>
                <w:szCs w:val="24"/>
              </w:rPr>
            </w:pPr>
          </w:p>
        </w:tc>
        <w:tc>
          <w:tcPr>
            <w:tcW w:w="992" w:type="dxa"/>
            <w:vAlign w:val="center"/>
          </w:tcPr>
          <w:p>
            <w:pPr>
              <w:spacing w:line="280" w:lineRule="exact"/>
              <w:jc w:val="center"/>
              <w:rPr>
                <w:rFonts w:ascii="仿宋" w:hAnsi="仿宋" w:eastAsia="仿宋" w:cs="Times New Roman"/>
                <w:sz w:val="24"/>
                <w:szCs w:val="24"/>
              </w:rPr>
            </w:pPr>
          </w:p>
        </w:tc>
        <w:tc>
          <w:tcPr>
            <w:tcW w:w="851"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49" w:hRule="atLeast"/>
          <w:jc w:val="center"/>
        </w:trPr>
        <w:tc>
          <w:tcPr>
            <w:tcW w:w="1730" w:type="dxa"/>
            <w:vAlign w:val="center"/>
          </w:tcPr>
          <w:p>
            <w:pPr>
              <w:spacing w:line="280" w:lineRule="exact"/>
              <w:jc w:val="center"/>
              <w:rPr>
                <w:rFonts w:ascii="仿宋" w:hAnsi="仿宋" w:eastAsia="仿宋" w:cs="Times New Roman"/>
                <w:sz w:val="24"/>
                <w:szCs w:val="24"/>
              </w:rPr>
            </w:pPr>
            <w:r>
              <w:rPr>
                <w:rFonts w:hint="eastAsia" w:ascii="仿宋" w:hAnsi="仿宋" w:eastAsia="仿宋"/>
                <w:sz w:val="24"/>
                <w:szCs w:val="24"/>
              </w:rPr>
              <w:t>日常公用经费</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1134" w:type="dxa"/>
            <w:vAlign w:val="center"/>
          </w:tcPr>
          <w:p>
            <w:pPr>
              <w:spacing w:line="280" w:lineRule="exact"/>
              <w:jc w:val="center"/>
              <w:rPr>
                <w:rFonts w:ascii="仿宋" w:hAnsi="仿宋" w:eastAsia="仿宋" w:cs="Times New Roman"/>
                <w:sz w:val="24"/>
                <w:szCs w:val="24"/>
              </w:rPr>
            </w:pPr>
            <w:r>
              <w:rPr>
                <w:rFonts w:ascii="仿宋" w:hAnsi="仿宋" w:eastAsia="仿宋" w:cs="Times New Roman"/>
                <w:sz w:val="24"/>
                <w:szCs w:val="24"/>
              </w:rPr>
              <w:t>计算机</w:t>
            </w:r>
          </w:p>
        </w:tc>
        <w:tc>
          <w:tcPr>
            <w:tcW w:w="992" w:type="dxa"/>
            <w:vAlign w:val="center"/>
          </w:tcPr>
          <w:p>
            <w:pPr>
              <w:spacing w:line="280" w:lineRule="exact"/>
              <w:jc w:val="center"/>
              <w:rPr>
                <w:rFonts w:hint="default" w:ascii="仿宋" w:hAnsi="仿宋" w:eastAsia="仿宋" w:cs="Times New Roman"/>
                <w:sz w:val="24"/>
                <w:szCs w:val="24"/>
                <w:lang w:val="en-US" w:eastAsia="zh-CN"/>
              </w:rPr>
            </w:pPr>
            <w:r>
              <w:rPr>
                <w:rFonts w:hint="eastAsia" w:ascii="仿宋" w:hAnsi="仿宋" w:eastAsia="仿宋" w:cs="Times New Roman"/>
                <w:sz w:val="24"/>
                <w:szCs w:val="24"/>
                <w:lang w:val="en-US" w:eastAsia="zh-CN"/>
              </w:rPr>
              <w:t>A02010199</w:t>
            </w:r>
          </w:p>
        </w:tc>
        <w:tc>
          <w:tcPr>
            <w:tcW w:w="851"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台</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10</w:t>
            </w:r>
          </w:p>
        </w:tc>
        <w:tc>
          <w:tcPr>
            <w:tcW w:w="70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0.4</w:t>
            </w:r>
          </w:p>
        </w:tc>
        <w:tc>
          <w:tcPr>
            <w:tcW w:w="1097"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992"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888" w:type="dxa"/>
            <w:vAlign w:val="center"/>
          </w:tcPr>
          <w:p>
            <w:pPr>
              <w:spacing w:line="280" w:lineRule="exact"/>
              <w:jc w:val="center"/>
              <w:rPr>
                <w:rFonts w:ascii="仿宋" w:hAnsi="仿宋" w:eastAsia="仿宋" w:cs="Times New Roman"/>
                <w:sz w:val="24"/>
                <w:szCs w:val="24"/>
              </w:rPr>
            </w:pPr>
            <w:r>
              <w:rPr>
                <w:rFonts w:hint="eastAsia" w:ascii="仿宋" w:hAnsi="仿宋" w:eastAsia="仿宋" w:cs="Times New Roman"/>
                <w:sz w:val="24"/>
                <w:szCs w:val="24"/>
              </w:rPr>
              <w:t>4.0</w:t>
            </w:r>
          </w:p>
        </w:tc>
        <w:tc>
          <w:tcPr>
            <w:tcW w:w="710" w:type="dxa"/>
            <w:vAlign w:val="center"/>
          </w:tcPr>
          <w:p>
            <w:pPr>
              <w:spacing w:line="280" w:lineRule="exact"/>
              <w:jc w:val="center"/>
              <w:rPr>
                <w:rFonts w:ascii="仿宋" w:hAnsi="仿宋" w:eastAsia="仿宋" w:cs="Times New Roman"/>
                <w:sz w:val="24"/>
                <w:szCs w:val="24"/>
              </w:rPr>
            </w:pPr>
          </w:p>
        </w:tc>
        <w:tc>
          <w:tcPr>
            <w:tcW w:w="709" w:type="dxa"/>
            <w:vAlign w:val="center"/>
          </w:tcPr>
          <w:p>
            <w:pPr>
              <w:spacing w:line="280" w:lineRule="exact"/>
              <w:jc w:val="center"/>
              <w:rPr>
                <w:rFonts w:ascii="仿宋" w:hAnsi="仿宋" w:eastAsia="仿宋" w:cs="Times New Roman"/>
                <w:sz w:val="24"/>
                <w:szCs w:val="24"/>
              </w:rPr>
            </w:pPr>
          </w:p>
        </w:tc>
        <w:tc>
          <w:tcPr>
            <w:tcW w:w="708" w:type="dxa"/>
            <w:vAlign w:val="center"/>
          </w:tcPr>
          <w:p>
            <w:pPr>
              <w:spacing w:line="280" w:lineRule="exact"/>
              <w:jc w:val="center"/>
              <w:rPr>
                <w:rFonts w:ascii="仿宋" w:hAnsi="仿宋" w:eastAsia="仿宋" w:cs="Times New Roman"/>
                <w:sz w:val="24"/>
                <w:szCs w:val="24"/>
              </w:rPr>
            </w:pPr>
          </w:p>
        </w:tc>
        <w:tc>
          <w:tcPr>
            <w:tcW w:w="933" w:type="dxa"/>
            <w:vAlign w:val="center"/>
          </w:tcPr>
          <w:p>
            <w:pPr>
              <w:spacing w:line="280" w:lineRule="exact"/>
              <w:jc w:val="center"/>
              <w:rPr>
                <w:rFonts w:ascii="仿宋" w:hAnsi="仿宋" w:eastAsia="仿宋" w:cs="Times New Roman"/>
                <w:sz w:val="24"/>
                <w:szCs w:val="24"/>
              </w:rPr>
            </w:pPr>
          </w:p>
        </w:tc>
      </w:tr>
    </w:tbl>
    <w:p>
      <w:pPr>
        <w:spacing w:line="560" w:lineRule="exact"/>
        <w:jc w:val="center"/>
        <w:outlineLvl w:val="0"/>
        <w:rPr>
          <w:rFonts w:ascii="仿宋" w:hAnsi="仿宋" w:eastAsia="仿宋" w:cs="Times New Roman"/>
          <w:sz w:val="32"/>
          <w:szCs w:val="32"/>
        </w:rPr>
      </w:pPr>
    </w:p>
    <w:p>
      <w:pPr>
        <w:autoSpaceDE w:val="0"/>
        <w:autoSpaceDN w:val="0"/>
        <w:adjustRightInd w:val="0"/>
        <w:spacing w:line="560" w:lineRule="exact"/>
        <w:jc w:val="left"/>
        <w:rPr>
          <w:rFonts w:ascii="黑体" w:hAnsi="黑体" w:eastAsia="黑体" w:cs="Times New Roman"/>
          <w:sz w:val="32"/>
          <w:szCs w:val="32"/>
        </w:rPr>
      </w:pPr>
      <w:r>
        <w:rPr>
          <w:rFonts w:hint="eastAsia" w:ascii="黑体" w:hAnsi="黑体" w:eastAsia="黑体" w:cs="黑体"/>
          <w:sz w:val="32"/>
          <w:szCs w:val="32"/>
        </w:rPr>
        <w:t>七、国有资产信息</w:t>
      </w:r>
    </w:p>
    <w:p>
      <w:pPr>
        <w:spacing w:line="560" w:lineRule="exact"/>
        <w:ind w:firstLine="640"/>
        <w:rPr>
          <w:rFonts w:ascii="仿宋" w:hAnsi="仿宋" w:eastAsia="仿宋" w:cs="仿宋_GB2312"/>
          <w:sz w:val="32"/>
          <w:szCs w:val="32"/>
        </w:rPr>
      </w:pPr>
      <w:r>
        <w:rPr>
          <w:rFonts w:hint="eastAsia" w:ascii="仿宋" w:hAnsi="仿宋" w:eastAsia="仿宋" w:cs="仿宋_GB2312"/>
          <w:sz w:val="32"/>
          <w:szCs w:val="32"/>
        </w:rPr>
        <w:t>我单位上年末固定资产金额为42.39万元，本年度拟购置固定资产主要为计算机设备</w:t>
      </w:r>
      <w:r>
        <w:rPr>
          <w:rFonts w:hint="eastAsia" w:ascii="仿宋" w:hAnsi="仿宋" w:eastAsia="仿宋" w:cs="仿宋_GB2312"/>
          <w:sz w:val="32"/>
          <w:szCs w:val="32"/>
          <w:lang w:val="en-US" w:eastAsia="zh-CN"/>
        </w:rPr>
        <w:t>10台共计4万元</w:t>
      </w:r>
      <w:r>
        <w:rPr>
          <w:rFonts w:hint="eastAsia" w:ascii="仿宋" w:hAnsi="仿宋" w:eastAsia="仿宋" w:cs="仿宋_GB2312"/>
          <w:sz w:val="32"/>
          <w:szCs w:val="32"/>
        </w:rPr>
        <w:t>，已列入政府采购预算。详见下表。</w:t>
      </w:r>
    </w:p>
    <w:tbl>
      <w:tblPr>
        <w:tblStyle w:val="8"/>
        <w:tblW w:w="12758" w:type="dxa"/>
        <w:tblInd w:w="959" w:type="dxa"/>
        <w:tblLayout w:type="fixed"/>
        <w:tblCellMar>
          <w:top w:w="0" w:type="dxa"/>
          <w:left w:w="108" w:type="dxa"/>
          <w:bottom w:w="0" w:type="dxa"/>
          <w:right w:w="108" w:type="dxa"/>
        </w:tblCellMar>
      </w:tblPr>
      <w:tblGrid>
        <w:gridCol w:w="5795"/>
        <w:gridCol w:w="1416"/>
        <w:gridCol w:w="5547"/>
      </w:tblGrid>
      <w:tr>
        <w:tblPrEx>
          <w:tblCellMar>
            <w:top w:w="0" w:type="dxa"/>
            <w:left w:w="108" w:type="dxa"/>
            <w:bottom w:w="0" w:type="dxa"/>
            <w:right w:w="108" w:type="dxa"/>
          </w:tblCellMar>
        </w:tblPrEx>
        <w:trPr>
          <w:trHeight w:val="705" w:hRule="atLeast"/>
        </w:trPr>
        <w:tc>
          <w:tcPr>
            <w:tcW w:w="12758" w:type="dxa"/>
            <w:gridSpan w:val="3"/>
            <w:tcBorders>
              <w:top w:val="nil"/>
              <w:left w:val="nil"/>
              <w:bottom w:val="nil"/>
              <w:right w:val="nil"/>
            </w:tcBorders>
            <w:noWrap/>
            <w:vAlign w:val="center"/>
          </w:tcPr>
          <w:p>
            <w:pPr>
              <w:widowControl/>
              <w:ind w:firstLine="2715" w:firstLineChars="845"/>
              <w:rPr>
                <w:rFonts w:ascii="宋体" w:hAnsi="宋体" w:eastAsia="宋体" w:cs="宋体"/>
                <w:b/>
                <w:bCs/>
                <w:kern w:val="0"/>
                <w:sz w:val="32"/>
                <w:szCs w:val="32"/>
              </w:rPr>
            </w:pPr>
          </w:p>
          <w:p>
            <w:pPr>
              <w:widowControl/>
              <w:ind w:firstLine="2715" w:firstLineChars="845"/>
              <w:rPr>
                <w:rFonts w:ascii="宋体" w:hAnsi="宋体" w:eastAsia="宋体" w:cs="宋体"/>
                <w:b/>
                <w:bCs/>
                <w:kern w:val="0"/>
                <w:sz w:val="32"/>
                <w:szCs w:val="32"/>
              </w:rPr>
            </w:pPr>
          </w:p>
          <w:p>
            <w:pPr>
              <w:widowControl/>
              <w:ind w:firstLine="2715" w:firstLineChars="845"/>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部门固定资产占用情况表</w:t>
            </w:r>
          </w:p>
          <w:p>
            <w:pPr>
              <w:widowControl/>
              <w:rPr>
                <w:rFonts w:ascii="宋体" w:hAnsi="宋体" w:eastAsia="宋体" w:cs="Times New Roman"/>
                <w:b/>
                <w:bCs/>
                <w:kern w:val="0"/>
                <w:sz w:val="10"/>
                <w:szCs w:val="10"/>
              </w:rPr>
            </w:pPr>
          </w:p>
        </w:tc>
      </w:tr>
      <w:tr>
        <w:tblPrEx>
          <w:tblCellMar>
            <w:top w:w="0" w:type="dxa"/>
            <w:left w:w="108" w:type="dxa"/>
            <w:bottom w:w="0" w:type="dxa"/>
            <w:right w:w="108" w:type="dxa"/>
          </w:tblCellMar>
        </w:tblPrEx>
        <w:trPr>
          <w:trHeight w:val="510" w:hRule="atLeast"/>
        </w:trPr>
        <w:tc>
          <w:tcPr>
            <w:tcW w:w="7211" w:type="dxa"/>
            <w:gridSpan w:val="2"/>
            <w:tcBorders>
              <w:top w:val="nil"/>
              <w:left w:val="nil"/>
              <w:bottom w:val="nil"/>
              <w:right w:val="nil"/>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编制部门：319成安县审计局</w:t>
            </w:r>
          </w:p>
        </w:tc>
        <w:tc>
          <w:tcPr>
            <w:tcW w:w="5547" w:type="dxa"/>
            <w:tcBorders>
              <w:top w:val="nil"/>
              <w:left w:val="nil"/>
              <w:bottom w:val="nil"/>
              <w:right w:val="nil"/>
            </w:tcBorders>
            <w:noWrap/>
            <w:vAlign w:val="center"/>
          </w:tcPr>
          <w:p>
            <w:pPr>
              <w:widowControl/>
              <w:jc w:val="left"/>
              <w:rPr>
                <w:rFonts w:ascii="仿宋" w:hAnsi="仿宋" w:eastAsia="仿宋" w:cs="宋体"/>
                <w:kern w:val="0"/>
                <w:sz w:val="32"/>
                <w:szCs w:val="32"/>
              </w:rPr>
            </w:pPr>
            <w:r>
              <w:rPr>
                <w:rFonts w:hint="eastAsia" w:ascii="仿宋" w:hAnsi="仿宋" w:eastAsia="仿宋" w:cs="宋体"/>
                <w:kern w:val="0"/>
                <w:sz w:val="32"/>
                <w:szCs w:val="32"/>
              </w:rPr>
              <w:t>截止时间：</w:t>
            </w:r>
            <w:r>
              <w:rPr>
                <w:rFonts w:ascii="仿宋" w:hAnsi="仿宋" w:eastAsia="仿宋" w:cs="宋体"/>
                <w:kern w:val="0"/>
                <w:sz w:val="32"/>
                <w:szCs w:val="32"/>
              </w:rPr>
              <w:t>20</w:t>
            </w:r>
            <w:r>
              <w:rPr>
                <w:rFonts w:hint="eastAsia" w:ascii="仿宋" w:hAnsi="仿宋" w:eastAsia="仿宋" w:cs="宋体"/>
                <w:kern w:val="0"/>
                <w:sz w:val="32"/>
                <w:szCs w:val="32"/>
              </w:rPr>
              <w:t>20年</w:t>
            </w:r>
            <w:r>
              <w:rPr>
                <w:rFonts w:ascii="仿宋" w:hAnsi="仿宋" w:eastAsia="仿宋" w:cs="宋体"/>
                <w:kern w:val="0"/>
                <w:sz w:val="32"/>
                <w:szCs w:val="32"/>
              </w:rPr>
              <w:t>12</w:t>
            </w:r>
            <w:r>
              <w:rPr>
                <w:rFonts w:hint="eastAsia" w:ascii="仿宋" w:hAnsi="仿宋" w:eastAsia="仿宋" w:cs="宋体"/>
                <w:kern w:val="0"/>
                <w:sz w:val="32"/>
                <w:szCs w:val="32"/>
              </w:rPr>
              <w:t>月</w:t>
            </w:r>
            <w:r>
              <w:rPr>
                <w:rFonts w:ascii="仿宋" w:hAnsi="仿宋" w:eastAsia="仿宋" w:cs="宋体"/>
                <w:kern w:val="0"/>
                <w:sz w:val="32"/>
                <w:szCs w:val="32"/>
              </w:rPr>
              <w:t>31</w:t>
            </w:r>
            <w:r>
              <w:rPr>
                <w:rFonts w:hint="eastAsia" w:ascii="仿宋" w:hAnsi="仿宋" w:eastAsia="仿宋" w:cs="宋体"/>
                <w:kern w:val="0"/>
                <w:sz w:val="32"/>
                <w:szCs w:val="32"/>
              </w:rPr>
              <w:t>日</w:t>
            </w:r>
          </w:p>
        </w:tc>
      </w:tr>
      <w:tr>
        <w:tblPrEx>
          <w:tblCellMar>
            <w:top w:w="0" w:type="dxa"/>
            <w:left w:w="108" w:type="dxa"/>
            <w:bottom w:w="0" w:type="dxa"/>
            <w:right w:w="108" w:type="dxa"/>
          </w:tblCellMar>
        </w:tblPrEx>
        <w:trPr>
          <w:trHeight w:val="645" w:hRule="atLeast"/>
        </w:trPr>
        <w:tc>
          <w:tcPr>
            <w:tcW w:w="579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项目</w:t>
            </w:r>
          </w:p>
        </w:tc>
        <w:tc>
          <w:tcPr>
            <w:tcW w:w="1416"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数量</w:t>
            </w:r>
          </w:p>
        </w:tc>
        <w:tc>
          <w:tcPr>
            <w:tcW w:w="554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Times New Roman"/>
                <w:b/>
                <w:bCs/>
                <w:kern w:val="0"/>
                <w:sz w:val="32"/>
                <w:szCs w:val="32"/>
              </w:rPr>
            </w:pPr>
            <w:r>
              <w:rPr>
                <w:rFonts w:hint="eastAsia" w:ascii="仿宋" w:hAnsi="仿宋" w:eastAsia="仿宋" w:cs="宋体"/>
                <w:b/>
                <w:bCs/>
                <w:kern w:val="0"/>
                <w:sz w:val="32"/>
                <w:szCs w:val="32"/>
              </w:rPr>
              <w:t>价值（金额单位：万元）</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宋体"/>
                <w:kern w:val="0"/>
                <w:sz w:val="32"/>
                <w:szCs w:val="32"/>
              </w:rPr>
              <w:t>资产总额</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ascii="仿宋" w:hAnsi="仿宋" w:eastAsia="仿宋" w:cs="宋体"/>
                <w:kern w:val="0"/>
                <w:sz w:val="32"/>
                <w:szCs w:val="32"/>
              </w:rPr>
              <w:t>——</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kern w:val="0"/>
                <w:sz w:val="32"/>
                <w:szCs w:val="32"/>
              </w:rPr>
            </w:pPr>
            <w:r>
              <w:rPr>
                <w:rFonts w:hint="eastAsia" w:ascii="仿宋" w:hAnsi="仿宋" w:eastAsia="仿宋" w:cs="宋体"/>
                <w:kern w:val="0"/>
                <w:sz w:val="32"/>
                <w:szCs w:val="32"/>
              </w:rPr>
              <w:t>42.66</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1</w:t>
            </w:r>
            <w:r>
              <w:rPr>
                <w:rFonts w:hint="eastAsia" w:ascii="仿宋" w:hAnsi="仿宋" w:eastAsia="仿宋" w:cs="宋体"/>
                <w:kern w:val="0"/>
                <w:sz w:val="32"/>
                <w:szCs w:val="32"/>
              </w:rPr>
              <w:t>、房屋（平方米）</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350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hint="eastAsia" w:ascii="仿宋" w:hAnsi="仿宋" w:eastAsia="仿宋" w:cs="宋体"/>
                <w:kern w:val="0"/>
                <w:sz w:val="32"/>
                <w:szCs w:val="32"/>
              </w:rPr>
              <w:t>其中：办公用房（平方米）</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320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在政府集中办公</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2</w:t>
            </w:r>
            <w:r>
              <w:rPr>
                <w:rFonts w:hint="eastAsia" w:ascii="仿宋" w:hAnsi="仿宋" w:eastAsia="仿宋" w:cs="宋体"/>
                <w:kern w:val="0"/>
                <w:sz w:val="32"/>
                <w:szCs w:val="32"/>
              </w:rPr>
              <w:t>、车辆（台、辆）</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3</w:t>
            </w:r>
            <w:r>
              <w:rPr>
                <w:rFonts w:hint="eastAsia" w:ascii="仿宋" w:hAnsi="仿宋" w:eastAsia="仿宋" w:cs="宋体"/>
                <w:kern w:val="0"/>
                <w:sz w:val="32"/>
                <w:szCs w:val="32"/>
              </w:rPr>
              <w:t>、单价在</w:t>
            </w:r>
            <w:r>
              <w:rPr>
                <w:rFonts w:ascii="仿宋" w:hAnsi="仿宋" w:eastAsia="仿宋" w:cs="宋体"/>
                <w:kern w:val="0"/>
                <w:sz w:val="32"/>
                <w:szCs w:val="32"/>
              </w:rPr>
              <w:t>50</w:t>
            </w:r>
            <w:r>
              <w:rPr>
                <w:rFonts w:hint="eastAsia" w:ascii="仿宋" w:hAnsi="仿宋" w:eastAsia="仿宋" w:cs="宋体"/>
                <w:kern w:val="0"/>
                <w:sz w:val="32"/>
                <w:szCs w:val="32"/>
              </w:rPr>
              <w:t>万元以上的设备</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0</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0</w:t>
            </w:r>
          </w:p>
        </w:tc>
      </w:tr>
      <w:tr>
        <w:tblPrEx>
          <w:tblCellMar>
            <w:top w:w="0" w:type="dxa"/>
            <w:left w:w="108" w:type="dxa"/>
            <w:bottom w:w="0" w:type="dxa"/>
            <w:right w:w="108" w:type="dxa"/>
          </w:tblCellMar>
        </w:tblPrEx>
        <w:trPr>
          <w:trHeight w:val="645" w:hRule="atLeast"/>
        </w:trPr>
        <w:tc>
          <w:tcPr>
            <w:tcW w:w="5795" w:type="dxa"/>
            <w:tcBorders>
              <w:top w:val="nil"/>
              <w:left w:val="single" w:color="auto" w:sz="4" w:space="0"/>
              <w:bottom w:val="single" w:color="auto" w:sz="4" w:space="0"/>
              <w:right w:val="single" w:color="auto" w:sz="4" w:space="0"/>
            </w:tcBorders>
            <w:noWrap/>
            <w:vAlign w:val="center"/>
          </w:tcPr>
          <w:p>
            <w:pPr>
              <w:widowControl/>
              <w:jc w:val="left"/>
              <w:rPr>
                <w:rFonts w:ascii="仿宋" w:hAnsi="仿宋" w:eastAsia="仿宋" w:cs="Times New Roman"/>
                <w:kern w:val="0"/>
                <w:sz w:val="32"/>
                <w:szCs w:val="32"/>
              </w:rPr>
            </w:pPr>
            <w:r>
              <w:rPr>
                <w:rFonts w:ascii="仿宋" w:hAnsi="仿宋" w:eastAsia="仿宋" w:cs="宋体"/>
                <w:kern w:val="0"/>
                <w:sz w:val="32"/>
                <w:szCs w:val="32"/>
              </w:rPr>
              <w:t>4</w:t>
            </w:r>
            <w:r>
              <w:rPr>
                <w:rFonts w:hint="eastAsia" w:ascii="仿宋" w:hAnsi="仿宋" w:eastAsia="仿宋" w:cs="宋体"/>
                <w:kern w:val="0"/>
                <w:sz w:val="32"/>
                <w:szCs w:val="32"/>
              </w:rPr>
              <w:t>、其他固定资产</w:t>
            </w:r>
          </w:p>
        </w:tc>
        <w:tc>
          <w:tcPr>
            <w:tcW w:w="1416"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16</w:t>
            </w:r>
          </w:p>
        </w:tc>
        <w:tc>
          <w:tcPr>
            <w:tcW w:w="5547" w:type="dxa"/>
            <w:tcBorders>
              <w:top w:val="nil"/>
              <w:left w:val="nil"/>
              <w:bottom w:val="single" w:color="auto" w:sz="4" w:space="0"/>
              <w:right w:val="single" w:color="auto" w:sz="4" w:space="0"/>
            </w:tcBorders>
            <w:noWrap/>
            <w:vAlign w:val="center"/>
          </w:tcPr>
          <w:p>
            <w:pPr>
              <w:widowControl/>
              <w:jc w:val="center"/>
              <w:rPr>
                <w:rFonts w:ascii="仿宋" w:hAnsi="仿宋" w:eastAsia="仿宋" w:cs="Times New Roman"/>
                <w:kern w:val="0"/>
                <w:sz w:val="32"/>
                <w:szCs w:val="32"/>
              </w:rPr>
            </w:pPr>
            <w:r>
              <w:rPr>
                <w:rFonts w:hint="eastAsia" w:ascii="仿宋" w:hAnsi="仿宋" w:eastAsia="仿宋" w:cs="Times New Roman"/>
                <w:kern w:val="0"/>
                <w:sz w:val="32"/>
                <w:szCs w:val="32"/>
              </w:rPr>
              <w:t>26.66</w:t>
            </w:r>
          </w:p>
        </w:tc>
      </w:tr>
    </w:tbl>
    <w:p>
      <w:pPr>
        <w:widowControl/>
        <w:spacing w:line="360" w:lineRule="auto"/>
        <w:jc w:val="left"/>
        <w:rPr>
          <w:rFonts w:ascii="Calibri" w:hAnsi="Calibri" w:eastAsia="仿宋_GB2312" w:cs="Calibri"/>
          <w:b/>
          <w:kern w:val="0"/>
          <w:sz w:val="32"/>
          <w:szCs w:val="32"/>
        </w:rPr>
      </w:pPr>
    </w:p>
    <w:p>
      <w:pPr>
        <w:widowControl/>
        <w:spacing w:line="360" w:lineRule="auto"/>
        <w:ind w:firstLine="964" w:firstLineChars="300"/>
        <w:jc w:val="left"/>
        <w:rPr>
          <w:rFonts w:ascii="黑体" w:hAnsi="黑体" w:eastAsia="黑体" w:cs="仿宋"/>
          <w:kern w:val="0"/>
          <w:sz w:val="32"/>
          <w:szCs w:val="32"/>
        </w:rPr>
      </w:pPr>
      <w:r>
        <w:rPr>
          <w:rFonts w:hint="eastAsia" w:ascii="黑体" w:hAnsi="黑体" w:eastAsia="黑体" w:cs="仿宋_GB2312"/>
          <w:b/>
          <w:kern w:val="0"/>
          <w:sz w:val="32"/>
          <w:szCs w:val="32"/>
        </w:rPr>
        <w:t>八、</w:t>
      </w:r>
      <w:r>
        <w:rPr>
          <w:rFonts w:hint="eastAsia" w:ascii="黑体" w:hAnsi="黑体" w:eastAsia="黑体" w:cs="仿宋"/>
          <w:b/>
          <w:kern w:val="0"/>
          <w:sz w:val="32"/>
          <w:szCs w:val="32"/>
        </w:rPr>
        <w:t>名词解释</w:t>
      </w:r>
      <w:r>
        <w:rPr>
          <w:rFonts w:hint="eastAsia" w:ascii="黑体" w:hAnsi="黑体" w:eastAsia="黑体" w:cs="仿宋"/>
          <w:kern w:val="0"/>
          <w:sz w:val="32"/>
          <w:szCs w:val="32"/>
        </w:rPr>
        <w:t> </w:t>
      </w:r>
    </w:p>
    <w:p>
      <w:pPr>
        <w:widowControl/>
        <w:spacing w:line="360" w:lineRule="auto"/>
        <w:ind w:firstLine="964" w:firstLineChars="300"/>
        <w:jc w:val="left"/>
        <w:rPr>
          <w:rFonts w:ascii="仿宋" w:hAnsi="仿宋" w:eastAsia="仿宋" w:cs="仿宋"/>
          <w:kern w:val="0"/>
          <w:sz w:val="32"/>
          <w:szCs w:val="32"/>
        </w:rPr>
      </w:pPr>
      <w:r>
        <w:rPr>
          <w:rFonts w:hint="eastAsia" w:ascii="楷体" w:hAnsi="楷体" w:eastAsia="楷体" w:cs="仿宋"/>
          <w:b/>
          <w:bCs/>
          <w:kern w:val="0"/>
          <w:sz w:val="32"/>
          <w:szCs w:val="32"/>
        </w:rPr>
        <w:t>1、财政拨款收入</w:t>
      </w:r>
      <w:r>
        <w:rPr>
          <w:rFonts w:hint="eastAsia" w:ascii="仿宋" w:hAnsi="仿宋" w:eastAsia="仿宋" w:cs="仿宋"/>
          <w:bCs/>
          <w:kern w:val="0"/>
          <w:sz w:val="32"/>
          <w:szCs w:val="32"/>
        </w:rPr>
        <w:t>：指</w:t>
      </w:r>
      <w:r>
        <w:rPr>
          <w:rFonts w:hint="eastAsia" w:ascii="仿宋" w:hAnsi="仿宋" w:eastAsia="仿宋" w:cs="仿宋"/>
          <w:kern w:val="0"/>
          <w:sz w:val="32"/>
          <w:szCs w:val="32"/>
        </w:rPr>
        <w:t>财政当年拨付的资金。</w:t>
      </w:r>
    </w:p>
    <w:p>
      <w:pPr>
        <w:widowControl/>
        <w:spacing w:line="360" w:lineRule="auto"/>
        <w:ind w:firstLine="964" w:firstLineChars="300"/>
        <w:jc w:val="left"/>
        <w:rPr>
          <w:rFonts w:ascii="微软雅黑" w:hAnsi="微软雅黑" w:eastAsia="微软雅黑" w:cs="微软雅黑"/>
          <w:kern w:val="0"/>
          <w:sz w:val="24"/>
          <w:szCs w:val="24"/>
        </w:rPr>
      </w:pPr>
      <w:r>
        <w:rPr>
          <w:rFonts w:hint="eastAsia" w:ascii="楷体" w:hAnsi="楷体" w:eastAsia="楷体" w:cs="仿宋"/>
          <w:b/>
          <w:kern w:val="0"/>
          <w:sz w:val="32"/>
          <w:szCs w:val="32"/>
        </w:rPr>
        <w:t>2、“三公”经费</w:t>
      </w:r>
      <w:r>
        <w:rPr>
          <w:rFonts w:hint="eastAsia" w:ascii="仿宋" w:hAnsi="仿宋" w:eastAsia="仿宋" w:cs="仿宋"/>
          <w:kern w:val="0"/>
          <w:sz w:val="32"/>
          <w:szCs w:val="32"/>
        </w:rPr>
        <w:t>：包括因公出国（境）费、公务接待费和公务用车购置及运行费。因公出国（境）费，指单位工作人员公务出国（境）的住宿费、差旅费、伙食补助费、杂费、培训费等支出。公务接待费，指单位按规定开支的各类公务接待（含外宾接待）支出。公务用车购置及运行费，指单位公务用车购置费及租用费、燃料费、维修费等支出，公务用车指用于履行公务的机动车辆，包括领导干部专车、一般公务用车和执法执勤等业务用车。</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微软雅黑"/>
          <w:b/>
          <w:kern w:val="0"/>
          <w:sz w:val="32"/>
          <w:szCs w:val="32"/>
        </w:rPr>
        <w:t>3</w:t>
      </w:r>
      <w:r>
        <w:rPr>
          <w:rFonts w:hint="eastAsia" w:ascii="楷体" w:hAnsi="楷体" w:eastAsia="楷体" w:cs="仿宋"/>
          <w:b/>
          <w:kern w:val="0"/>
          <w:sz w:val="32"/>
          <w:szCs w:val="32"/>
        </w:rPr>
        <w:t>、年初结转和结余</w:t>
      </w:r>
      <w:r>
        <w:rPr>
          <w:rFonts w:hint="eastAsia" w:ascii="仿宋" w:hAnsi="仿宋" w:eastAsia="仿宋" w:cs="仿宋"/>
          <w:kern w:val="0"/>
          <w:sz w:val="32"/>
          <w:szCs w:val="32"/>
        </w:rPr>
        <w:t>：指以前年度尚未完成，结转到本年仍按照原规定用途继续使用的资金，或项目已完成等产生的结余资金。</w:t>
      </w:r>
      <w:r>
        <w:rPr>
          <w:rFonts w:hint="eastAsia" w:ascii="仿宋" w:hAnsi="仿宋" w:eastAsia="仿宋" w:cs="仿宋"/>
          <w:b/>
          <w:kern w:val="0"/>
          <w:sz w:val="32"/>
          <w:szCs w:val="32"/>
        </w:rPr>
        <w:t> </w:t>
      </w:r>
    </w:p>
    <w:p>
      <w:pPr>
        <w:widowControl/>
        <w:spacing w:line="360" w:lineRule="auto"/>
        <w:ind w:firstLine="643" w:firstLineChars="200"/>
        <w:jc w:val="left"/>
        <w:rPr>
          <w:rFonts w:ascii="仿宋" w:hAnsi="仿宋" w:eastAsia="仿宋" w:cs="仿宋"/>
          <w:b/>
          <w:kern w:val="0"/>
          <w:sz w:val="32"/>
          <w:szCs w:val="32"/>
        </w:rPr>
      </w:pPr>
      <w:r>
        <w:rPr>
          <w:rFonts w:hint="eastAsia" w:ascii="楷体" w:hAnsi="楷体" w:eastAsia="楷体" w:cs="仿宋"/>
          <w:b/>
          <w:kern w:val="0"/>
          <w:sz w:val="32"/>
          <w:szCs w:val="32"/>
        </w:rPr>
        <w:t>4、基本支出</w:t>
      </w:r>
      <w:r>
        <w:rPr>
          <w:rFonts w:hint="eastAsia" w:ascii="仿宋" w:hAnsi="仿宋" w:eastAsia="仿宋" w:cs="仿宋"/>
          <w:kern w:val="0"/>
          <w:sz w:val="32"/>
          <w:szCs w:val="32"/>
        </w:rPr>
        <w:t>：指单位为了保障其正常运转、完成日常工作任务而发生的人员支出和公用支出。</w:t>
      </w:r>
      <w:r>
        <w:rPr>
          <w:rFonts w:hint="eastAsia" w:ascii="仿宋" w:hAnsi="仿宋" w:eastAsia="仿宋" w:cs="仿宋"/>
          <w:b/>
          <w:kern w:val="0"/>
          <w:sz w:val="32"/>
          <w:szCs w:val="32"/>
        </w:rPr>
        <w:t> </w:t>
      </w:r>
    </w:p>
    <w:p>
      <w:pPr>
        <w:widowControl/>
        <w:spacing w:line="360" w:lineRule="auto"/>
        <w:ind w:firstLine="640" w:firstLineChars="200"/>
        <w:jc w:val="left"/>
        <w:rPr>
          <w:rFonts w:ascii="仿宋" w:hAnsi="仿宋" w:eastAsia="仿宋" w:cs="仿宋"/>
          <w:kern w:val="0"/>
          <w:sz w:val="32"/>
          <w:szCs w:val="32"/>
        </w:rPr>
      </w:pPr>
      <w:r>
        <w:rPr>
          <w:rFonts w:hint="eastAsia" w:ascii="楷体" w:hAnsi="楷体" w:eastAsia="楷体" w:cs="仿宋"/>
          <w:kern w:val="0"/>
          <w:sz w:val="32"/>
          <w:szCs w:val="32"/>
        </w:rPr>
        <w:t>5、项目支出</w:t>
      </w:r>
      <w:r>
        <w:rPr>
          <w:rFonts w:hint="eastAsia" w:ascii="仿宋" w:hAnsi="仿宋" w:eastAsia="仿宋" w:cs="仿宋"/>
          <w:b/>
          <w:kern w:val="0"/>
          <w:sz w:val="32"/>
          <w:szCs w:val="32"/>
        </w:rPr>
        <w:t>：</w:t>
      </w:r>
      <w:r>
        <w:rPr>
          <w:rFonts w:hint="eastAsia" w:ascii="仿宋" w:hAnsi="仿宋" w:eastAsia="仿宋" w:cs="仿宋"/>
          <w:kern w:val="0"/>
          <w:sz w:val="32"/>
          <w:szCs w:val="32"/>
        </w:rPr>
        <w:t>指单位为了特定的工作任务和事业发展目标，在基本支出之外所发生的支出。</w:t>
      </w:r>
    </w:p>
    <w:p>
      <w:pPr>
        <w:widowControl/>
        <w:spacing w:line="360" w:lineRule="auto"/>
        <w:ind w:firstLine="640" w:firstLineChars="200"/>
        <w:jc w:val="left"/>
        <w:rPr>
          <w:rFonts w:ascii="黑体" w:hAnsi="黑体" w:eastAsia="黑体" w:cs="仿宋"/>
          <w:kern w:val="0"/>
          <w:sz w:val="32"/>
          <w:szCs w:val="32"/>
        </w:rPr>
      </w:pPr>
      <w:r>
        <w:rPr>
          <w:rFonts w:hint="eastAsia" w:ascii="黑体" w:hAnsi="黑体" w:eastAsia="黑体" w:cs="仿宋"/>
          <w:kern w:val="0"/>
          <w:sz w:val="32"/>
          <w:szCs w:val="32"/>
        </w:rPr>
        <w:t>九、其他需要说明的事项</w:t>
      </w:r>
    </w:p>
    <w:p>
      <w:pPr>
        <w:widowControl/>
        <w:spacing w:line="360" w:lineRule="auto"/>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无其他需要说明的事项。</w:t>
      </w:r>
    </w:p>
    <w:p>
      <w:pPr>
        <w:widowControl/>
        <w:spacing w:line="360" w:lineRule="auto"/>
        <w:ind w:firstLine="420" w:firstLineChars="200"/>
        <w:jc w:val="left"/>
      </w:pPr>
    </w:p>
    <w:sectPr>
      <w:footerReference r:id="rId3" w:type="default"/>
      <w:pgSz w:w="16839" w:h="11907" w:orient="landscape"/>
      <w:pgMar w:top="1134" w:right="1021" w:bottom="1134" w:left="102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2553723"/>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A466F3"/>
    <w:multiLevelType w:val="multilevel"/>
    <w:tmpl w:val="3EA466F3"/>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8"/>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IyYjVkM2Q3OGI3NjgyMmRhNzc4Mzg1ZjJiNjZhOGYifQ=="/>
  </w:docVars>
  <w:rsids>
    <w:rsidRoot w:val="00E810D6"/>
    <w:rsid w:val="00056D43"/>
    <w:rsid w:val="0014701B"/>
    <w:rsid w:val="001700F7"/>
    <w:rsid w:val="00176244"/>
    <w:rsid w:val="0019434D"/>
    <w:rsid w:val="00197767"/>
    <w:rsid w:val="001B21CC"/>
    <w:rsid w:val="001B565C"/>
    <w:rsid w:val="001E5CC4"/>
    <w:rsid w:val="00201474"/>
    <w:rsid w:val="00242910"/>
    <w:rsid w:val="00273898"/>
    <w:rsid w:val="00280EC0"/>
    <w:rsid w:val="002817F4"/>
    <w:rsid w:val="002E3A95"/>
    <w:rsid w:val="00317781"/>
    <w:rsid w:val="003276E5"/>
    <w:rsid w:val="003466C0"/>
    <w:rsid w:val="00346A54"/>
    <w:rsid w:val="00367009"/>
    <w:rsid w:val="00381903"/>
    <w:rsid w:val="003933F1"/>
    <w:rsid w:val="003A52C4"/>
    <w:rsid w:val="003D4529"/>
    <w:rsid w:val="003F04F8"/>
    <w:rsid w:val="004410BA"/>
    <w:rsid w:val="004A38F8"/>
    <w:rsid w:val="004B2304"/>
    <w:rsid w:val="00513C3D"/>
    <w:rsid w:val="00513E63"/>
    <w:rsid w:val="005321C6"/>
    <w:rsid w:val="00543D6B"/>
    <w:rsid w:val="005566D7"/>
    <w:rsid w:val="00592153"/>
    <w:rsid w:val="005D136A"/>
    <w:rsid w:val="005D201E"/>
    <w:rsid w:val="005E0251"/>
    <w:rsid w:val="005E0800"/>
    <w:rsid w:val="00623122"/>
    <w:rsid w:val="0062621A"/>
    <w:rsid w:val="00637C9B"/>
    <w:rsid w:val="00685811"/>
    <w:rsid w:val="006869FC"/>
    <w:rsid w:val="006A1896"/>
    <w:rsid w:val="006D1C5B"/>
    <w:rsid w:val="007100CC"/>
    <w:rsid w:val="00716119"/>
    <w:rsid w:val="00727E15"/>
    <w:rsid w:val="00731ECE"/>
    <w:rsid w:val="00750FA8"/>
    <w:rsid w:val="00781C35"/>
    <w:rsid w:val="007A507B"/>
    <w:rsid w:val="007B2E5B"/>
    <w:rsid w:val="007D6BF0"/>
    <w:rsid w:val="007F6118"/>
    <w:rsid w:val="00803948"/>
    <w:rsid w:val="008058DC"/>
    <w:rsid w:val="00834572"/>
    <w:rsid w:val="00881C85"/>
    <w:rsid w:val="008A0DB8"/>
    <w:rsid w:val="008C7744"/>
    <w:rsid w:val="00904E2A"/>
    <w:rsid w:val="00905E04"/>
    <w:rsid w:val="00912B9F"/>
    <w:rsid w:val="00915985"/>
    <w:rsid w:val="00932E94"/>
    <w:rsid w:val="009629CF"/>
    <w:rsid w:val="00962FDC"/>
    <w:rsid w:val="00994454"/>
    <w:rsid w:val="009C1FB9"/>
    <w:rsid w:val="009D60BC"/>
    <w:rsid w:val="00A07D70"/>
    <w:rsid w:val="00A15186"/>
    <w:rsid w:val="00A20528"/>
    <w:rsid w:val="00A80304"/>
    <w:rsid w:val="00A82369"/>
    <w:rsid w:val="00AF3E48"/>
    <w:rsid w:val="00AF5DDC"/>
    <w:rsid w:val="00B03B8A"/>
    <w:rsid w:val="00B36E6E"/>
    <w:rsid w:val="00B62B1E"/>
    <w:rsid w:val="00B7655A"/>
    <w:rsid w:val="00B77F57"/>
    <w:rsid w:val="00BC327A"/>
    <w:rsid w:val="00BE00E0"/>
    <w:rsid w:val="00BF28CF"/>
    <w:rsid w:val="00CB51FE"/>
    <w:rsid w:val="00CC27D5"/>
    <w:rsid w:val="00CF31BA"/>
    <w:rsid w:val="00D10A1E"/>
    <w:rsid w:val="00D12297"/>
    <w:rsid w:val="00D74395"/>
    <w:rsid w:val="00DA2CD4"/>
    <w:rsid w:val="00DC568F"/>
    <w:rsid w:val="00DD04FC"/>
    <w:rsid w:val="00DF69A5"/>
    <w:rsid w:val="00E053F0"/>
    <w:rsid w:val="00E103D0"/>
    <w:rsid w:val="00E562B3"/>
    <w:rsid w:val="00E810D6"/>
    <w:rsid w:val="00F43BFC"/>
    <w:rsid w:val="00F5471B"/>
    <w:rsid w:val="00F83BB9"/>
    <w:rsid w:val="00FA2AF0"/>
    <w:rsid w:val="013B67CD"/>
    <w:rsid w:val="01CA412B"/>
    <w:rsid w:val="020E4C24"/>
    <w:rsid w:val="02100DB1"/>
    <w:rsid w:val="02CD11F4"/>
    <w:rsid w:val="037D399A"/>
    <w:rsid w:val="03B213E5"/>
    <w:rsid w:val="06096D52"/>
    <w:rsid w:val="06550E5D"/>
    <w:rsid w:val="0726741C"/>
    <w:rsid w:val="08787C12"/>
    <w:rsid w:val="08D34D69"/>
    <w:rsid w:val="09357A77"/>
    <w:rsid w:val="09E50DB9"/>
    <w:rsid w:val="0A772B51"/>
    <w:rsid w:val="0B80223E"/>
    <w:rsid w:val="0BB759F9"/>
    <w:rsid w:val="0CBF7A43"/>
    <w:rsid w:val="0DD4180B"/>
    <w:rsid w:val="130B706D"/>
    <w:rsid w:val="139106CF"/>
    <w:rsid w:val="13DE0FA8"/>
    <w:rsid w:val="14333F4B"/>
    <w:rsid w:val="163506CD"/>
    <w:rsid w:val="16F62269"/>
    <w:rsid w:val="17252863"/>
    <w:rsid w:val="173C3F94"/>
    <w:rsid w:val="175940C0"/>
    <w:rsid w:val="17C16AC9"/>
    <w:rsid w:val="180D78B9"/>
    <w:rsid w:val="19322288"/>
    <w:rsid w:val="1AEF7278"/>
    <w:rsid w:val="1B2A5EA4"/>
    <w:rsid w:val="1CC97251"/>
    <w:rsid w:val="1CEB0A1C"/>
    <w:rsid w:val="1E8167C1"/>
    <w:rsid w:val="1EAA0AE1"/>
    <w:rsid w:val="21B66276"/>
    <w:rsid w:val="228819EE"/>
    <w:rsid w:val="26513D2C"/>
    <w:rsid w:val="2716314B"/>
    <w:rsid w:val="288A4B30"/>
    <w:rsid w:val="28E516DB"/>
    <w:rsid w:val="299267B6"/>
    <w:rsid w:val="2AD57C75"/>
    <w:rsid w:val="2B3E328E"/>
    <w:rsid w:val="2BAA47A7"/>
    <w:rsid w:val="2C442584"/>
    <w:rsid w:val="2DCE40BA"/>
    <w:rsid w:val="2E066AE5"/>
    <w:rsid w:val="2E2777CE"/>
    <w:rsid w:val="2EE04A84"/>
    <w:rsid w:val="31D059F4"/>
    <w:rsid w:val="32D229F3"/>
    <w:rsid w:val="332A0BBD"/>
    <w:rsid w:val="3387759D"/>
    <w:rsid w:val="351C5D1D"/>
    <w:rsid w:val="36DF5EE5"/>
    <w:rsid w:val="38963AA1"/>
    <w:rsid w:val="39461E7C"/>
    <w:rsid w:val="39A75722"/>
    <w:rsid w:val="3B6E7B6E"/>
    <w:rsid w:val="3C712CD5"/>
    <w:rsid w:val="3CEC5D53"/>
    <w:rsid w:val="3F6F0D7F"/>
    <w:rsid w:val="42211DC8"/>
    <w:rsid w:val="441C57E9"/>
    <w:rsid w:val="44240E6E"/>
    <w:rsid w:val="44986D47"/>
    <w:rsid w:val="456A5D0D"/>
    <w:rsid w:val="457C0C14"/>
    <w:rsid w:val="45B90BF3"/>
    <w:rsid w:val="460143F1"/>
    <w:rsid w:val="47047404"/>
    <w:rsid w:val="475B18CD"/>
    <w:rsid w:val="4A4F1F05"/>
    <w:rsid w:val="4B7040C7"/>
    <w:rsid w:val="4CA957E7"/>
    <w:rsid w:val="4D9730D4"/>
    <w:rsid w:val="4E4335D2"/>
    <w:rsid w:val="4EB84051"/>
    <w:rsid w:val="51F3063A"/>
    <w:rsid w:val="55325DEE"/>
    <w:rsid w:val="55372497"/>
    <w:rsid w:val="577A72C9"/>
    <w:rsid w:val="59AF56D7"/>
    <w:rsid w:val="5B2B3FCD"/>
    <w:rsid w:val="5BAE356C"/>
    <w:rsid w:val="5BCD3DCC"/>
    <w:rsid w:val="5CB07A05"/>
    <w:rsid w:val="5ED17601"/>
    <w:rsid w:val="612F2391"/>
    <w:rsid w:val="61897173"/>
    <w:rsid w:val="63836572"/>
    <w:rsid w:val="63F21B1B"/>
    <w:rsid w:val="65493192"/>
    <w:rsid w:val="666C26EF"/>
    <w:rsid w:val="66E76F73"/>
    <w:rsid w:val="6B511389"/>
    <w:rsid w:val="6D5763C1"/>
    <w:rsid w:val="6D81148F"/>
    <w:rsid w:val="6E8006EE"/>
    <w:rsid w:val="6ECC4D84"/>
    <w:rsid w:val="70BA2DA1"/>
    <w:rsid w:val="71B87B2B"/>
    <w:rsid w:val="729B4F6A"/>
    <w:rsid w:val="72CD6F51"/>
    <w:rsid w:val="733E01F4"/>
    <w:rsid w:val="737E7144"/>
    <w:rsid w:val="7424079F"/>
    <w:rsid w:val="74D4598A"/>
    <w:rsid w:val="76DC690F"/>
    <w:rsid w:val="76FD3FC3"/>
    <w:rsid w:val="79AB31A3"/>
    <w:rsid w:val="7AA5545A"/>
    <w:rsid w:val="7BAA5900"/>
    <w:rsid w:val="7D9A3104"/>
    <w:rsid w:val="7DB94919"/>
    <w:rsid w:val="7EAE48F5"/>
    <w:rsid w:val="7F5A54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5"/>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style>
  <w:style w:type="paragraph" w:styleId="6">
    <w:name w:val="toc 2"/>
    <w:basedOn w:val="1"/>
    <w:next w:val="1"/>
    <w:unhideWhenUsed/>
    <w:qFormat/>
    <w:uiPriority w:val="39"/>
    <w:pPr>
      <w:ind w:left="420" w:leftChars="200"/>
    </w:pPr>
  </w:style>
  <w:style w:type="paragraph" w:styleId="7">
    <w:name w:val="Normal (Web)"/>
    <w:basedOn w:val="1"/>
    <w:qFormat/>
    <w:uiPriority w:val="0"/>
    <w:rPr>
      <w:sz w:val="24"/>
      <w:szCs w:val="24"/>
    </w:rPr>
  </w:style>
  <w:style w:type="table" w:styleId="9">
    <w:name w:val="Table Grid"/>
    <w:basedOn w:val="8"/>
    <w:qFormat/>
    <w:uiPriority w:val="0"/>
    <w:pPr>
      <w:widowControl w:val="0"/>
      <w:jc w:val="both"/>
    </w:pPr>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Char"/>
    <w:basedOn w:val="10"/>
    <w:link w:val="4"/>
    <w:semiHidden/>
    <w:qFormat/>
    <w:uiPriority w:val="99"/>
    <w:rPr>
      <w:sz w:val="18"/>
      <w:szCs w:val="18"/>
    </w:rPr>
  </w:style>
  <w:style w:type="character" w:customStyle="1" w:styleId="12">
    <w:name w:val="页脚 Char"/>
    <w:basedOn w:val="10"/>
    <w:link w:val="3"/>
    <w:qFormat/>
    <w:uiPriority w:val="99"/>
    <w:rPr>
      <w:sz w:val="18"/>
      <w:szCs w:val="18"/>
    </w:rPr>
  </w:style>
  <w:style w:type="paragraph" w:customStyle="1" w:styleId="13">
    <w:name w:val="p0"/>
    <w:basedOn w:val="1"/>
    <w:qFormat/>
    <w:uiPriority w:val="0"/>
    <w:pPr>
      <w:widowControl/>
      <w:ind w:firstLine="420"/>
      <w:jc w:val="left"/>
    </w:pPr>
    <w:rPr>
      <w:kern w:val="0"/>
      <w:sz w:val="20"/>
      <w:szCs w:val="20"/>
    </w:rPr>
  </w:style>
  <w:style w:type="paragraph" w:customStyle="1" w:styleId="14">
    <w:name w:val="列出段落1"/>
    <w:basedOn w:val="1"/>
    <w:unhideWhenUsed/>
    <w:qFormat/>
    <w:uiPriority w:val="99"/>
    <w:pPr>
      <w:ind w:firstLine="420" w:firstLineChars="200"/>
    </w:pPr>
  </w:style>
  <w:style w:type="character" w:customStyle="1" w:styleId="15">
    <w:name w:val="批注框文本 Char"/>
    <w:basedOn w:val="10"/>
    <w:link w:val="2"/>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5EEB8D-1123-4C00-A08A-3BCDB853636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4690</Words>
  <Characters>4931</Characters>
  <Lines>33</Lines>
  <Paragraphs>9</Paragraphs>
  <TotalTime>1</TotalTime>
  <ScaleCrop>false</ScaleCrop>
  <LinksUpToDate>false</LinksUpToDate>
  <CharactersWithSpaces>4952</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2017-11-11T05:56:00Z</dcterms:created>
  <dc:creator>lenovo</dc:creator>
  <cp:lastModifiedBy>阿利盖利·但丁</cp:lastModifiedBy>
  <cp:lastPrinted>2016-04-01T02:44:00Z</cp:lastPrinted>
  <dcterms:modified xsi:type="dcterms:W3CDTF">2022-07-29T07:17:00Z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44D7A75C21EF49139EFDF19AE18E0834</vt:lpwstr>
  </property>
</Properties>
</file>