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kern w:val="0"/>
          <w:sz w:val="44"/>
          <w:szCs w:val="44"/>
        </w:rPr>
      </w:pP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成安县审计局</w:t>
      </w: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2021年</w:t>
      </w:r>
      <w:r>
        <w:rPr>
          <w:rFonts w:hint="eastAsia" w:cs="仿宋" w:asciiTheme="majorEastAsia" w:hAnsiTheme="majorEastAsia" w:eastAsiaTheme="majorEastAsia"/>
          <w:b/>
          <w:kern w:val="0"/>
          <w:sz w:val="44"/>
          <w:szCs w:val="44"/>
          <w:lang w:eastAsia="zh-CN"/>
        </w:rPr>
        <w:t>单位</w:t>
      </w:r>
      <w:r>
        <w:rPr>
          <w:rFonts w:hint="eastAsia" w:cs="仿宋" w:asciiTheme="majorEastAsia" w:hAnsiTheme="majorEastAsia" w:eastAsiaTheme="majorEastAsia"/>
          <w:b/>
          <w:kern w:val="0"/>
          <w:sz w:val="44"/>
          <w:szCs w:val="44"/>
        </w:rPr>
        <w:t>预算公开情况说明</w:t>
      </w:r>
    </w:p>
    <w:p>
      <w:pPr>
        <w:spacing w:line="580" w:lineRule="exact"/>
        <w:ind w:firstLine="640" w:firstLineChars="200"/>
        <w:rPr>
          <w:rFonts w:ascii="黑体" w:hAnsi="黑体" w:eastAsia="黑体" w:cs="黑体"/>
          <w:bCs/>
          <w:sz w:val="32"/>
          <w:szCs w:val="32"/>
        </w:rPr>
      </w:pPr>
    </w:p>
    <w:p>
      <w:pPr>
        <w:spacing w:line="580" w:lineRule="exact"/>
        <w:ind w:firstLine="640" w:firstLineChars="200"/>
        <w:rPr>
          <w:rFonts w:ascii="仿宋" w:hAnsi="仿宋" w:eastAsia="仿宋" w:cs="仿宋"/>
          <w:b/>
          <w:kern w:val="0"/>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单位</w:t>
      </w:r>
      <w:r>
        <w:rPr>
          <w:rFonts w:hint="eastAsia" w:ascii="黑体" w:hAnsi="黑体" w:eastAsia="黑体" w:cs="黑体"/>
          <w:bCs/>
          <w:sz w:val="32"/>
          <w:szCs w:val="32"/>
        </w:rPr>
        <w:t>职责及机构设置情况</w:t>
      </w:r>
    </w:p>
    <w:p>
      <w:pPr>
        <w:spacing w:line="580" w:lineRule="exact"/>
        <w:ind w:firstLine="630" w:firstLineChars="196"/>
        <w:rPr>
          <w:rFonts w:ascii="楷体" w:hAnsi="楷体" w:eastAsia="楷体" w:cs="仿宋"/>
          <w:b/>
          <w:kern w:val="0"/>
          <w:sz w:val="32"/>
          <w:szCs w:val="32"/>
        </w:rPr>
      </w:pPr>
      <w:r>
        <w:rPr>
          <w:rFonts w:hint="eastAsia" w:ascii="楷体" w:hAnsi="楷体" w:eastAsia="楷体" w:cs="仿宋"/>
          <w:b/>
          <w:kern w:val="0"/>
          <w:sz w:val="32"/>
          <w:szCs w:val="32"/>
          <w:lang w:eastAsia="zh-CN"/>
        </w:rPr>
        <w:t>单位</w:t>
      </w:r>
      <w:r>
        <w:rPr>
          <w:rFonts w:hint="eastAsia" w:ascii="楷体" w:hAnsi="楷体" w:eastAsia="楷体" w:cs="仿宋"/>
          <w:b/>
          <w:kern w:val="0"/>
          <w:sz w:val="32"/>
          <w:szCs w:val="32"/>
        </w:rPr>
        <w:t>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县审计局在县政府和市审计局的领导下，负责县域内的审计工作。对县政府和市审计局负责并报告工作。审计业务以市审计局领导为主，主要对县财政预算执行、对县政府各</w:t>
      </w:r>
      <w:r>
        <w:rPr>
          <w:rFonts w:hint="eastAsia" w:ascii="仿宋" w:hAnsi="仿宋" w:eastAsia="仿宋" w:cs="仿宋"/>
          <w:sz w:val="32"/>
          <w:szCs w:val="32"/>
          <w:lang w:eastAsia="zh-CN"/>
        </w:rPr>
        <w:t>单位</w:t>
      </w:r>
      <w:r>
        <w:rPr>
          <w:rFonts w:hint="eastAsia" w:ascii="仿宋" w:hAnsi="仿宋" w:eastAsia="仿宋" w:cs="仿宋"/>
          <w:sz w:val="32"/>
          <w:szCs w:val="32"/>
        </w:rPr>
        <w:t>，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审计局的主要职责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（一）组织领导全县审计工作，编制全县审计工作长远计划，年度计划，确定年度工作重点，研究制定年度工作重点，研究制定地方性审计业务法规和规章制度，指导行业和专项资金审计。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（二）直接进行下列审计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w:t>
      </w:r>
      <w:r>
        <w:rPr>
          <w:rFonts w:hint="eastAsia" w:ascii="仿宋" w:hAnsi="仿宋" w:eastAsia="仿宋" w:cs="仿宋"/>
          <w:sz w:val="32"/>
          <w:szCs w:val="32"/>
          <w:lang w:eastAsia="zh-CN"/>
        </w:rPr>
        <w:t>单位</w:t>
      </w:r>
      <w:r>
        <w:rPr>
          <w:rFonts w:hint="eastAsia" w:ascii="仿宋" w:hAnsi="仿宋" w:eastAsia="仿宋" w:cs="仿宋"/>
          <w:sz w:val="32"/>
          <w:szCs w:val="32"/>
        </w:rPr>
        <w:t>和接受县财政拨款的财政财务收支及资金使用效益。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w:t>
      </w:r>
      <w:r>
        <w:rPr>
          <w:rFonts w:hint="eastAsia" w:ascii="仿宋" w:hAnsi="仿宋" w:eastAsia="仿宋" w:cs="仿宋"/>
          <w:sz w:val="32"/>
          <w:szCs w:val="32"/>
          <w:lang w:eastAsia="zh-CN"/>
        </w:rPr>
        <w:t>单位</w:t>
      </w:r>
      <w:r>
        <w:rPr>
          <w:rFonts w:hint="eastAsia" w:ascii="仿宋" w:hAnsi="仿宋" w:eastAsia="仿宋" w:cs="仿宋"/>
          <w:sz w:val="32"/>
          <w:szCs w:val="32"/>
        </w:rPr>
        <w:t>和乡（镇）人民政府的预算外资金的收支及使用效益。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县政府财政预算执行情况。</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乡（镇）政府的财政预算、决算。</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党政领导干部和国有控股企业领导人员任期经济责任。</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对县属与国计民生有重大关系、上交利税或接受财政补贴较多或亏损额较大的县办国有企业实行定期审计。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地方金融、保险机构以及非银行金融机构的财务审计。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基本建设资金来源有开工前、施工中和竣工决算审计。</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w:t>
      </w:r>
      <w:r>
        <w:rPr>
          <w:rFonts w:hint="eastAsia" w:ascii="仿宋" w:hAnsi="仿宋" w:eastAsia="仿宋" w:cs="仿宋"/>
          <w:sz w:val="32"/>
          <w:szCs w:val="32"/>
          <w:lang w:eastAsia="zh-CN"/>
        </w:rPr>
        <w:t>单位</w:t>
      </w:r>
      <w:r>
        <w:rPr>
          <w:rFonts w:hint="eastAsia" w:ascii="仿宋" w:hAnsi="仿宋" w:eastAsia="仿宋" w:cs="仿宋"/>
          <w:sz w:val="32"/>
          <w:szCs w:val="32"/>
        </w:rPr>
        <w:t>管理和社会团体受县政府委托管理的保障资金、社会捐赠以及其他有关基金我、资金。</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县政府各</w:t>
      </w:r>
      <w:r>
        <w:rPr>
          <w:rFonts w:hint="eastAsia" w:ascii="仿宋" w:hAnsi="仿宋" w:eastAsia="仿宋" w:cs="仿宋"/>
          <w:sz w:val="32"/>
          <w:szCs w:val="32"/>
          <w:lang w:eastAsia="zh-CN"/>
        </w:rPr>
        <w:t>单位</w:t>
      </w:r>
      <w:r>
        <w:rPr>
          <w:rFonts w:hint="eastAsia" w:ascii="仿宋" w:hAnsi="仿宋" w:eastAsia="仿宋" w:cs="仿宋"/>
          <w:sz w:val="32"/>
          <w:szCs w:val="32"/>
        </w:rPr>
        <w:t>及乡（镇）借用国外资金和使用的国外援助资金。</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国有资产占控股地位或主要地位企业的资产、负债、损益。</w:t>
      </w:r>
    </w:p>
    <w:p>
      <w:pPr>
        <w:numPr>
          <w:ilvl w:val="0"/>
          <w:numId w:val="1"/>
        </w:numPr>
        <w:spacing w:line="580" w:lineRule="exact"/>
        <w:ind w:left="0" w:firstLine="640" w:firstLineChars="200"/>
        <w:rPr>
          <w:rFonts w:ascii="仿宋" w:hAnsi="仿宋" w:eastAsia="仿宋" w:cs="仿宋"/>
          <w:sz w:val="32"/>
          <w:szCs w:val="32"/>
        </w:rPr>
      </w:pPr>
      <w:r>
        <w:rPr>
          <w:rFonts w:hint="eastAsia" w:ascii="仿宋" w:hAnsi="仿宋" w:eastAsia="仿宋" w:cs="仿宋"/>
          <w:sz w:val="32"/>
          <w:szCs w:val="32"/>
        </w:rPr>
        <w:t>对其他法律、行政法规规定应当审计的项目。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（三）对上级审计机关授权的国家金融保险企业的财务、信贷、现金、外汇管理以及我县辖区内的中央、省、市属企业事业的单位审计。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（四）以危害社会主义经济和严重贪污、侵占国家资财、严重损失浪费及损害国家利益等行为进行专案审计。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（五）对审计中发现的宏观管理方面的问题，进行专题审计或审计调查，并向县政府反映情况提出建议。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（六）指导和监察审计事务所。</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（七）指导、监督县属</w:t>
      </w:r>
      <w:r>
        <w:rPr>
          <w:rFonts w:hint="eastAsia" w:ascii="仿宋" w:hAnsi="仿宋" w:eastAsia="仿宋" w:cs="仿宋"/>
          <w:sz w:val="32"/>
          <w:szCs w:val="32"/>
          <w:lang w:eastAsia="zh-CN"/>
        </w:rPr>
        <w:t>单位</w:t>
      </w:r>
      <w:r>
        <w:rPr>
          <w:rFonts w:hint="eastAsia" w:ascii="仿宋" w:hAnsi="仿宋" w:eastAsia="仿宋" w:cs="仿宋"/>
          <w:sz w:val="32"/>
          <w:szCs w:val="32"/>
        </w:rPr>
        <w:t>、单位内部审计工作。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（八）对社会中介组织执行有关财经法规情况实行审计监督。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（九）组织审计人员培训。</w:t>
      </w:r>
    </w:p>
    <w:p>
      <w:pPr>
        <w:widowControl/>
        <w:spacing w:line="580" w:lineRule="exact"/>
        <w:ind w:firstLine="627" w:firstLineChars="196"/>
        <w:jc w:val="left"/>
        <w:rPr>
          <w:rFonts w:ascii="仿宋" w:hAnsi="仿宋" w:eastAsia="仿宋" w:cs="仿宋"/>
          <w:sz w:val="32"/>
          <w:szCs w:val="32"/>
        </w:rPr>
      </w:pPr>
      <w:r>
        <w:rPr>
          <w:rFonts w:hint="eastAsia" w:ascii="仿宋" w:hAnsi="仿宋" w:eastAsia="仿宋" w:cs="仿宋"/>
          <w:sz w:val="32"/>
          <w:szCs w:val="32"/>
        </w:rPr>
        <w:t>（十）承办县政府和市审计局交办的其他事项。</w:t>
      </w:r>
    </w:p>
    <w:p>
      <w:pPr>
        <w:widowControl/>
        <w:spacing w:line="580" w:lineRule="exact"/>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58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人员编制23名，其中领导职数5个。</w:t>
      </w: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r>
        <w:rPr>
          <w:rFonts w:hint="eastAsia" w:ascii="楷体" w:hAnsi="楷体" w:eastAsia="楷体" w:cs="仿宋"/>
          <w:b/>
          <w:kern w:val="0"/>
          <w:sz w:val="32"/>
          <w:szCs w:val="32"/>
        </w:rPr>
        <w:t>内设机构：</w:t>
      </w:r>
    </w:p>
    <w:p>
      <w:pPr>
        <w:pStyle w:val="7"/>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lang w:eastAsia="zh-CN"/>
        </w:rPr>
        <w:t>单位</w:t>
      </w:r>
      <w:r>
        <w:rPr>
          <w:rFonts w:hint="eastAsia" w:ascii="仿宋" w:hAnsi="仿宋" w:eastAsia="仿宋" w:cs="仿宋"/>
          <w:b/>
          <w:sz w:val="32"/>
          <w:szCs w:val="32"/>
        </w:rPr>
        <w:t>机构设置情况</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1772"/>
        <w:gridCol w:w="204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ascii="仿宋" w:hAnsi="仿宋" w:eastAsia="仿宋" w:cs="仿宋"/>
                <w:sz w:val="32"/>
                <w:szCs w:val="32"/>
              </w:rPr>
              <w:t>成安县</w:t>
            </w:r>
            <w:r>
              <w:rPr>
                <w:rFonts w:hint="eastAsia" w:ascii="仿宋" w:hAnsi="仿宋" w:eastAsia="仿宋" w:cs="仿宋"/>
                <w:sz w:val="32"/>
                <w:szCs w:val="32"/>
              </w:rPr>
              <w:t>审计</w:t>
            </w:r>
            <w:r>
              <w:rPr>
                <w:rFonts w:ascii="仿宋" w:hAnsi="仿宋" w:eastAsia="仿宋" w:cs="仿宋"/>
                <w:sz w:val="32"/>
                <w:szCs w:val="32"/>
              </w:rPr>
              <w:t>局</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行政</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我单位内设4个内部机构。办公室主要负责：（1）负责机关行政事务和保密、保卫、卫生、计划生育、综合治理工作，承担文书、档案、打字文印、接待、信访等工作，负责机关财务收支及财产车辆管理，负责筹备重要会议。（2）负责对局机关及下属事业单位职工的调配、任免、录用提出初步意见，并报有关</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审批及考核、奖惩、工资福利管理。负责编制全县审计系统干部业务培训计划，组织指导干部审计培训工作，负责本局老干部服务工作。（3）负责编制县审计工作制度计划、长远规划，负责全县审计统计工作，负责对审计业务工作检查和审计项目质量考核、验收，分析研究全县审计工作情况并负责业务工作总结。（4）负责宣传贯彻审计法规，草拟地方性审计规章制度及收集、整理财经法规资料，负责全局宣传教育、执法检查和有关法律咨询，承办审计案件应诉工作。</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2、业务科室主要负责：（1）负责审计乡（镇）财政预决算外资金管理情况和县财政预算执行情况，负责起草县政府每年向县人大常委会提出审计机关对财政预算执行和其他财政收支的审计报告。（2）负责审计上级审计机关授权的县级国家金融机构和驻县地方金融和非银行金融机构的财务现金、外汇收支计划的执行及结果，负责审计上级审计机关授权的在我县辖区内的烟草、邮电、石油等中央省、市属企业的资产、负债、损益情况。（3）按照计划进行专项资金审计专题审计调查（4）负责审计县政府各</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管理固定资产投资、施工企业的财务收支及其经济效益。具体落实建设项目资金来源、使用情况和经济效益进行开工前、施工中及竣工决算审计。（5）负责审计县直党、政、群机关和县直事业单位的财政、财务收支，负责对文教、卫生、民政事业费及其他专项事业费的审计，负责对社会保障事业、社会福利保险事业和社会公用事业的审计。（6）负责审计县属中外合资、中外合作企业的财政收支及经济效益的真实合法、合规，审计县属企业事业单位使用国外贷款、援款。按要求对内、外提供审计报告。</w:t>
      </w:r>
    </w:p>
    <w:p>
      <w:pPr>
        <w:widowControl/>
        <w:spacing w:line="580"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eastAsia="zh-CN"/>
        </w:rPr>
        <w:t>单位</w:t>
      </w:r>
      <w:r>
        <w:rPr>
          <w:rFonts w:hint="eastAsia" w:ascii="黑体" w:hAnsi="黑体" w:eastAsia="黑体" w:cs="黑体"/>
          <w:bCs/>
          <w:sz w:val="32"/>
          <w:szCs w:val="32"/>
        </w:rPr>
        <w:t>预算安排的总体情况</w:t>
      </w:r>
    </w:p>
    <w:p>
      <w:pPr>
        <w:widowControl/>
        <w:spacing w:line="580" w:lineRule="exact"/>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按照预算管理有关规定，目前我</w:t>
      </w:r>
      <w:r>
        <w:rPr>
          <w:rFonts w:hint="eastAsia" w:ascii="仿宋" w:hAnsi="仿宋" w:eastAsia="仿宋" w:cs="方正仿宋_GBK"/>
          <w:sz w:val="32"/>
          <w:szCs w:val="32"/>
          <w:lang w:eastAsia="zh-CN"/>
        </w:rPr>
        <w:t>单位</w:t>
      </w:r>
      <w:r>
        <w:rPr>
          <w:rFonts w:hint="eastAsia" w:ascii="仿宋" w:hAnsi="仿宋" w:eastAsia="仿宋" w:cs="方正仿宋_GBK"/>
          <w:sz w:val="32"/>
          <w:szCs w:val="32"/>
        </w:rPr>
        <w:t>预算的编制实行综合预算制度，即全部收入和支出都反映在预算中。</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年预算收入449.22万元，其中：一般公共预算收入449.22万元，政府性基金收入0万元，国有资本经营收入0万元，事业收入0万元，其他收入0万元。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年支出预算449.22万元，其中基本支出295.27万元，主要包括人员经费286.69万元和日常公用经费8.58万元，主要为办公经费支出、电脑采购等；项目支出153.95万元，主要是自收自支人员工资。</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80" w:lineRule="exact"/>
        <w:ind w:firstLine="480" w:firstLineChars="150"/>
        <w:jc w:val="left"/>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21年预算收支安排449.22万元，较上年预算减少150.47万元，其中： 项目支出减少100万元，人员经费减少50.47万元，减少</w:t>
      </w:r>
      <w:r>
        <w:rPr>
          <w:rFonts w:ascii="仿宋" w:hAnsi="仿宋" w:eastAsia="仿宋" w:cs="仿宋"/>
          <w:sz w:val="32"/>
          <w:szCs w:val="32"/>
        </w:rPr>
        <w:t>原因是</w:t>
      </w:r>
      <w:r>
        <w:rPr>
          <w:rFonts w:hint="eastAsia" w:ascii="仿宋" w:hAnsi="仿宋" w:eastAsia="仿宋" w:cs="仿宋"/>
          <w:sz w:val="32"/>
          <w:szCs w:val="32"/>
        </w:rPr>
        <w:t>主要是2021年对机关事业单位人员退休，人员经费支出部分有所减少另有</w:t>
      </w:r>
      <w:r>
        <w:rPr>
          <w:rFonts w:hint="eastAsia" w:ascii="仿宋" w:hAnsi="仿宋" w:eastAsia="仿宋" w:cs="仿宋_GB2312"/>
          <w:kern w:val="0"/>
          <w:sz w:val="32"/>
          <w:szCs w:val="32"/>
        </w:rPr>
        <w:t>坚持厉行节约及公车改革等原因，预算安排有所减少</w:t>
      </w:r>
      <w:r>
        <w:rPr>
          <w:rFonts w:ascii="仿宋" w:hAnsi="仿宋" w:eastAsia="仿宋" w:cs="仿宋"/>
          <w:sz w:val="32"/>
          <w:szCs w:val="32"/>
        </w:rPr>
        <w:t>。</w:t>
      </w:r>
    </w:p>
    <w:p>
      <w:pPr>
        <w:widowControl/>
        <w:tabs>
          <w:tab w:val="left" w:pos="5115"/>
        </w:tabs>
        <w:spacing w:line="580" w:lineRule="exact"/>
        <w:ind w:firstLine="960" w:firstLineChars="300"/>
        <w:jc w:val="left"/>
        <w:rPr>
          <w:rFonts w:ascii="黑体" w:hAnsi="黑体" w:eastAsia="黑体" w:cs="仿宋_GB2312"/>
          <w:kern w:val="0"/>
          <w:sz w:val="32"/>
          <w:szCs w:val="32"/>
        </w:rPr>
      </w:pPr>
      <w:r>
        <w:rPr>
          <w:rFonts w:hint="eastAsia" w:ascii="黑体" w:hAnsi="黑体" w:eastAsia="黑体" w:cs="仿宋_GB2312"/>
          <w:kern w:val="0"/>
          <w:sz w:val="32"/>
          <w:szCs w:val="32"/>
        </w:rPr>
        <w:t>三、机关运行经费安排情况</w:t>
      </w:r>
      <w:r>
        <w:rPr>
          <w:rFonts w:ascii="黑体" w:hAnsi="黑体" w:eastAsia="黑体" w:cs="仿宋_GB2312"/>
          <w:kern w:val="0"/>
          <w:sz w:val="32"/>
          <w:szCs w:val="32"/>
        </w:rPr>
        <w:tab/>
      </w:r>
    </w:p>
    <w:p>
      <w:pPr>
        <w:widowControl/>
        <w:spacing w:line="580" w:lineRule="exact"/>
        <w:ind w:firstLine="960" w:firstLineChars="300"/>
        <w:jc w:val="left"/>
        <w:rPr>
          <w:rFonts w:ascii="仿宋" w:hAnsi="仿宋" w:eastAsia="仿宋" w:cs="仿宋_GB2312"/>
          <w:kern w:val="0"/>
          <w:sz w:val="32"/>
          <w:szCs w:val="32"/>
        </w:rPr>
      </w:pPr>
      <w:r>
        <w:rPr>
          <w:rFonts w:hint="eastAsia" w:ascii="仿宋" w:hAnsi="仿宋" w:eastAsia="仿宋" w:cs="仿宋"/>
          <w:sz w:val="32"/>
          <w:szCs w:val="32"/>
        </w:rPr>
        <w:t>2021年，我单位</w:t>
      </w:r>
      <w:r>
        <w:rPr>
          <w:rFonts w:hint="eastAsia" w:ascii="仿宋" w:hAnsi="仿宋" w:eastAsia="仿宋" w:cs="仿宋_GB2312"/>
          <w:kern w:val="0"/>
          <w:sz w:val="32"/>
          <w:szCs w:val="32"/>
        </w:rPr>
        <w:t>日常公用经费安排8.58万元，包括：办公费、差旅费、水费、电费、会议费、招待费、转移支付，其他支出等。</w:t>
      </w:r>
    </w:p>
    <w:p>
      <w:pPr>
        <w:widowControl/>
        <w:spacing w:line="580" w:lineRule="exact"/>
        <w:ind w:left="420" w:leftChars="200"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2021年度“三公”预算支出5.5万元，其中，因公出国（境）费0元，安排公务用车维护费4万元，（其中公务用车购置费0元，公务用车运行维护费4万元），公务接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费1.5万元，2020年度“三公”预算支出5.8万元，其中，因公出国（境）费0元，安排公务用车维护费4万元，（其中公务用车购置费0元，公务用车运行维护费4万元），公务接待费用1.8万元，2021年“三公”经费</w:t>
      </w:r>
      <w:r>
        <w:rPr>
          <w:rFonts w:hint="eastAsia" w:ascii="仿宋" w:hAnsi="仿宋" w:eastAsia="仿宋" w:cs="仿宋_GB2312"/>
          <w:kern w:val="0"/>
          <w:sz w:val="32"/>
          <w:szCs w:val="32"/>
          <w:lang w:eastAsia="zh-CN"/>
        </w:rPr>
        <w:t>中因公</w:t>
      </w:r>
      <w:r>
        <w:rPr>
          <w:rFonts w:hint="eastAsia" w:ascii="仿宋" w:hAnsi="仿宋" w:eastAsia="仿宋" w:cs="仿宋_GB2312"/>
          <w:kern w:val="0"/>
          <w:sz w:val="32"/>
          <w:szCs w:val="32"/>
        </w:rPr>
        <w:t>出国（境）费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公务用车维护费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w:t>
      </w:r>
      <w:r>
        <w:rPr>
          <w:rFonts w:hint="eastAsia" w:ascii="仿宋" w:hAnsi="仿宋" w:eastAsia="仿宋" w:cs="仿宋_GB2312"/>
          <w:kern w:val="0"/>
          <w:sz w:val="32"/>
          <w:szCs w:val="32"/>
          <w:lang w:eastAsia="zh-CN"/>
        </w:rPr>
        <w:t>较去年</w:t>
      </w:r>
      <w:r>
        <w:rPr>
          <w:rFonts w:hint="eastAsia" w:ascii="仿宋" w:hAnsi="仿宋" w:eastAsia="仿宋" w:cs="仿宋_GB2312"/>
          <w:kern w:val="0"/>
          <w:sz w:val="32"/>
          <w:szCs w:val="32"/>
        </w:rPr>
        <w:t>减少了</w:t>
      </w:r>
      <w:r>
        <w:rPr>
          <w:rFonts w:hint="eastAsia" w:ascii="仿宋" w:hAnsi="仿宋" w:eastAsia="仿宋" w:cs="仿宋_GB2312"/>
          <w:kern w:val="0"/>
          <w:sz w:val="32"/>
          <w:szCs w:val="32"/>
          <w:lang w:val="en-US" w:eastAsia="zh-CN"/>
        </w:rPr>
        <w:t>5.17</w:t>
      </w:r>
      <w:r>
        <w:rPr>
          <w:rFonts w:hint="eastAsia" w:ascii="仿宋" w:hAnsi="仿宋" w:eastAsia="仿宋" w:cs="仿宋_GB2312"/>
          <w:kern w:val="0"/>
          <w:sz w:val="32"/>
          <w:szCs w:val="32"/>
        </w:rPr>
        <w:t>%。2021年坚持厉行节约及公车改革等原因，预算安排减少。</w:t>
      </w:r>
    </w:p>
    <w:p>
      <w:pPr>
        <w:spacing w:line="580" w:lineRule="exact"/>
        <w:ind w:firstLine="960" w:firstLineChars="300"/>
        <w:rPr>
          <w:rFonts w:ascii="黑体" w:hAnsi="黑体" w:eastAsia="黑体" w:cs="Times New Roman"/>
          <w:sz w:val="32"/>
          <w:szCs w:val="32"/>
        </w:rPr>
      </w:pPr>
      <w:r>
        <w:rPr>
          <w:rFonts w:hint="eastAsia" w:ascii="黑体" w:hAnsi="黑体" w:eastAsia="黑体" w:cs="黑体"/>
          <w:sz w:val="32"/>
          <w:szCs w:val="32"/>
        </w:rPr>
        <w:t>五、绩效预算信息</w:t>
      </w:r>
    </w:p>
    <w:p>
      <w:pPr>
        <w:ind w:firstLine="320" w:firstLineChars="100"/>
        <w:rPr>
          <w:rFonts w:hint="eastAsia" w:ascii="仿宋_GB2312" w:hAnsi="宋体" w:eastAsia="仿宋_GB2312"/>
          <w:sz w:val="32"/>
          <w:szCs w:val="32"/>
        </w:rPr>
      </w:pPr>
      <w:r>
        <w:rPr>
          <w:rFonts w:hint="eastAsia" w:ascii="仿宋_GB2312" w:hAnsi="宋体" w:eastAsia="仿宋_GB2312"/>
          <w:sz w:val="32"/>
          <w:szCs w:val="32"/>
        </w:rPr>
        <w:t>（一）总体</w:t>
      </w:r>
      <w:r>
        <w:rPr>
          <w:rFonts w:hint="eastAsia" w:ascii="仿宋_GB2312" w:hAnsi="宋体" w:eastAsia="仿宋_GB2312"/>
          <w:sz w:val="32"/>
          <w:szCs w:val="32"/>
          <w:lang w:eastAsia="zh-CN"/>
        </w:rPr>
        <w:t>绩效</w:t>
      </w:r>
      <w:r>
        <w:rPr>
          <w:rFonts w:hint="eastAsia" w:ascii="仿宋_GB2312" w:hAnsi="宋体" w:eastAsia="仿宋_GB2312"/>
          <w:sz w:val="32"/>
          <w:szCs w:val="32"/>
        </w:rPr>
        <w:t>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w:t>
      </w:r>
      <w:r>
        <w:rPr>
          <w:rFonts w:hint="eastAsia" w:ascii="仿宋_GB2312" w:hAnsi="宋体" w:eastAsia="仿宋_GB2312"/>
          <w:sz w:val="32"/>
          <w:szCs w:val="32"/>
          <w:lang w:eastAsia="zh-CN"/>
        </w:rPr>
        <w:t>县</w:t>
      </w:r>
      <w:r>
        <w:rPr>
          <w:rFonts w:hint="eastAsia" w:ascii="仿宋_GB2312" w:hAnsi="宋体" w:eastAsia="仿宋_GB2312"/>
          <w:sz w:val="32"/>
          <w:szCs w:val="32"/>
        </w:rPr>
        <w:t>经济和社会健康发展。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（二</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rPr>
        <w:t>分</w:t>
      </w:r>
      <w:r>
        <w:rPr>
          <w:rFonts w:hint="eastAsia" w:ascii="仿宋_GB2312" w:hAnsi="宋体" w:eastAsia="仿宋_GB2312"/>
          <w:sz w:val="32"/>
          <w:szCs w:val="32"/>
          <w:lang w:eastAsia="zh-CN"/>
        </w:rPr>
        <w:t>项</w:t>
      </w:r>
      <w:r>
        <w:rPr>
          <w:rFonts w:hint="eastAsia" w:ascii="仿宋_GB2312" w:hAnsi="宋体" w:eastAsia="仿宋_GB2312"/>
          <w:sz w:val="32"/>
          <w:szCs w:val="32"/>
        </w:rPr>
        <w:t>绩效目标：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1、主管全</w:t>
      </w:r>
      <w:r>
        <w:rPr>
          <w:rFonts w:hint="eastAsia" w:ascii="仿宋_GB2312" w:hAnsi="宋体" w:eastAsia="仿宋_GB2312"/>
          <w:sz w:val="32"/>
          <w:szCs w:val="32"/>
          <w:lang w:eastAsia="zh-CN"/>
        </w:rPr>
        <w:t>县</w:t>
      </w:r>
      <w:r>
        <w:rPr>
          <w:rFonts w:hint="eastAsia" w:ascii="仿宋_GB2312" w:hAnsi="宋体" w:eastAsia="仿宋_GB2312"/>
          <w:sz w:val="32"/>
          <w:szCs w:val="32"/>
        </w:rPr>
        <w:t>审计工作。通过财政财务收支审计真实、合法和效益情况，维护国家财政经济秩序，提高财政资金使用效益，促进廉政建设，保障国民经济的健康运行。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2、进行内部审计管理和审计法制管理。通过建立健全法规，加大内部审计管理制度提高审计质量和审计机关法制管理水平。</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3、包括系统综合业务管理和机关综合事务管理。充分发挥参谋助手作用和综合协调作用，推进审计事业科学协调发展。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三</w:t>
      </w:r>
      <w:r>
        <w:rPr>
          <w:rFonts w:hint="eastAsia" w:ascii="仿宋_GB2312" w:hAnsi="宋体" w:eastAsia="仿宋_GB2312"/>
          <w:sz w:val="32"/>
          <w:szCs w:val="32"/>
        </w:rPr>
        <w:t>）</w:t>
      </w:r>
      <w:r>
        <w:rPr>
          <w:rFonts w:hint="eastAsia" w:ascii="仿宋_GB2312" w:hAnsi="宋体" w:eastAsia="仿宋_GB2312"/>
          <w:sz w:val="32"/>
          <w:szCs w:val="32"/>
          <w:lang w:eastAsia="zh-CN"/>
        </w:rPr>
        <w:t>工作</w:t>
      </w:r>
      <w:r>
        <w:rPr>
          <w:rFonts w:hint="eastAsia" w:ascii="仿宋_GB2312" w:hAnsi="宋体" w:eastAsia="仿宋_GB2312"/>
          <w:sz w:val="32"/>
          <w:szCs w:val="32"/>
        </w:rPr>
        <w:t>保障措施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1、审计本级财政</w:t>
      </w:r>
      <w:r>
        <w:rPr>
          <w:rFonts w:hint="eastAsia" w:ascii="仿宋_GB2312" w:hAnsi="宋体" w:eastAsia="仿宋_GB2312"/>
          <w:sz w:val="32"/>
          <w:szCs w:val="32"/>
          <w:lang w:eastAsia="zh-CN"/>
        </w:rPr>
        <w:t>单位</w:t>
      </w:r>
      <w:r>
        <w:rPr>
          <w:rFonts w:hint="eastAsia" w:ascii="仿宋_GB2312" w:hAnsi="宋体" w:eastAsia="仿宋_GB2312"/>
          <w:sz w:val="32"/>
          <w:szCs w:val="32"/>
        </w:rPr>
        <w:t>组织本级预算执行情况，审计下级人民政府的预算执行和决算情况，审计其他财政收支情况，审计其他取得财政资金的单位和项目接受、运用财政资金的真实、合法和效益情况,实施领导干部经济责任审计等审计。</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2、对经济领域中带有全局性、普遍性、倾向性的特定事项进行系统调查了解并向市政府报告情况和结果。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3、制定内部审计措施并组织落实；制定内部审计业务规章、制度、管理办法等并开展监督检查；指导内部审计业务，受理内部审计业务咨询；提供内部审计成果。</w:t>
      </w:r>
    </w:p>
    <w:p>
      <w:pPr>
        <w:spacing w:line="740" w:lineRule="exact"/>
        <w:ind w:firstLine="640" w:firstLineChars="200"/>
        <w:jc w:val="left"/>
        <w:rPr>
          <w:rFonts w:ascii="仿宋_GB2312" w:eastAsia="仿宋_GB2312"/>
          <w:bCs/>
          <w:sz w:val="32"/>
          <w:szCs w:val="32"/>
        </w:rPr>
      </w:pPr>
    </w:p>
    <w:p>
      <w:pPr>
        <w:ind w:firstLine="4640" w:firstLineChars="1450"/>
        <w:outlineLvl w:val="0"/>
        <w:rPr>
          <w:rFonts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773"/>
        <w:gridCol w:w="993"/>
        <w:gridCol w:w="850"/>
        <w:gridCol w:w="851"/>
        <w:gridCol w:w="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342"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lang w:val="en-US" w:eastAsia="zh-CN"/>
              </w:rPr>
              <w:t xml:space="preserve">001 </w:t>
            </w:r>
            <w:r>
              <w:rPr>
                <w:rFonts w:hint="eastAsia" w:ascii="方正小标宋_GBK" w:eastAsia="方正小标宋_GBK"/>
                <w:sz w:val="24"/>
              </w:rPr>
              <w:t>成安县审计局</w:t>
            </w:r>
          </w:p>
        </w:tc>
        <w:tc>
          <w:tcPr>
            <w:tcW w:w="3592"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77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592"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773" w:type="dxa"/>
            <w:vMerge w:val="continue"/>
            <w:shd w:val="clear" w:color="auto" w:fill="auto"/>
            <w:vAlign w:val="center"/>
          </w:tcPr>
          <w:p>
            <w:pPr>
              <w:spacing w:line="300" w:lineRule="exact"/>
              <w:jc w:val="left"/>
              <w:outlineLvl w:val="0"/>
            </w:pPr>
          </w:p>
        </w:tc>
        <w:tc>
          <w:tcPr>
            <w:tcW w:w="99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8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主管县级审计工作。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773"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审计业务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审计本级财政</w:t>
            </w:r>
            <w:r>
              <w:rPr>
                <w:rFonts w:hint="eastAsia" w:ascii="方正书宋_GBK" w:eastAsia="方正书宋_GBK"/>
                <w:lang w:eastAsia="zh-CN"/>
              </w:rPr>
              <w:t>单位</w:t>
            </w:r>
            <w:r>
              <w:rPr>
                <w:rFonts w:hint="eastAsia" w:ascii="方正书宋_GBK" w:eastAsia="方正书宋_GBK"/>
              </w:rPr>
              <w:t>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7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审计决定落实率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专项审计调查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通过专项审计调查，综合分析，向有关</w:t>
            </w:r>
            <w:r>
              <w:rPr>
                <w:rFonts w:hint="eastAsia" w:ascii="方正书宋_GBK" w:eastAsia="方正书宋_GBK"/>
                <w:lang w:eastAsia="zh-CN"/>
              </w:rPr>
              <w:t>单位</w:t>
            </w:r>
            <w:r>
              <w:rPr>
                <w:rFonts w:hint="eastAsia" w:ascii="方正书宋_GBK" w:eastAsia="方正书宋_GBK"/>
              </w:rPr>
              <w:t>反映情况，揭露问题、提出解决问题的建议，为政府决策提供依据，为国家宏观调控服务</w:t>
            </w:r>
          </w:p>
        </w:tc>
        <w:tc>
          <w:tcPr>
            <w:tcW w:w="7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专项审计完成率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773"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内部审计管理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7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内审业务办结率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773"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7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仿宋" w:hAnsi="仿宋" w:eastAsia="仿宋" w:cs="方正仿宋_GBK"/>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年，我单位安排政府采购预算4.0万元。</w:t>
      </w:r>
      <w:r>
        <w:rPr>
          <w:rFonts w:hint="eastAsia" w:ascii="仿宋" w:hAnsi="仿宋" w:eastAsia="仿宋" w:cs="仿宋_GB2312"/>
          <w:kern w:val="0"/>
          <w:sz w:val="32"/>
          <w:szCs w:val="32"/>
        </w:rPr>
        <w:t>其中有</w:t>
      </w:r>
      <w:r>
        <w:rPr>
          <w:rFonts w:hint="eastAsia" w:ascii="仿宋" w:hAnsi="仿宋" w:eastAsia="仿宋" w:cs="仿宋_GB2312"/>
          <w:kern w:val="0"/>
          <w:sz w:val="32"/>
          <w:szCs w:val="32"/>
          <w:lang w:eastAsia="zh-CN"/>
        </w:rPr>
        <w:t>计算</w:t>
      </w:r>
      <w:r>
        <w:rPr>
          <w:rFonts w:hint="eastAsia" w:ascii="仿宋" w:hAnsi="仿宋" w:eastAsia="仿宋" w:cs="仿宋_GB2312"/>
          <w:kern w:val="0"/>
          <w:sz w:val="32"/>
          <w:szCs w:val="32"/>
        </w:rPr>
        <w:t>机10台单价4000元，共计40000元。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40000元，</w:t>
      </w:r>
      <w:r>
        <w:rPr>
          <w:rFonts w:hint="eastAsia" w:ascii="仿宋" w:hAnsi="仿宋" w:eastAsia="仿宋" w:cs="仿宋_GB2312"/>
          <w:kern w:val="0"/>
          <w:sz w:val="32"/>
          <w:szCs w:val="32"/>
          <w:lang w:eastAsia="zh-CN"/>
        </w:rPr>
        <w:t>计算机</w:t>
      </w:r>
      <w:r>
        <w:rPr>
          <w:rFonts w:hint="eastAsia" w:ascii="仿宋" w:hAnsi="仿宋" w:eastAsia="仿宋" w:cs="仿宋_GB2312"/>
          <w:kern w:val="0"/>
          <w:sz w:val="32"/>
          <w:szCs w:val="32"/>
        </w:rPr>
        <w:t>10台，单价4000元。</w:t>
      </w:r>
      <w:r>
        <w:rPr>
          <w:rFonts w:hint="eastAsia" w:ascii="仿宋" w:hAnsi="仿宋" w:eastAsia="仿宋" w:cs="方正仿宋_GBK"/>
          <w:sz w:val="32"/>
          <w:szCs w:val="32"/>
        </w:rPr>
        <w:t>具体内容见下表。</w:t>
      </w:r>
    </w:p>
    <w:p>
      <w:pPr>
        <w:spacing w:line="560" w:lineRule="exact"/>
        <w:jc w:val="center"/>
        <w:outlineLvl w:val="0"/>
        <w:rPr>
          <w:rFonts w:ascii="黑体" w:hAnsi="黑体" w:eastAsia="黑体" w:cs="方正小标宋_GBK"/>
          <w:sz w:val="32"/>
          <w:szCs w:val="32"/>
        </w:rPr>
      </w:pPr>
    </w:p>
    <w:p>
      <w:pPr>
        <w:spacing w:line="560" w:lineRule="exact"/>
        <w:jc w:val="center"/>
        <w:outlineLvl w:val="0"/>
        <w:rPr>
          <w:rFonts w:ascii="黑体" w:hAnsi="黑体" w:eastAsia="黑体" w:cs="方正小标宋_GBK"/>
          <w:sz w:val="32"/>
          <w:szCs w:val="32"/>
        </w:rPr>
      </w:pPr>
      <w:r>
        <w:rPr>
          <w:rFonts w:hint="eastAsia" w:ascii="黑体" w:hAnsi="黑体" w:eastAsia="黑体" w:cs="方正小标宋_GBK"/>
          <w:sz w:val="32"/>
          <w:szCs w:val="32"/>
          <w:lang w:eastAsia="zh-CN"/>
        </w:rPr>
        <w:t>单位</w:t>
      </w:r>
      <w:r>
        <w:rPr>
          <w:rFonts w:hint="eastAsia" w:ascii="黑体" w:hAnsi="黑体" w:eastAsia="黑体" w:cs="方正小标宋_GBK"/>
          <w:sz w:val="32"/>
          <w:szCs w:val="32"/>
        </w:rPr>
        <w:t>政府采购预算</w:t>
      </w:r>
    </w:p>
    <w:tbl>
      <w:tblPr>
        <w:tblStyle w:val="8"/>
        <w:tblW w:w="13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992"/>
        <w:gridCol w:w="1134"/>
        <w:gridCol w:w="992"/>
        <w:gridCol w:w="851"/>
        <w:gridCol w:w="708"/>
        <w:gridCol w:w="708"/>
        <w:gridCol w:w="1097"/>
        <w:gridCol w:w="992"/>
        <w:gridCol w:w="888"/>
        <w:gridCol w:w="710"/>
        <w:gridCol w:w="709"/>
        <w:gridCol w:w="708"/>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15" w:type="dxa"/>
            <w:gridSpan w:val="7"/>
            <w:tcBorders>
              <w:top w:val="single" w:color="FFFFFF" w:sz="6" w:space="0"/>
              <w:left w:val="single" w:color="FFFFFF" w:sz="6" w:space="0"/>
              <w:right w:val="single" w:color="FFFFFF" w:sz="6" w:space="0"/>
            </w:tcBorders>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lang w:eastAsia="zh-CN"/>
              </w:rPr>
              <w:t>单位</w:t>
            </w:r>
            <w:r>
              <w:rPr>
                <w:rFonts w:hint="eastAsia" w:ascii="仿宋" w:hAnsi="仿宋" w:eastAsia="仿宋" w:cs="Times New Roman"/>
                <w:sz w:val="24"/>
                <w:szCs w:val="24"/>
              </w:rPr>
              <w:t>（单位）：319</w:t>
            </w:r>
            <w:r>
              <w:rPr>
                <w:rFonts w:hint="eastAsia" w:ascii="仿宋" w:hAnsi="仿宋" w:eastAsia="仿宋" w:cs="Times New Roman"/>
                <w:sz w:val="24"/>
                <w:szCs w:val="24"/>
                <w:lang w:val="en-US" w:eastAsia="zh-CN"/>
              </w:rPr>
              <w:t>001</w:t>
            </w:r>
            <w:r>
              <w:rPr>
                <w:rFonts w:hint="eastAsia" w:ascii="仿宋" w:hAnsi="仿宋" w:eastAsia="仿宋" w:cs="Times New Roman"/>
                <w:sz w:val="24"/>
                <w:szCs w:val="24"/>
              </w:rPr>
              <w:t>成安县审计局</w:t>
            </w:r>
          </w:p>
        </w:tc>
        <w:tc>
          <w:tcPr>
            <w:tcW w:w="6037" w:type="dxa"/>
            <w:gridSpan w:val="7"/>
            <w:tcBorders>
              <w:top w:val="single" w:color="FFFFFF" w:sz="6" w:space="0"/>
              <w:left w:val="single" w:color="FFFFFF" w:sz="6" w:space="0"/>
              <w:right w:val="single" w:color="FFFFFF" w:sz="6" w:space="0"/>
            </w:tcBorders>
            <w:vAlign w:val="center"/>
          </w:tcPr>
          <w:p>
            <w:pPr>
              <w:spacing w:line="28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2"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政府采购项目</w:t>
            </w:r>
          </w:p>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来源</w:t>
            </w:r>
          </w:p>
        </w:tc>
        <w:tc>
          <w:tcPr>
            <w:tcW w:w="1134"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采购物品名称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政府采购目录序号</w:t>
            </w:r>
          </w:p>
        </w:tc>
        <w:tc>
          <w:tcPr>
            <w:tcW w:w="851"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数量单位</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6037" w:type="dxa"/>
            <w:gridSpan w:val="7"/>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1730"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预算资金</w:t>
            </w: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总计</w:t>
            </w:r>
          </w:p>
        </w:tc>
        <w:tc>
          <w:tcPr>
            <w:tcW w:w="4007" w:type="dxa"/>
            <w:gridSpan w:val="5"/>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当年</w:t>
            </w:r>
            <w:r>
              <w:rPr>
                <w:rFonts w:hint="eastAsia" w:ascii="仿宋" w:hAnsi="仿宋" w:eastAsia="仿宋" w:cs="Times New Roman"/>
                <w:sz w:val="24"/>
                <w:szCs w:val="24"/>
                <w:lang w:eastAsia="zh-CN"/>
              </w:rPr>
              <w:t>单位</w:t>
            </w:r>
            <w:r>
              <w:rPr>
                <w:rFonts w:hint="eastAsia" w:ascii="仿宋" w:hAnsi="仿宋" w:eastAsia="仿宋" w:cs="Times New Roman"/>
                <w:sz w:val="24"/>
                <w:szCs w:val="24"/>
              </w:rPr>
              <w:t>预算安排资金</w:t>
            </w:r>
          </w:p>
        </w:tc>
        <w:tc>
          <w:tcPr>
            <w:tcW w:w="933"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1730"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continue"/>
            <w:vAlign w:val="center"/>
          </w:tcPr>
          <w:p>
            <w:pPr>
              <w:spacing w:line="280" w:lineRule="exact"/>
              <w:jc w:val="left"/>
              <w:outlineLvl w:val="0"/>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一般公共预算拨款</w:t>
            </w:r>
          </w:p>
        </w:tc>
        <w:tc>
          <w:tcPr>
            <w:tcW w:w="71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基金预算拨款</w:t>
            </w:r>
          </w:p>
        </w:tc>
        <w:tc>
          <w:tcPr>
            <w:tcW w:w="709"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财政专户核拨</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其他来源收入</w:t>
            </w:r>
          </w:p>
        </w:tc>
        <w:tc>
          <w:tcPr>
            <w:tcW w:w="933" w:type="dxa"/>
            <w:vMerge w:val="continue"/>
            <w:vAlign w:val="center"/>
          </w:tcPr>
          <w:p>
            <w:pPr>
              <w:spacing w:line="28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　计</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1134" w:type="dxa"/>
            <w:vAlign w:val="center"/>
          </w:tcPr>
          <w:p>
            <w:pPr>
              <w:spacing w:line="280" w:lineRule="exact"/>
              <w:jc w:val="center"/>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sz w:val="24"/>
                <w:szCs w:val="24"/>
              </w:rPr>
              <w:t>日常公用经费</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1134" w:type="dxa"/>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计算机</w:t>
            </w:r>
          </w:p>
        </w:tc>
        <w:tc>
          <w:tcPr>
            <w:tcW w:w="992" w:type="dxa"/>
            <w:vAlign w:val="center"/>
          </w:tcPr>
          <w:p>
            <w:pPr>
              <w:spacing w:line="28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A02010199</w:t>
            </w:r>
          </w:p>
        </w:tc>
        <w:tc>
          <w:tcPr>
            <w:tcW w:w="851"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0.4</w:t>
            </w: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4.0</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bl>
    <w:p>
      <w:pPr>
        <w:spacing w:line="560" w:lineRule="exact"/>
        <w:jc w:val="center"/>
        <w:outlineLvl w:val="0"/>
        <w:rPr>
          <w:rFonts w:ascii="仿宋" w:hAnsi="仿宋" w:eastAsia="仿宋" w:cs="Times New Roman"/>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我单位上年末固定资产金额为42.39万元，本年度拟购置固定资产主要为计算机设备</w:t>
      </w:r>
      <w:r>
        <w:rPr>
          <w:rFonts w:hint="eastAsia" w:ascii="仿宋" w:hAnsi="仿宋" w:eastAsia="仿宋" w:cs="仿宋_GB2312"/>
          <w:sz w:val="32"/>
          <w:szCs w:val="32"/>
          <w:lang w:val="en-US" w:eastAsia="zh-CN"/>
        </w:rPr>
        <w:t>10台共计4万元</w:t>
      </w:r>
      <w:r>
        <w:rPr>
          <w:rFonts w:hint="eastAsia" w:ascii="仿宋" w:hAnsi="仿宋" w:eastAsia="仿宋" w:cs="仿宋_GB2312"/>
          <w:sz w:val="32"/>
          <w:szCs w:val="32"/>
        </w:rPr>
        <w:t>，已列入政府采购预算。详见下表。</w:t>
      </w:r>
    </w:p>
    <w:tbl>
      <w:tblPr>
        <w:tblStyle w:val="8"/>
        <w:tblW w:w="12758" w:type="dxa"/>
        <w:tblInd w:w="959" w:type="dxa"/>
        <w:tblLayout w:type="fixed"/>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12758" w:type="dxa"/>
            <w:gridSpan w:val="3"/>
            <w:tcBorders>
              <w:top w:val="nil"/>
              <w:left w:val="nil"/>
              <w:bottom w:val="nil"/>
              <w:right w:val="nil"/>
            </w:tcBorders>
            <w:noWrap/>
            <w:vAlign w:val="center"/>
          </w:tcPr>
          <w:p>
            <w:pPr>
              <w:widowControl/>
              <w:ind w:firstLine="2715" w:firstLineChars="845"/>
              <w:rPr>
                <w:rFonts w:ascii="宋体" w:hAnsi="宋体" w:eastAsia="宋体" w:cs="宋体"/>
                <w:b/>
                <w:bCs/>
                <w:kern w:val="0"/>
                <w:sz w:val="32"/>
                <w:szCs w:val="32"/>
              </w:rPr>
            </w:pPr>
          </w:p>
          <w:p>
            <w:pPr>
              <w:widowControl/>
              <w:ind w:firstLine="2715" w:firstLineChars="845"/>
              <w:rPr>
                <w:rFonts w:ascii="宋体" w:hAnsi="宋体" w:eastAsia="宋体" w:cs="宋体"/>
                <w:b/>
                <w:bCs/>
                <w:kern w:val="0"/>
                <w:sz w:val="32"/>
                <w:szCs w:val="32"/>
              </w:rPr>
            </w:pPr>
          </w:p>
          <w:p>
            <w:pPr>
              <w:widowControl/>
              <w:ind w:firstLine="2715" w:firstLineChars="845"/>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单位</w:t>
            </w:r>
            <w:r>
              <w:rPr>
                <w:rFonts w:hint="eastAsia" w:ascii="宋体" w:hAnsi="宋体" w:eastAsia="宋体" w:cs="宋体"/>
                <w:b/>
                <w:bCs/>
                <w:kern w:val="0"/>
                <w:sz w:val="32"/>
                <w:szCs w:val="32"/>
              </w:rPr>
              <w:t>固定资产占用情况表</w:t>
            </w:r>
          </w:p>
          <w:p>
            <w:pPr>
              <w:widowControl/>
              <w:rPr>
                <w:rFonts w:ascii="宋体" w:hAnsi="宋体" w:eastAsia="宋体" w:cs="Times New Roman"/>
                <w:b/>
                <w:bCs/>
                <w:kern w:val="0"/>
                <w:sz w:val="10"/>
                <w:szCs w:val="10"/>
              </w:rPr>
            </w:pPr>
          </w:p>
        </w:tc>
      </w:tr>
      <w:tr>
        <w:tblPrEx>
          <w:tblCellMar>
            <w:top w:w="0" w:type="dxa"/>
            <w:left w:w="108" w:type="dxa"/>
            <w:bottom w:w="0" w:type="dxa"/>
            <w:right w:w="108" w:type="dxa"/>
          </w:tblCellMar>
        </w:tblPrEx>
        <w:trPr>
          <w:trHeight w:val="510" w:hRule="atLeast"/>
        </w:trPr>
        <w:tc>
          <w:tcPr>
            <w:tcW w:w="7211" w:type="dxa"/>
            <w:gridSpan w:val="2"/>
            <w:tcBorders>
              <w:top w:val="nil"/>
              <w:left w:val="nil"/>
              <w:bottom w:val="nil"/>
              <w:right w:val="nil"/>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编制</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：319</w:t>
            </w:r>
            <w:r>
              <w:rPr>
                <w:rFonts w:hint="eastAsia" w:ascii="仿宋" w:hAnsi="仿宋" w:eastAsia="仿宋" w:cs="宋体"/>
                <w:kern w:val="0"/>
                <w:sz w:val="32"/>
                <w:szCs w:val="32"/>
                <w:lang w:val="en-US" w:eastAsia="zh-CN"/>
              </w:rPr>
              <w:t>001</w:t>
            </w:r>
            <w:bookmarkStart w:id="0" w:name="_GoBack"/>
            <w:bookmarkEnd w:id="0"/>
            <w:r>
              <w:rPr>
                <w:rFonts w:hint="eastAsia" w:ascii="仿宋" w:hAnsi="仿宋" w:eastAsia="仿宋" w:cs="宋体"/>
                <w:kern w:val="0"/>
                <w:sz w:val="32"/>
                <w:szCs w:val="32"/>
              </w:rPr>
              <w:t>成安县审计局</w:t>
            </w:r>
          </w:p>
        </w:tc>
        <w:tc>
          <w:tcPr>
            <w:tcW w:w="5547" w:type="dxa"/>
            <w:tcBorders>
              <w:top w:val="nil"/>
              <w:left w:val="nil"/>
              <w:bottom w:val="nil"/>
              <w:right w:val="nil"/>
            </w:tcBorders>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w:t>
            </w:r>
            <w:r>
              <w:rPr>
                <w:rFonts w:hint="eastAsia" w:ascii="仿宋" w:hAnsi="仿宋" w:eastAsia="仿宋" w:cs="宋体"/>
                <w:kern w:val="0"/>
                <w:sz w:val="32"/>
                <w:szCs w:val="32"/>
              </w:rPr>
              <w:t>20年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资产总额</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42.66</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350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其中：办公用房（平方米）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320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26.66</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964" w:firstLineChars="300"/>
        <w:jc w:val="left"/>
        <w:rPr>
          <w:rFonts w:ascii="黑体" w:hAnsi="黑体" w:eastAsia="黑体" w:cs="仿宋"/>
          <w:kern w:val="0"/>
          <w:sz w:val="32"/>
          <w:szCs w:val="32"/>
        </w:rPr>
      </w:pPr>
      <w:r>
        <w:rPr>
          <w:rFonts w:hint="eastAsia" w:ascii="黑体" w:hAnsi="黑体" w:eastAsia="黑体" w:cs="仿宋_GB2312"/>
          <w:b/>
          <w:kern w:val="0"/>
          <w:sz w:val="32"/>
          <w:szCs w:val="32"/>
        </w:rPr>
        <w:t>八、</w:t>
      </w:r>
      <w:r>
        <w:rPr>
          <w:rFonts w:hint="eastAsia" w:ascii="黑体" w:hAnsi="黑体" w:eastAsia="黑体" w:cs="仿宋"/>
          <w:b/>
          <w:kern w:val="0"/>
          <w:sz w:val="32"/>
          <w:szCs w:val="32"/>
        </w:rPr>
        <w:t>名词解释</w:t>
      </w:r>
      <w:r>
        <w:rPr>
          <w:rFonts w:hint="eastAsia" w:ascii="黑体" w:hAnsi="黑体" w:eastAsia="黑体" w:cs="仿宋"/>
          <w:kern w:val="0"/>
          <w:sz w:val="32"/>
          <w:szCs w:val="32"/>
        </w:rPr>
        <w:t> </w:t>
      </w:r>
    </w:p>
    <w:p>
      <w:pPr>
        <w:widowControl/>
        <w:spacing w:line="360" w:lineRule="auto"/>
        <w:ind w:firstLine="964" w:firstLineChars="300"/>
        <w:jc w:val="left"/>
        <w:rPr>
          <w:rFonts w:ascii="仿宋" w:hAnsi="仿宋" w:eastAsia="仿宋" w:cs="仿宋"/>
          <w:kern w:val="0"/>
          <w:sz w:val="32"/>
          <w:szCs w:val="32"/>
        </w:rPr>
      </w:pPr>
      <w:r>
        <w:rPr>
          <w:rFonts w:hint="eastAsia" w:ascii="楷体" w:hAnsi="楷体" w:eastAsia="楷体" w:cs="仿宋"/>
          <w:b/>
          <w:bCs/>
          <w:kern w:val="0"/>
          <w:sz w:val="32"/>
          <w:szCs w:val="32"/>
        </w:rPr>
        <w:t>1、财政拨款收入</w:t>
      </w:r>
      <w:r>
        <w:rPr>
          <w:rFonts w:hint="eastAsia" w:ascii="仿宋" w:hAnsi="仿宋" w:eastAsia="仿宋" w:cs="仿宋"/>
          <w:bCs/>
          <w:kern w:val="0"/>
          <w:sz w:val="32"/>
          <w:szCs w:val="32"/>
        </w:rPr>
        <w:t>：指</w:t>
      </w:r>
      <w:r>
        <w:rPr>
          <w:rFonts w:hint="eastAsia" w:ascii="仿宋" w:hAnsi="仿宋" w:eastAsia="仿宋" w:cs="仿宋"/>
          <w:kern w:val="0"/>
          <w:sz w:val="32"/>
          <w:szCs w:val="32"/>
        </w:rPr>
        <w:t>财政当年拨付的资金。</w:t>
      </w:r>
    </w:p>
    <w:p>
      <w:pPr>
        <w:widowControl/>
        <w:spacing w:line="360" w:lineRule="auto"/>
        <w:ind w:firstLine="964" w:firstLineChars="300"/>
        <w:jc w:val="left"/>
        <w:rPr>
          <w:rFonts w:ascii="微软雅黑" w:hAnsi="微软雅黑" w:eastAsia="微软雅黑" w:cs="微软雅黑"/>
          <w:kern w:val="0"/>
          <w:sz w:val="24"/>
          <w:szCs w:val="24"/>
        </w:rPr>
      </w:pPr>
      <w:r>
        <w:rPr>
          <w:rFonts w:hint="eastAsia" w:ascii="楷体" w:hAnsi="楷体" w:eastAsia="楷体" w:cs="仿宋"/>
          <w:b/>
          <w:kern w:val="0"/>
          <w:sz w:val="32"/>
          <w:szCs w:val="32"/>
        </w:rPr>
        <w:t>2、“三公”经费</w:t>
      </w:r>
      <w:r>
        <w:rPr>
          <w:rFonts w:hint="eastAsia" w:ascii="仿宋" w:hAnsi="仿宋" w:eastAsia="仿宋" w:cs="仿宋"/>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微软雅黑"/>
          <w:b/>
          <w:kern w:val="0"/>
          <w:sz w:val="32"/>
          <w:szCs w:val="32"/>
        </w:rPr>
        <w:t>3</w:t>
      </w:r>
      <w:r>
        <w:rPr>
          <w:rFonts w:hint="eastAsia" w:ascii="楷体" w:hAnsi="楷体" w:eastAsia="楷体"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footerReference r:id="rId3" w:type="default"/>
      <w:pgSz w:w="16839" w:h="11907" w:orient="landscape"/>
      <w:pgMar w:top="1134" w:right="1021" w:bottom="1134" w:left="102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553723"/>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466F3"/>
    <w:multiLevelType w:val="multilevel"/>
    <w:tmpl w:val="3EA466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yYjVkM2Q3OGI3NjgyMmRhNzc4Mzg1ZjJiNjZhOGYifQ=="/>
  </w:docVars>
  <w:rsids>
    <w:rsidRoot w:val="00E810D6"/>
    <w:rsid w:val="00056D43"/>
    <w:rsid w:val="0014701B"/>
    <w:rsid w:val="001700F7"/>
    <w:rsid w:val="00176244"/>
    <w:rsid w:val="0019434D"/>
    <w:rsid w:val="00197767"/>
    <w:rsid w:val="001B21CC"/>
    <w:rsid w:val="001B565C"/>
    <w:rsid w:val="001E5CC4"/>
    <w:rsid w:val="00201474"/>
    <w:rsid w:val="00242910"/>
    <w:rsid w:val="00273898"/>
    <w:rsid w:val="00280EC0"/>
    <w:rsid w:val="002817F4"/>
    <w:rsid w:val="002E3A95"/>
    <w:rsid w:val="00317781"/>
    <w:rsid w:val="003276E5"/>
    <w:rsid w:val="003466C0"/>
    <w:rsid w:val="00346A54"/>
    <w:rsid w:val="00367009"/>
    <w:rsid w:val="00381903"/>
    <w:rsid w:val="003933F1"/>
    <w:rsid w:val="003A52C4"/>
    <w:rsid w:val="003D4529"/>
    <w:rsid w:val="003F04F8"/>
    <w:rsid w:val="004410BA"/>
    <w:rsid w:val="004A38F8"/>
    <w:rsid w:val="004B2304"/>
    <w:rsid w:val="00513C3D"/>
    <w:rsid w:val="00513E63"/>
    <w:rsid w:val="005321C6"/>
    <w:rsid w:val="00543D6B"/>
    <w:rsid w:val="005566D7"/>
    <w:rsid w:val="00592153"/>
    <w:rsid w:val="005D136A"/>
    <w:rsid w:val="005D201E"/>
    <w:rsid w:val="005E0251"/>
    <w:rsid w:val="005E0800"/>
    <w:rsid w:val="00623122"/>
    <w:rsid w:val="0062621A"/>
    <w:rsid w:val="00637C9B"/>
    <w:rsid w:val="00685811"/>
    <w:rsid w:val="006869FC"/>
    <w:rsid w:val="006A1896"/>
    <w:rsid w:val="006D1C5B"/>
    <w:rsid w:val="007100CC"/>
    <w:rsid w:val="00716119"/>
    <w:rsid w:val="00727E15"/>
    <w:rsid w:val="00731ECE"/>
    <w:rsid w:val="00750FA8"/>
    <w:rsid w:val="00781C35"/>
    <w:rsid w:val="007A507B"/>
    <w:rsid w:val="007B2E5B"/>
    <w:rsid w:val="007D6BF0"/>
    <w:rsid w:val="007F6118"/>
    <w:rsid w:val="00803948"/>
    <w:rsid w:val="008058DC"/>
    <w:rsid w:val="00834572"/>
    <w:rsid w:val="00881C85"/>
    <w:rsid w:val="008A0DB8"/>
    <w:rsid w:val="008C7744"/>
    <w:rsid w:val="00904E2A"/>
    <w:rsid w:val="00905E04"/>
    <w:rsid w:val="00912B9F"/>
    <w:rsid w:val="00915985"/>
    <w:rsid w:val="00932E94"/>
    <w:rsid w:val="009629CF"/>
    <w:rsid w:val="00962FDC"/>
    <w:rsid w:val="00994454"/>
    <w:rsid w:val="009C1FB9"/>
    <w:rsid w:val="009D60BC"/>
    <w:rsid w:val="00A07D70"/>
    <w:rsid w:val="00A15186"/>
    <w:rsid w:val="00A20528"/>
    <w:rsid w:val="00A80304"/>
    <w:rsid w:val="00A82369"/>
    <w:rsid w:val="00AF3E48"/>
    <w:rsid w:val="00AF5DDC"/>
    <w:rsid w:val="00B03B8A"/>
    <w:rsid w:val="00B36E6E"/>
    <w:rsid w:val="00B62B1E"/>
    <w:rsid w:val="00B7655A"/>
    <w:rsid w:val="00B77F57"/>
    <w:rsid w:val="00BC327A"/>
    <w:rsid w:val="00BE00E0"/>
    <w:rsid w:val="00BF28CF"/>
    <w:rsid w:val="00CB51FE"/>
    <w:rsid w:val="00CC27D5"/>
    <w:rsid w:val="00CF31BA"/>
    <w:rsid w:val="00D10A1E"/>
    <w:rsid w:val="00D12297"/>
    <w:rsid w:val="00D74395"/>
    <w:rsid w:val="00DA2CD4"/>
    <w:rsid w:val="00DC568F"/>
    <w:rsid w:val="00DD04FC"/>
    <w:rsid w:val="00DF69A5"/>
    <w:rsid w:val="00E053F0"/>
    <w:rsid w:val="00E103D0"/>
    <w:rsid w:val="00E562B3"/>
    <w:rsid w:val="00E810D6"/>
    <w:rsid w:val="00F43BFC"/>
    <w:rsid w:val="00F5471B"/>
    <w:rsid w:val="00F83BB9"/>
    <w:rsid w:val="00FA2AF0"/>
    <w:rsid w:val="013B67CD"/>
    <w:rsid w:val="01CA412B"/>
    <w:rsid w:val="020E4C24"/>
    <w:rsid w:val="02100DB1"/>
    <w:rsid w:val="02CD11F4"/>
    <w:rsid w:val="037D399A"/>
    <w:rsid w:val="03B213E5"/>
    <w:rsid w:val="06096D52"/>
    <w:rsid w:val="06550E5D"/>
    <w:rsid w:val="0726741C"/>
    <w:rsid w:val="08787C12"/>
    <w:rsid w:val="08D34D69"/>
    <w:rsid w:val="09357A77"/>
    <w:rsid w:val="09E50DB9"/>
    <w:rsid w:val="0A772B51"/>
    <w:rsid w:val="0B80223E"/>
    <w:rsid w:val="0BB759F9"/>
    <w:rsid w:val="0CBF7A43"/>
    <w:rsid w:val="0DD4180B"/>
    <w:rsid w:val="130B706D"/>
    <w:rsid w:val="139106CF"/>
    <w:rsid w:val="13DE0FA8"/>
    <w:rsid w:val="14333F4B"/>
    <w:rsid w:val="163506CD"/>
    <w:rsid w:val="16F62269"/>
    <w:rsid w:val="17252863"/>
    <w:rsid w:val="173C3F94"/>
    <w:rsid w:val="175940C0"/>
    <w:rsid w:val="17C16AC9"/>
    <w:rsid w:val="180D78B9"/>
    <w:rsid w:val="19322288"/>
    <w:rsid w:val="1AEF7278"/>
    <w:rsid w:val="1B2A5EA4"/>
    <w:rsid w:val="1CC97251"/>
    <w:rsid w:val="1CEB0A1C"/>
    <w:rsid w:val="1E8167C1"/>
    <w:rsid w:val="1EAA0AE1"/>
    <w:rsid w:val="21B66276"/>
    <w:rsid w:val="228819EE"/>
    <w:rsid w:val="26513D2C"/>
    <w:rsid w:val="2716314B"/>
    <w:rsid w:val="288A4B30"/>
    <w:rsid w:val="28E516DB"/>
    <w:rsid w:val="299267B6"/>
    <w:rsid w:val="2AD57C75"/>
    <w:rsid w:val="2B3E328E"/>
    <w:rsid w:val="2BAA47A7"/>
    <w:rsid w:val="2C442584"/>
    <w:rsid w:val="2DCE40BA"/>
    <w:rsid w:val="2E066AE5"/>
    <w:rsid w:val="2E2777CE"/>
    <w:rsid w:val="2EE04A84"/>
    <w:rsid w:val="31D059F4"/>
    <w:rsid w:val="32D229F3"/>
    <w:rsid w:val="332A0BBD"/>
    <w:rsid w:val="3387759D"/>
    <w:rsid w:val="351C5D1D"/>
    <w:rsid w:val="36DF5EE5"/>
    <w:rsid w:val="38963AA1"/>
    <w:rsid w:val="39461E7C"/>
    <w:rsid w:val="39A75722"/>
    <w:rsid w:val="3B6E7B6E"/>
    <w:rsid w:val="3C712CD5"/>
    <w:rsid w:val="3CEC5D53"/>
    <w:rsid w:val="3F6F0D7F"/>
    <w:rsid w:val="42211DC8"/>
    <w:rsid w:val="441C57E9"/>
    <w:rsid w:val="44240E6E"/>
    <w:rsid w:val="44986D47"/>
    <w:rsid w:val="456A5D0D"/>
    <w:rsid w:val="457C0C14"/>
    <w:rsid w:val="45B90BF3"/>
    <w:rsid w:val="460143F1"/>
    <w:rsid w:val="47047404"/>
    <w:rsid w:val="475B18CD"/>
    <w:rsid w:val="4A4F1F05"/>
    <w:rsid w:val="4B7040C7"/>
    <w:rsid w:val="4CA957E7"/>
    <w:rsid w:val="4D9730D4"/>
    <w:rsid w:val="4E4335D2"/>
    <w:rsid w:val="4EB84051"/>
    <w:rsid w:val="51F3063A"/>
    <w:rsid w:val="55325DEE"/>
    <w:rsid w:val="55372497"/>
    <w:rsid w:val="577A72C9"/>
    <w:rsid w:val="59AF56D7"/>
    <w:rsid w:val="5B2B3FCD"/>
    <w:rsid w:val="5BAE356C"/>
    <w:rsid w:val="5BCD3DCC"/>
    <w:rsid w:val="5CB07A05"/>
    <w:rsid w:val="5ED17601"/>
    <w:rsid w:val="612F2391"/>
    <w:rsid w:val="61897173"/>
    <w:rsid w:val="63836572"/>
    <w:rsid w:val="63F21B1B"/>
    <w:rsid w:val="65493192"/>
    <w:rsid w:val="666C26EF"/>
    <w:rsid w:val="66E76F73"/>
    <w:rsid w:val="6B511389"/>
    <w:rsid w:val="6D5763C1"/>
    <w:rsid w:val="6D81148F"/>
    <w:rsid w:val="6E8006EE"/>
    <w:rsid w:val="6ECC4D84"/>
    <w:rsid w:val="70BA2DA1"/>
    <w:rsid w:val="71B87B2B"/>
    <w:rsid w:val="729B4F6A"/>
    <w:rsid w:val="72CD6F51"/>
    <w:rsid w:val="733E01F4"/>
    <w:rsid w:val="737E7144"/>
    <w:rsid w:val="7424079F"/>
    <w:rsid w:val="74D4598A"/>
    <w:rsid w:val="75924A83"/>
    <w:rsid w:val="76DC690F"/>
    <w:rsid w:val="76FD3FC3"/>
    <w:rsid w:val="79AB31A3"/>
    <w:rsid w:val="7AA5545A"/>
    <w:rsid w:val="7BAA5900"/>
    <w:rsid w:val="7D9A3104"/>
    <w:rsid w:val="7DB94919"/>
    <w:rsid w:val="7EAE48F5"/>
    <w:rsid w:val="7F5A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rPr>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3"/>
    <w:qFormat/>
    <w:uiPriority w:val="99"/>
    <w:rPr>
      <w:sz w:val="18"/>
      <w:szCs w:val="18"/>
    </w:rPr>
  </w:style>
  <w:style w:type="paragraph" w:customStyle="1" w:styleId="13">
    <w:name w:val="p0"/>
    <w:basedOn w:val="1"/>
    <w:qFormat/>
    <w:uiPriority w:val="0"/>
    <w:pPr>
      <w:widowControl/>
      <w:ind w:firstLine="420"/>
      <w:jc w:val="left"/>
    </w:pPr>
    <w:rPr>
      <w:kern w:val="0"/>
      <w:sz w:val="20"/>
      <w:szCs w:val="20"/>
    </w:rPr>
  </w:style>
  <w:style w:type="paragraph" w:customStyle="1" w:styleId="14">
    <w:name w:val="列出段落1"/>
    <w:basedOn w:val="1"/>
    <w:unhideWhenUsed/>
    <w:qFormat/>
    <w:uiPriority w:val="99"/>
    <w:pPr>
      <w:ind w:firstLine="420" w:firstLineChars="200"/>
    </w:pPr>
  </w:style>
  <w:style w:type="character" w:customStyle="1" w:styleId="15">
    <w:name w:val="批注框文本 Char"/>
    <w:basedOn w:val="10"/>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EEB8D-1123-4C00-A08A-3BCDB85363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4690</Words>
  <Characters>4931</Characters>
  <Lines>33</Lines>
  <Paragraphs>9</Paragraphs>
  <TotalTime>2</TotalTime>
  <ScaleCrop>false</ScaleCrop>
  <LinksUpToDate>false</LinksUpToDate>
  <CharactersWithSpaces>4952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2017-11-11T05:56:00Z</dcterms:created>
  <dc:creator>lenovo</dc:creator>
  <cp:lastModifiedBy>Administrator</cp:lastModifiedBy>
  <cp:lastPrinted>2016-04-01T02:44:00Z</cp:lastPrinted>
  <dcterms:modified xsi:type="dcterms:W3CDTF">2022-09-16T08:15:19Z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44D7A75C21EF49139EFDF19AE18E0834</vt:lpwstr>
  </property>
</Properties>
</file>