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成安县民政局</w:t>
      </w:r>
    </w:p>
    <w:p>
      <w:pPr>
        <w:jc w:val="center"/>
        <w:rPr>
          <w:rFonts w:ascii="黑体" w:hAnsi="黑体" w:eastAsia="黑体"/>
          <w:sz w:val="44"/>
          <w:szCs w:val="44"/>
        </w:rPr>
      </w:pPr>
      <w:r>
        <w:rPr>
          <w:rFonts w:hint="eastAsia" w:ascii="黑体" w:hAnsi="黑体" w:eastAsia="黑体"/>
          <w:sz w:val="44"/>
          <w:szCs w:val="44"/>
        </w:rPr>
        <w:t>2021年部门预算公开情况说明</w:t>
      </w:r>
    </w:p>
    <w:p>
      <w:pPr>
        <w:jc w:val="center"/>
        <w:rPr>
          <w:rFonts w:ascii="黑体" w:hAnsi="黑体" w:eastAsia="黑体"/>
          <w:sz w:val="44"/>
          <w:szCs w:val="44"/>
        </w:rPr>
      </w:pPr>
    </w:p>
    <w:p>
      <w:pPr>
        <w:jc w:val="left"/>
        <w:rPr>
          <w:rFonts w:ascii="仿宋" w:hAnsi="仿宋" w:eastAsia="仿宋"/>
          <w:sz w:val="32"/>
          <w:szCs w:val="32"/>
        </w:rPr>
      </w:pPr>
      <w:r>
        <w:rPr>
          <w:rFonts w:hint="eastAsia" w:ascii="仿宋" w:hAnsi="仿宋" w:eastAsia="仿宋"/>
          <w:sz w:val="32"/>
          <w:szCs w:val="32"/>
        </w:rPr>
        <w:t xml:space="preserve">   按照《预算法》、《地方预决算公开操作规程》等相关规定，现将成安县民政局2021年部门预算公开如下：</w:t>
      </w:r>
    </w:p>
    <w:p>
      <w:pPr>
        <w:ind w:firstLine="640"/>
        <w:rPr>
          <w:rFonts w:ascii="宋体" w:hAnsi="宋体" w:eastAsia="宋体" w:cs="Times New Roman"/>
          <w:b/>
          <w:sz w:val="32"/>
          <w:szCs w:val="32"/>
        </w:rPr>
      </w:pPr>
      <w:r>
        <w:rPr>
          <w:rFonts w:hint="eastAsia" w:ascii="宋体" w:hAnsi="宋体" w:eastAsia="宋体" w:cs="黑体"/>
          <w:b/>
          <w:sz w:val="32"/>
          <w:szCs w:val="32"/>
        </w:rPr>
        <w:t>一、部门职责及机构设置情况</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rPr>
        <w:t>民政局是县政府主管社会行政事务的职能部门。主要任务包括社会保障工作、部分社会行政事务管理和基层政权建设工作、部分社会行政事务管理和基层政权建设工作。其主要职责是：</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rPr>
        <w:t>（一）根据党的基本路线和我县国民经济的社会发展规划，研究制定全县民政事业发展战略、编制民政事业发展规划和年度工作计划，研究制定全县民政工作方针、政策实施负责组织和监督检查。</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rPr>
        <w:t>（二）指导全县乡镇基层政权建设和村委会、居委会等群众自治组织建设；推动农村开展村民自治活动；负责全县、乡、镇、村的区域划分；代县政府审查乡、镇、村的设立、撤销、驻地迁移等具体工作；负责县内乡、镇村之间和邻县边界勘察和边界纠纷的调处工作。</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rPr>
        <w:t>（三）负责农村困难户的临时救济，定期救济和六十年代精减退职工的</w:t>
      </w:r>
      <w:r>
        <w:rPr>
          <w:rFonts w:ascii="仿宋" w:hAnsi="仿宋" w:eastAsia="仿宋" w:cs="方正仿宋_GBK"/>
          <w:sz w:val="32"/>
          <w:szCs w:val="32"/>
        </w:rPr>
        <w:t>40%</w:t>
      </w:r>
      <w:r>
        <w:rPr>
          <w:rFonts w:hint="eastAsia" w:ascii="仿宋" w:hAnsi="仿宋" w:eastAsia="仿宋" w:cs="方正仿宋_GBK"/>
          <w:sz w:val="32"/>
          <w:szCs w:val="32"/>
        </w:rPr>
        <w:t>救济及其他特殊对象的救济工作；负责指导检查全县农村“五保户”的五保供养和敬老院建设。</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rPr>
        <w:t>（四）主管全县农村（含乡镇企业）社会养老保险工作，建立和完善农村养老保险制度，筹集管理使用、发放好农村养老保险基金。抓好农村社会养老保险处的建设，宣传推行农村养老保险制度的好处和意义，指导和督查乡镇养老保险工作；解决好农村养老保险工作中出现的各种问题。</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rPr>
        <w:t>（五）研究制订和组织实施社会福利事业发展规划、指导社会福利事业单位的管理和社区服务工作；会同有关部门研究制订并监督实施全县社会福利生产发展规划，对全县社会福利生产企业进行指导和宏观管理。</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rPr>
        <w:t>（六）负责全县社团组织审批、登记及全县社团行政案件裁决、年检、注销、合并、审核工作。</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rPr>
        <w:t>（七）主管婚姻登记和儿童收养登记工作；负责推行殡葬改革事业单位的管理工作；负责全县流浪乞讨人员的收容遣送工作；指导妇女儿童权益保护工作。</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rPr>
        <w:t>（八）负责全县民政事业财务、统计、审计及民政事业费得使用管理工作；收集整理、更新地名资料。</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rPr>
        <w:t>（九）负责全县地名管理工作；承办村以上地名的命名、更名的申报和审核工作；收集整理、更新地名资料。</w:t>
      </w:r>
    </w:p>
    <w:p>
      <w:pPr>
        <w:widowControl/>
        <w:spacing w:line="360" w:lineRule="auto"/>
        <w:ind w:firstLine="627" w:firstLineChars="196"/>
        <w:jc w:val="left"/>
        <w:rPr>
          <w:rFonts w:ascii="仿宋" w:hAnsi="仿宋" w:eastAsia="仿宋" w:cs="方正仿宋_GBK"/>
          <w:sz w:val="32"/>
          <w:szCs w:val="32"/>
        </w:rPr>
      </w:pPr>
      <w:r>
        <w:rPr>
          <w:rFonts w:hint="eastAsia" w:ascii="仿宋" w:hAnsi="仿宋" w:eastAsia="仿宋" w:cs="方正仿宋_GBK"/>
          <w:sz w:val="32"/>
          <w:szCs w:val="32"/>
        </w:rPr>
        <w:t>（十）负责全县有奖募捐工作的计划安排、奖券发行和福利基金的管理和使用；承办县募捐委办公室的日常工作。</w:t>
      </w:r>
    </w:p>
    <w:p>
      <w:pPr>
        <w:widowControl/>
        <w:spacing w:line="360" w:lineRule="auto"/>
        <w:ind w:firstLine="630" w:firstLineChars="196"/>
        <w:jc w:val="left"/>
        <w:rPr>
          <w:rFonts w:ascii="楷体" w:hAnsi="楷体" w:eastAsia="楷体"/>
          <w:b/>
          <w:bCs/>
          <w:kern w:val="0"/>
          <w:sz w:val="32"/>
          <w:szCs w:val="32"/>
        </w:rPr>
      </w:pPr>
      <w:r>
        <w:rPr>
          <w:rFonts w:hint="eastAsia" w:ascii="楷体" w:hAnsi="楷体" w:eastAsia="楷体" w:cs="宋体"/>
          <w:b/>
          <w:bCs/>
          <w:kern w:val="0"/>
          <w:sz w:val="32"/>
          <w:szCs w:val="32"/>
        </w:rPr>
        <w:t>人员编制和领导职数</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人员编制24名，其中领导职数5个。</w:t>
      </w:r>
    </w:p>
    <w:p>
      <w:pPr>
        <w:jc w:val="center"/>
        <w:rPr>
          <w:rFonts w:ascii="宋体" w:hAnsi="宋体"/>
          <w:b/>
          <w:sz w:val="44"/>
          <w:szCs w:val="44"/>
        </w:rPr>
      </w:pPr>
      <w:r>
        <w:rPr>
          <w:rFonts w:hint="eastAsia" w:ascii="宋体" w:hAnsi="宋体"/>
          <w:b/>
          <w:sz w:val="44"/>
          <w:szCs w:val="44"/>
        </w:rPr>
        <w:t>民政局科室职责及责任人</w:t>
      </w:r>
    </w:p>
    <w:p>
      <w:pPr>
        <w:spacing w:line="400" w:lineRule="exact"/>
        <w:jc w:val="center"/>
        <w:rPr>
          <w:rFonts w:ascii="黑体" w:hAnsi="Times New Roman" w:eastAsia="黑体"/>
          <w:sz w:val="44"/>
          <w:szCs w:val="44"/>
        </w:rPr>
      </w:pPr>
    </w:p>
    <w:tbl>
      <w:tblPr>
        <w:tblStyle w:val="5"/>
        <w:tblW w:w="12616"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88"/>
        <w:gridCol w:w="38"/>
        <w:gridCol w:w="104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2126" w:type="dxa"/>
            <w:gridSpan w:val="2"/>
            <w:tcBorders>
              <w:top w:val="single" w:color="auto" w:sz="12" w:space="0"/>
              <w:left w:val="single" w:color="auto" w:sz="12" w:space="0"/>
              <w:bottom w:val="single" w:color="auto" w:sz="6" w:space="0"/>
              <w:right w:val="single" w:color="auto" w:sz="6" w:space="0"/>
            </w:tcBorders>
            <w:vAlign w:val="center"/>
          </w:tcPr>
          <w:p>
            <w:pPr>
              <w:jc w:val="center"/>
              <w:rPr>
                <w:rFonts w:ascii="仿宋_GB2312" w:hAnsi="Times New Roman" w:eastAsia="仿宋_GB2312"/>
                <w:b/>
                <w:sz w:val="32"/>
                <w:szCs w:val="32"/>
              </w:rPr>
            </w:pPr>
            <w:r>
              <w:rPr>
                <w:rFonts w:hint="eastAsia" w:ascii="仿宋_GB2312" w:hAnsi="Times New Roman" w:eastAsia="仿宋_GB2312"/>
                <w:b/>
                <w:sz w:val="32"/>
                <w:szCs w:val="32"/>
              </w:rPr>
              <w:t>科  室</w:t>
            </w:r>
          </w:p>
        </w:tc>
        <w:tc>
          <w:tcPr>
            <w:tcW w:w="10490" w:type="dxa"/>
            <w:tcBorders>
              <w:top w:val="single" w:color="auto" w:sz="12" w:space="0"/>
              <w:left w:val="single" w:color="auto" w:sz="6" w:space="0"/>
              <w:bottom w:val="single" w:color="auto" w:sz="6" w:space="0"/>
              <w:right w:val="single" w:color="auto" w:sz="6" w:space="0"/>
            </w:tcBorders>
            <w:vAlign w:val="center"/>
          </w:tcPr>
          <w:p>
            <w:pPr>
              <w:jc w:val="center"/>
              <w:rPr>
                <w:rFonts w:ascii="仿宋_GB2312" w:hAnsi="Times New Roman" w:eastAsia="仿宋_GB2312"/>
                <w:b/>
                <w:sz w:val="32"/>
                <w:szCs w:val="32"/>
              </w:rPr>
            </w:pPr>
            <w:r>
              <w:rPr>
                <w:rFonts w:hint="eastAsia" w:ascii="仿宋_GB2312" w:hAnsi="Times New Roman" w:eastAsia="仿宋_GB2312"/>
                <w:b/>
                <w:sz w:val="32"/>
                <w:szCs w:val="32"/>
              </w:rPr>
              <w:t>主 要 业 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2126" w:type="dxa"/>
            <w:gridSpan w:val="2"/>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仿宋_GB2312" w:hAnsi="Times New Roman" w:eastAsia="仿宋_GB2312"/>
                <w:sz w:val="28"/>
                <w:szCs w:val="28"/>
              </w:rPr>
            </w:pPr>
            <w:r>
              <w:rPr>
                <w:rFonts w:hint="eastAsia" w:ascii="仿宋_GB2312" w:hAnsi="Times New Roman" w:eastAsia="仿宋_GB2312"/>
                <w:sz w:val="28"/>
                <w:szCs w:val="28"/>
              </w:rPr>
              <w:t>城乡低保中心</w:t>
            </w:r>
          </w:p>
        </w:tc>
        <w:tc>
          <w:tcPr>
            <w:tcW w:w="10490" w:type="dxa"/>
            <w:tcBorders>
              <w:top w:val="single" w:color="auto" w:sz="6" w:space="0"/>
              <w:left w:val="single" w:color="auto" w:sz="6" w:space="0"/>
              <w:bottom w:val="single" w:color="auto" w:sz="6" w:space="0"/>
              <w:right w:val="single" w:color="auto" w:sz="6" w:space="0"/>
            </w:tcBorders>
            <w:vAlign w:val="center"/>
          </w:tcPr>
          <w:p>
            <w:pPr>
              <w:ind w:firstLine="480" w:firstLineChars="200"/>
              <w:rPr>
                <w:rFonts w:ascii="仿宋_GB2312" w:hAnsi="Times New Roman" w:eastAsia="仿宋_GB2312"/>
                <w:sz w:val="32"/>
                <w:szCs w:val="32"/>
              </w:rPr>
            </w:pPr>
            <w:r>
              <w:rPr>
                <w:rFonts w:hint="eastAsia" w:ascii="仿宋_GB2312" w:hAnsi="Times New Roman" w:eastAsia="仿宋_GB2312"/>
                <w:sz w:val="24"/>
              </w:rPr>
              <w:t>全面贯彻落实城乡居民最低生活保障政策，具体承办全县城乡低保对象审查、低保资金发放等工作。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126" w:type="dxa"/>
            <w:gridSpan w:val="2"/>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仿宋_GB2312" w:hAnsi="Times New Roman" w:eastAsia="仿宋_GB2312"/>
                <w:sz w:val="28"/>
                <w:szCs w:val="28"/>
              </w:rPr>
            </w:pPr>
            <w:r>
              <w:rPr>
                <w:rFonts w:hint="eastAsia" w:ascii="仿宋_GB2312" w:hAnsi="Times New Roman" w:eastAsia="仿宋_GB2312"/>
                <w:sz w:val="28"/>
                <w:szCs w:val="28"/>
              </w:rPr>
              <w:t>民政事业</w:t>
            </w:r>
          </w:p>
          <w:p>
            <w:pPr>
              <w:spacing w:line="400" w:lineRule="exact"/>
              <w:jc w:val="center"/>
              <w:rPr>
                <w:rFonts w:ascii="仿宋_GB2312" w:hAnsi="Times New Roman" w:eastAsia="仿宋_GB2312"/>
                <w:sz w:val="28"/>
                <w:szCs w:val="28"/>
              </w:rPr>
            </w:pPr>
            <w:r>
              <w:rPr>
                <w:rFonts w:hint="eastAsia" w:ascii="仿宋_GB2312" w:hAnsi="Times New Roman" w:eastAsia="仿宋_GB2312"/>
                <w:sz w:val="28"/>
                <w:szCs w:val="28"/>
              </w:rPr>
              <w:t>服务中心</w:t>
            </w:r>
          </w:p>
        </w:tc>
        <w:tc>
          <w:tcPr>
            <w:tcW w:w="10490" w:type="dxa"/>
            <w:tcBorders>
              <w:top w:val="single" w:color="auto" w:sz="6" w:space="0"/>
              <w:left w:val="single" w:color="auto" w:sz="6" w:space="0"/>
              <w:bottom w:val="single" w:color="auto" w:sz="6" w:space="0"/>
              <w:right w:val="single" w:color="auto" w:sz="6" w:space="0"/>
            </w:tcBorders>
            <w:vAlign w:val="center"/>
          </w:tcPr>
          <w:p>
            <w:pPr>
              <w:ind w:firstLine="480" w:firstLineChars="200"/>
              <w:rPr>
                <w:rFonts w:ascii="仿宋_GB2312" w:hAnsi="Times New Roman" w:eastAsia="仿宋_GB2312"/>
                <w:sz w:val="32"/>
                <w:szCs w:val="32"/>
              </w:rPr>
            </w:pPr>
            <w:r>
              <w:rPr>
                <w:rFonts w:hint="eastAsia" w:ascii="仿宋_GB2312" w:hAnsi="Times New Roman" w:eastAsia="仿宋_GB2312"/>
                <w:sz w:val="24"/>
              </w:rPr>
              <w:t>坚持全心全意为孤寡老人服务，以养为主、科学办院的方针；为入院老人搞好优质服务；做到全县孤寡老人：老有所医、老有所养、老有所学、老有所乐。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126" w:type="dxa"/>
            <w:gridSpan w:val="2"/>
            <w:tcBorders>
              <w:top w:val="single" w:color="auto" w:sz="6" w:space="0"/>
              <w:left w:val="single" w:color="auto" w:sz="12" w:space="0"/>
              <w:bottom w:val="single" w:color="auto" w:sz="12" w:space="0"/>
              <w:right w:val="single" w:color="auto" w:sz="6" w:space="0"/>
            </w:tcBorders>
            <w:vAlign w:val="center"/>
          </w:tcPr>
          <w:p>
            <w:pPr>
              <w:spacing w:line="500" w:lineRule="exact"/>
              <w:jc w:val="center"/>
              <w:rPr>
                <w:rFonts w:ascii="仿宋_GB2312" w:hAnsi="Times New Roman" w:eastAsia="仿宋_GB2312"/>
                <w:sz w:val="28"/>
                <w:szCs w:val="28"/>
              </w:rPr>
            </w:pPr>
            <w:r>
              <w:rPr>
                <w:rFonts w:hint="eastAsia" w:ascii="仿宋_GB2312" w:hAnsi="Times New Roman" w:eastAsia="仿宋_GB2312"/>
                <w:sz w:val="28"/>
                <w:szCs w:val="28"/>
              </w:rPr>
              <w:t>福利生产处</w:t>
            </w:r>
          </w:p>
        </w:tc>
        <w:tc>
          <w:tcPr>
            <w:tcW w:w="10490" w:type="dxa"/>
            <w:tcBorders>
              <w:top w:val="single" w:color="auto" w:sz="6" w:space="0"/>
              <w:left w:val="single" w:color="auto" w:sz="6" w:space="0"/>
              <w:bottom w:val="single" w:color="auto" w:sz="12" w:space="0"/>
              <w:right w:val="single" w:color="auto" w:sz="6" w:space="0"/>
            </w:tcBorders>
            <w:vAlign w:val="center"/>
          </w:tcPr>
          <w:p>
            <w:pPr>
              <w:ind w:firstLine="480" w:firstLineChars="200"/>
              <w:rPr>
                <w:rFonts w:ascii="仿宋_GB2312" w:hAnsi="Times New Roman" w:eastAsia="仿宋_GB2312"/>
                <w:sz w:val="24"/>
                <w:szCs w:val="24"/>
              </w:rPr>
            </w:pPr>
            <w:r>
              <w:rPr>
                <w:rFonts w:hint="eastAsia" w:ascii="仿宋_GB2312" w:hAnsi="Times New Roman" w:eastAsia="仿宋_GB2312"/>
                <w:sz w:val="24"/>
              </w:rPr>
              <w:t>负责福利企业资格初审认定；福利企业年检、经营范围变更审查；福利企业监督管理。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12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社会事务股</w:t>
            </w:r>
          </w:p>
        </w:tc>
        <w:tc>
          <w:tcPr>
            <w:tcW w:w="10490" w:type="dxa"/>
            <w:tcBorders>
              <w:top w:val="single" w:color="auto" w:sz="6" w:space="0"/>
              <w:left w:val="single" w:color="auto" w:sz="6" w:space="0"/>
              <w:bottom w:val="single" w:color="auto" w:sz="6" w:space="0"/>
              <w:right w:val="single" w:color="auto" w:sz="6" w:space="0"/>
            </w:tcBorders>
            <w:vAlign w:val="center"/>
          </w:tcPr>
          <w:p>
            <w:pPr>
              <w:spacing w:line="260" w:lineRule="exact"/>
              <w:ind w:firstLine="480" w:firstLineChars="200"/>
              <w:rPr>
                <w:rFonts w:ascii="仿宋_GB2312" w:hAnsi="Times New Roman" w:eastAsia="仿宋_GB2312"/>
                <w:sz w:val="24"/>
                <w:szCs w:val="24"/>
              </w:rPr>
            </w:pPr>
            <w:r>
              <w:rPr>
                <w:rFonts w:hint="eastAsia" w:ascii="仿宋_GB2312" w:hAnsi="Times New Roman" w:eastAsia="仿宋_GB2312"/>
                <w:sz w:val="24"/>
              </w:rPr>
              <w:t>负责指导全县城乡基层政权建设工作，指导和监督全县村民委员会换届选举工作；负责宣传贯彻实施国家的殡葬管理法规、政策，推动我县殡葬改革的发展；负责全县孤儿生活保障工作；负责全县农村互助幸福院建设工作；负责县城界线勘察、维护等工作；负责全县的收养登记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9" w:hRule="atLeast"/>
        </w:trPr>
        <w:tc>
          <w:tcPr>
            <w:tcW w:w="212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仿宋_GB2312" w:hAnsi="Times New Roman" w:eastAsia="仿宋_GB2312"/>
                <w:sz w:val="28"/>
                <w:szCs w:val="28"/>
              </w:rPr>
            </w:pPr>
            <w:r>
              <w:rPr>
                <w:rFonts w:hint="eastAsia" w:ascii="仿宋_GB2312" w:hAnsi="Times New Roman" w:eastAsia="仿宋_GB2312"/>
                <w:spacing w:val="-18"/>
                <w:sz w:val="28"/>
                <w:szCs w:val="28"/>
              </w:rPr>
              <w:t>社会团体管理中心</w:t>
            </w:r>
          </w:p>
        </w:tc>
        <w:tc>
          <w:tcPr>
            <w:tcW w:w="10490" w:type="dxa"/>
            <w:tcBorders>
              <w:top w:val="single" w:color="auto" w:sz="6" w:space="0"/>
              <w:left w:val="single" w:color="auto" w:sz="6" w:space="0"/>
              <w:bottom w:val="single" w:color="auto" w:sz="6" w:space="0"/>
              <w:right w:val="single" w:color="auto" w:sz="6" w:space="0"/>
            </w:tcBorders>
            <w:vAlign w:val="center"/>
          </w:tcPr>
          <w:p>
            <w:pPr>
              <w:spacing w:line="300" w:lineRule="exact"/>
              <w:ind w:firstLine="480" w:firstLineChars="200"/>
              <w:rPr>
                <w:rFonts w:ascii="仿宋_GB2312" w:hAnsi="Times New Roman" w:eastAsia="仿宋_GB2312"/>
                <w:sz w:val="24"/>
                <w:szCs w:val="24"/>
              </w:rPr>
            </w:pPr>
            <w:r>
              <w:rPr>
                <w:rFonts w:hint="eastAsia" w:ascii="仿宋_GB2312" w:hAnsi="Times New Roman" w:eastAsia="仿宋_GB2312"/>
                <w:sz w:val="24"/>
              </w:rPr>
              <w:t>负责全县民间组织的审批、登记管理及对民间组织违法行为的查处和行政复议工作；负责民间组织的年检、注销、合并、审核工作。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12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福彩中心</w:t>
            </w:r>
          </w:p>
        </w:tc>
        <w:tc>
          <w:tcPr>
            <w:tcW w:w="10490" w:type="dxa"/>
            <w:tcBorders>
              <w:top w:val="single" w:color="auto" w:sz="6" w:space="0"/>
              <w:left w:val="single" w:color="auto" w:sz="6" w:space="0"/>
              <w:bottom w:val="single" w:color="auto" w:sz="6" w:space="0"/>
              <w:right w:val="single" w:color="auto" w:sz="6" w:space="0"/>
            </w:tcBorders>
            <w:vAlign w:val="center"/>
          </w:tcPr>
          <w:p>
            <w:pPr>
              <w:spacing w:line="300" w:lineRule="exact"/>
              <w:ind w:firstLine="472" w:firstLineChars="200"/>
              <w:rPr>
                <w:rFonts w:ascii="仿宋_GB2312" w:hAnsi="Times New Roman" w:eastAsia="仿宋_GB2312"/>
                <w:sz w:val="24"/>
                <w:szCs w:val="24"/>
              </w:rPr>
            </w:pPr>
            <w:r>
              <w:rPr>
                <w:rFonts w:hint="eastAsia" w:ascii="仿宋_GB2312" w:hAnsi="Times New Roman" w:eastAsia="仿宋_GB2312"/>
                <w:spacing w:val="-2"/>
                <w:sz w:val="24"/>
              </w:rPr>
              <w:t>负责本县福利彩票销售及日常管理工作；使用福利公益金开展“福彩助学”救助贫困大学生工作；完成市福彩中心交办相关业务事项。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2088"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仿宋_GB2312" w:hAnsi="Times New Roman" w:eastAsia="仿宋_GB2312"/>
                <w:sz w:val="28"/>
                <w:szCs w:val="28"/>
              </w:rPr>
            </w:pPr>
            <w:r>
              <w:rPr>
                <w:rFonts w:hint="eastAsia" w:ascii="仿宋_GB2312" w:hAnsi="Times New Roman" w:eastAsia="仿宋_GB2312"/>
                <w:sz w:val="28"/>
                <w:szCs w:val="28"/>
              </w:rPr>
              <w:t>殡葬改革</w:t>
            </w:r>
          </w:p>
          <w:p>
            <w:pPr>
              <w:spacing w:line="400" w:lineRule="exact"/>
              <w:jc w:val="center"/>
              <w:rPr>
                <w:rFonts w:ascii="仿宋_GB2312" w:hAnsi="Times New Roman" w:eastAsia="仿宋_GB2312"/>
                <w:sz w:val="28"/>
                <w:szCs w:val="28"/>
              </w:rPr>
            </w:pPr>
            <w:r>
              <w:rPr>
                <w:rFonts w:hint="eastAsia" w:ascii="仿宋_GB2312" w:hAnsi="Times New Roman" w:eastAsia="仿宋_GB2312"/>
                <w:sz w:val="28"/>
                <w:szCs w:val="28"/>
              </w:rPr>
              <w:t>执法队</w:t>
            </w:r>
          </w:p>
        </w:tc>
        <w:tc>
          <w:tcPr>
            <w:tcW w:w="10528"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ind w:firstLine="480" w:firstLineChars="200"/>
              <w:rPr>
                <w:rFonts w:ascii="仿宋_GB2312" w:hAnsi="Times New Roman" w:eastAsia="仿宋_GB2312"/>
                <w:sz w:val="24"/>
                <w:szCs w:val="24"/>
              </w:rPr>
            </w:pPr>
            <w:r>
              <w:rPr>
                <w:rFonts w:hint="eastAsia" w:ascii="仿宋_GB2312" w:hAnsi="ˎ̥" w:eastAsia="仿宋_GB2312"/>
                <w:sz w:val="24"/>
              </w:rPr>
              <w:t>积极宣传贯彻落实殡葬改革政策，做好殡葬行政执法；革除陈旧丧葬陋俗，反对封建迷信，树立文明办丧事新风；实施殡葬改革，规范民众丧葬行为，对乱埋乱葬墓地依法实施整治和查处；依法查处丧葬活动中违规案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2088" w:type="dxa"/>
            <w:tcBorders>
              <w:top w:val="single" w:color="auto" w:sz="6" w:space="0"/>
              <w:left w:val="single" w:color="auto" w:sz="12" w:space="0"/>
              <w:bottom w:val="single" w:color="auto" w:sz="6" w:space="0"/>
              <w:right w:val="single" w:color="auto" w:sz="6" w:space="0"/>
            </w:tcBorders>
            <w:vAlign w:val="center"/>
          </w:tcPr>
          <w:p>
            <w:pPr>
              <w:jc w:val="center"/>
              <w:rPr>
                <w:rFonts w:ascii="仿宋_GB2312" w:hAnsi="Times New Roman" w:eastAsia="仿宋_GB2312"/>
                <w:spacing w:val="-18"/>
                <w:sz w:val="28"/>
                <w:szCs w:val="28"/>
              </w:rPr>
            </w:pPr>
            <w:r>
              <w:rPr>
                <w:rFonts w:hint="eastAsia" w:ascii="仿宋_GB2312" w:hAnsi="Times New Roman" w:eastAsia="仿宋_GB2312"/>
                <w:spacing w:val="30"/>
                <w:sz w:val="28"/>
                <w:szCs w:val="28"/>
              </w:rPr>
              <w:t>火化厂</w:t>
            </w:r>
          </w:p>
        </w:tc>
        <w:tc>
          <w:tcPr>
            <w:tcW w:w="1052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firstLine="464" w:firstLineChars="200"/>
              <w:rPr>
                <w:rFonts w:ascii="仿宋_GB2312" w:hAnsi="Times New Roman" w:eastAsia="仿宋_GB2312"/>
                <w:sz w:val="24"/>
                <w:szCs w:val="24"/>
              </w:rPr>
            </w:pPr>
            <w:r>
              <w:rPr>
                <w:rFonts w:hint="eastAsia" w:ascii="仿宋_GB2312" w:hAnsi="ˎ̥" w:eastAsia="仿宋_GB2312"/>
                <w:spacing w:val="-4"/>
                <w:sz w:val="24"/>
              </w:rPr>
              <w:t>提供殡仪馆服务，接运遗体，冷藏遗体，开展遗体告别活动，对遗体进行火化，出具火化证件和手续服务，使丧属悲痛而来，满意而归。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2088" w:type="dxa"/>
            <w:tcBorders>
              <w:top w:val="single" w:color="auto" w:sz="6" w:space="0"/>
              <w:left w:val="single" w:color="auto" w:sz="12" w:space="0"/>
              <w:bottom w:val="single" w:color="auto" w:sz="6" w:space="0"/>
              <w:right w:val="single" w:color="auto" w:sz="6" w:space="0"/>
            </w:tcBorders>
            <w:vAlign w:val="center"/>
          </w:tcPr>
          <w:p>
            <w:pPr>
              <w:jc w:val="center"/>
              <w:rPr>
                <w:rFonts w:ascii="仿宋_GB2312" w:hAnsi="Times New Roman" w:eastAsia="仿宋_GB2312"/>
                <w:sz w:val="28"/>
                <w:szCs w:val="28"/>
              </w:rPr>
            </w:pPr>
            <w:r>
              <w:rPr>
                <w:rFonts w:hint="eastAsia" w:ascii="仿宋_GB2312" w:hAnsi="Times New Roman" w:eastAsia="仿宋_GB2312"/>
                <w:spacing w:val="30"/>
                <w:sz w:val="28"/>
                <w:szCs w:val="28"/>
              </w:rPr>
              <w:t>地名办</w:t>
            </w:r>
          </w:p>
        </w:tc>
        <w:tc>
          <w:tcPr>
            <w:tcW w:w="1052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firstLine="480" w:firstLineChars="200"/>
              <w:rPr>
                <w:rFonts w:ascii="仿宋_GB2312" w:hAnsi="Times New Roman" w:eastAsia="仿宋_GB2312"/>
                <w:spacing w:val="-2"/>
                <w:sz w:val="24"/>
                <w:szCs w:val="24"/>
              </w:rPr>
            </w:pPr>
            <w:r>
              <w:rPr>
                <w:rFonts w:hint="eastAsia" w:ascii="仿宋_GB2312" w:hAnsi="Times New Roman" w:eastAsia="仿宋_GB2312"/>
                <w:sz w:val="24"/>
              </w:rPr>
              <w:t>负责全县地名管理工作，承办全县城区街道命名，村地名的命名、变更的申请和审核工作，收集整理、更新地名资料。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2088" w:type="dxa"/>
            <w:tcBorders>
              <w:top w:val="single" w:color="auto" w:sz="6" w:space="0"/>
              <w:left w:val="single" w:color="auto" w:sz="12" w:space="0"/>
              <w:bottom w:val="single" w:color="auto" w:sz="6" w:space="0"/>
              <w:right w:val="single" w:color="auto" w:sz="6" w:space="0"/>
            </w:tcBorders>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婚姻登记处</w:t>
            </w:r>
          </w:p>
        </w:tc>
        <w:tc>
          <w:tcPr>
            <w:tcW w:w="1052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firstLine="480" w:firstLineChars="200"/>
              <w:rPr>
                <w:rFonts w:hint="eastAsia" w:ascii="仿宋_GB2312" w:hAnsi="ˎ̥" w:eastAsia="仿宋_GB2312"/>
                <w:sz w:val="24"/>
                <w:szCs w:val="24"/>
              </w:rPr>
            </w:pPr>
            <w:r>
              <w:rPr>
                <w:rFonts w:hint="eastAsia" w:ascii="仿宋_GB2312" w:hAnsi="Times New Roman" w:eastAsia="仿宋_GB2312"/>
                <w:sz w:val="24"/>
              </w:rPr>
              <w:t>负责办理婚姻登记；补发婚姻证件；出具婚姻登记记录证明；撤销胁迫的婚姻；宣传婚姻法律法规，倡导文明婚俗。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2088" w:type="dxa"/>
            <w:tcBorders>
              <w:top w:val="single" w:color="auto" w:sz="6" w:space="0"/>
              <w:left w:val="single" w:color="auto" w:sz="12" w:space="0"/>
              <w:bottom w:val="single" w:color="auto" w:sz="12" w:space="0"/>
              <w:right w:val="single" w:color="auto" w:sz="6" w:space="0"/>
            </w:tcBorders>
            <w:vAlign w:val="center"/>
          </w:tcPr>
          <w:p>
            <w:pPr>
              <w:jc w:val="center"/>
              <w:rPr>
                <w:rFonts w:ascii="仿宋_GB2312" w:hAnsi="Times New Roman" w:eastAsia="仿宋_GB2312"/>
                <w:sz w:val="28"/>
                <w:szCs w:val="28"/>
              </w:rPr>
            </w:pPr>
            <w:r>
              <w:rPr>
                <w:rFonts w:hint="eastAsia" w:ascii="仿宋_GB2312" w:hAnsi="Times New Roman" w:eastAsia="仿宋_GB2312"/>
                <w:spacing w:val="30"/>
                <w:sz w:val="28"/>
                <w:szCs w:val="28"/>
              </w:rPr>
              <w:t>养老处</w:t>
            </w:r>
          </w:p>
        </w:tc>
        <w:tc>
          <w:tcPr>
            <w:tcW w:w="10528" w:type="dxa"/>
            <w:gridSpan w:val="2"/>
            <w:tcBorders>
              <w:top w:val="single" w:color="auto" w:sz="6" w:space="0"/>
              <w:left w:val="single" w:color="auto" w:sz="6" w:space="0"/>
              <w:bottom w:val="single" w:color="auto" w:sz="12" w:space="0"/>
              <w:right w:val="single" w:color="auto" w:sz="6" w:space="0"/>
            </w:tcBorders>
            <w:vAlign w:val="center"/>
          </w:tcPr>
          <w:p>
            <w:pPr>
              <w:spacing w:line="300" w:lineRule="exact"/>
              <w:ind w:firstLine="480" w:firstLineChars="200"/>
              <w:rPr>
                <w:rFonts w:hint="eastAsia" w:ascii="仿宋_GB2312" w:hAnsi="ˎ̥" w:eastAsia="仿宋_GB2312"/>
                <w:spacing w:val="-4"/>
                <w:sz w:val="24"/>
                <w:szCs w:val="24"/>
              </w:rPr>
            </w:pPr>
            <w:r>
              <w:rPr>
                <w:rFonts w:hint="eastAsia" w:ascii="仿宋_GB2312" w:hAnsi="Times New Roman" w:eastAsia="仿宋_GB2312"/>
                <w:sz w:val="24"/>
              </w:rPr>
              <w:t>主要负责全县老年人优惠政策的落实，经济困难高龄、失能半失能服务补贴发放和80岁以上老年人高龄津贴发放工作。</w:t>
            </w:r>
          </w:p>
        </w:tc>
      </w:tr>
    </w:tbl>
    <w:p>
      <w:pPr>
        <w:widowControl/>
        <w:spacing w:line="360" w:lineRule="auto"/>
        <w:jc w:val="left"/>
        <w:rPr>
          <w:rFonts w:ascii="仿宋" w:hAnsi="仿宋" w:eastAsia="仿宋" w:cs="方正仿宋_GBK"/>
          <w:sz w:val="32"/>
          <w:szCs w:val="32"/>
        </w:rPr>
      </w:pPr>
    </w:p>
    <w:p>
      <w:pPr>
        <w:autoSpaceDE w:val="0"/>
        <w:autoSpaceDN w:val="0"/>
        <w:adjustRightInd w:val="0"/>
        <w:ind w:firstLine="643" w:firstLineChars="200"/>
        <w:jc w:val="left"/>
        <w:rPr>
          <w:rFonts w:ascii="方正仿宋_GBK" w:hAnsi="Times New Roman" w:eastAsia="方正仿宋_GBK" w:cs="Times New Roman"/>
          <w:b/>
          <w:bCs/>
          <w:sz w:val="32"/>
          <w:szCs w:val="32"/>
        </w:rPr>
      </w:pPr>
      <w:r>
        <w:rPr>
          <w:rFonts w:hint="eastAsia" w:ascii="方正仿宋_GBK" w:hAnsi="Times New Roman" w:eastAsia="方正仿宋_GBK" w:cs="方正仿宋_GBK"/>
          <w:b/>
          <w:bCs/>
          <w:sz w:val="32"/>
          <w:szCs w:val="32"/>
        </w:rPr>
        <w:t>机构设置：</w:t>
      </w:r>
    </w:p>
    <w:p>
      <w:pPr>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4"/>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left"/>
              <w:outlineLvl w:val="0"/>
              <w:rPr>
                <w:rFonts w:ascii="Times New Roman" w:hAnsi="Times New Roman" w:eastAsia="宋体" w:cs="Times New Roman"/>
              </w:rPr>
            </w:pPr>
          </w:p>
        </w:tc>
        <w:tc>
          <w:tcPr>
            <w:tcW w:w="1134" w:type="dxa"/>
            <w:vMerge w:val="continue"/>
            <w:vAlign w:val="center"/>
          </w:tcPr>
          <w:p>
            <w:pPr>
              <w:spacing w:line="300" w:lineRule="exact"/>
              <w:jc w:val="left"/>
              <w:outlineLvl w:val="0"/>
              <w:rPr>
                <w:rFonts w:ascii="Times New Roman" w:hAnsi="Times New Roman" w:eastAsia="宋体" w:cs="Times New Roman"/>
              </w:rPr>
            </w:pPr>
          </w:p>
        </w:tc>
        <w:tc>
          <w:tcPr>
            <w:tcW w:w="1276" w:type="dxa"/>
            <w:vMerge w:val="continue"/>
            <w:vAlign w:val="center"/>
          </w:tcPr>
          <w:p>
            <w:pPr>
              <w:spacing w:line="300" w:lineRule="exact"/>
              <w:jc w:val="left"/>
              <w:outlineLvl w:val="0"/>
              <w:rPr>
                <w:rFonts w:ascii="Times New Roman" w:hAnsi="Times New Roman" w:eastAsia="宋体" w:cs="Times New Roman"/>
              </w:rPr>
            </w:pPr>
          </w:p>
        </w:tc>
        <w:tc>
          <w:tcPr>
            <w:tcW w:w="2902" w:type="dxa"/>
            <w:vMerge w:val="continue"/>
            <w:vAlign w:val="center"/>
          </w:tcPr>
          <w:p>
            <w:pPr>
              <w:spacing w:line="300" w:lineRule="exact"/>
              <w:jc w:val="left"/>
              <w:outlineLvl w:val="0"/>
              <w:rPr>
                <w:rFonts w:ascii="Times New Roman" w:hAnsi="Times New Roman"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317" w:type="dxa"/>
            <w:vAlign w:val="center"/>
          </w:tcPr>
          <w:p>
            <w:pPr>
              <w:spacing w:line="300" w:lineRule="exact"/>
              <w:jc w:val="left"/>
              <w:rPr>
                <w:rFonts w:hint="eastAsia" w:ascii="Times New Roman" w:hAnsi="Times New Roman" w:eastAsia="方正书宋_GBK" w:cs="Times New Roman"/>
                <w:sz w:val="18"/>
                <w:szCs w:val="18"/>
                <w:lang w:eastAsia="zh-CN"/>
              </w:rPr>
            </w:pPr>
            <w:r>
              <w:rPr>
                <w:rFonts w:hint="eastAsia" w:ascii="Times New Roman" w:hAnsi="Times New Roman" w:eastAsia="方正书宋_GBK" w:cs="Times New Roman"/>
                <w:sz w:val="18"/>
                <w:szCs w:val="18"/>
                <w:lang w:eastAsia="zh-CN"/>
              </w:rPr>
              <w:t>成安县民政局</w:t>
            </w:r>
          </w:p>
        </w:tc>
        <w:tc>
          <w:tcPr>
            <w:tcW w:w="1134" w:type="dxa"/>
            <w:vAlign w:val="center"/>
          </w:tcPr>
          <w:p>
            <w:pPr>
              <w:spacing w:line="300" w:lineRule="exact"/>
              <w:jc w:val="left"/>
              <w:rPr>
                <w:rFonts w:ascii="Times New Roman" w:hAnsi="Times New Roman" w:eastAsia="方正书宋_GBK" w:cs="Times New Roman"/>
                <w:sz w:val="18"/>
                <w:szCs w:val="18"/>
              </w:rPr>
            </w:pPr>
            <w:r>
              <w:rPr>
                <w:rFonts w:hint="eastAsia" w:ascii="Times New Roman" w:hAnsi="Times New Roman" w:eastAsia="方正书宋_GBK" w:cs="Times New Roman"/>
                <w:sz w:val="18"/>
                <w:szCs w:val="18"/>
              </w:rPr>
              <w:t>行政</w:t>
            </w:r>
          </w:p>
        </w:tc>
        <w:tc>
          <w:tcPr>
            <w:tcW w:w="1276" w:type="dxa"/>
            <w:vAlign w:val="center"/>
          </w:tcPr>
          <w:p>
            <w:pPr>
              <w:spacing w:line="300" w:lineRule="exact"/>
              <w:jc w:val="left"/>
              <w:rPr>
                <w:rFonts w:hint="eastAsia" w:ascii="Times New Roman" w:hAnsi="Times New Roman" w:eastAsia="方正书宋_GBK" w:cs="Times New Roman"/>
                <w:sz w:val="18"/>
                <w:szCs w:val="18"/>
                <w:lang w:val="en-US" w:eastAsia="zh-CN"/>
              </w:rPr>
            </w:pPr>
            <w:r>
              <w:rPr>
                <w:rFonts w:hint="eastAsia" w:ascii="Times New Roman" w:hAnsi="Times New Roman" w:eastAsia="方正书宋_GBK" w:cs="Times New Roman"/>
                <w:sz w:val="18"/>
                <w:szCs w:val="18"/>
                <w:lang w:val="en-US" w:eastAsia="zh-CN"/>
              </w:rPr>
              <w:t>科级</w:t>
            </w:r>
          </w:p>
        </w:tc>
        <w:tc>
          <w:tcPr>
            <w:tcW w:w="2902" w:type="dxa"/>
            <w:vAlign w:val="center"/>
          </w:tcPr>
          <w:p>
            <w:pPr>
              <w:spacing w:line="300" w:lineRule="exact"/>
              <w:jc w:val="left"/>
              <w:rPr>
                <w:rFonts w:ascii="Times New Roman" w:hAnsi="Times New Roman" w:eastAsia="方正书宋_GBK" w:cs="Times New Roman"/>
                <w:sz w:val="18"/>
                <w:szCs w:val="18"/>
              </w:rPr>
            </w:pPr>
            <w:r>
              <w:rPr>
                <w:rFonts w:hint="eastAsia" w:ascii="Times New Roman" w:hAnsi="Times New Roman" w:eastAsia="方正书宋_GBK" w:cs="Times New Roman"/>
                <w:sz w:val="18"/>
                <w:szCs w:val="1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317" w:type="dxa"/>
            <w:vAlign w:val="center"/>
          </w:tcPr>
          <w:p>
            <w:pPr>
              <w:spacing w:line="300" w:lineRule="exact"/>
              <w:jc w:val="left"/>
              <w:rPr>
                <w:rFonts w:ascii="Times New Roman" w:hAnsi="Times New Roman" w:eastAsia="方正书宋_GBK" w:cs="Times New Roman"/>
                <w:sz w:val="18"/>
                <w:szCs w:val="18"/>
              </w:rPr>
            </w:pPr>
          </w:p>
        </w:tc>
        <w:tc>
          <w:tcPr>
            <w:tcW w:w="1134" w:type="dxa"/>
            <w:vAlign w:val="center"/>
          </w:tcPr>
          <w:p>
            <w:pPr>
              <w:spacing w:line="300" w:lineRule="exact"/>
              <w:jc w:val="left"/>
              <w:rPr>
                <w:rFonts w:ascii="Times New Roman" w:hAnsi="Times New Roman" w:eastAsia="方正书宋_GBK" w:cs="Times New Roman"/>
                <w:sz w:val="18"/>
                <w:szCs w:val="18"/>
              </w:rPr>
            </w:pPr>
          </w:p>
        </w:tc>
        <w:tc>
          <w:tcPr>
            <w:tcW w:w="1276" w:type="dxa"/>
            <w:vAlign w:val="center"/>
          </w:tcPr>
          <w:p>
            <w:pPr>
              <w:spacing w:line="300" w:lineRule="exact"/>
              <w:jc w:val="left"/>
              <w:rPr>
                <w:rFonts w:ascii="Times New Roman" w:hAnsi="Times New Roman" w:eastAsia="方正书宋_GBK" w:cs="Times New Roman"/>
                <w:sz w:val="18"/>
                <w:szCs w:val="18"/>
              </w:rPr>
            </w:pPr>
          </w:p>
        </w:tc>
        <w:tc>
          <w:tcPr>
            <w:tcW w:w="2902" w:type="dxa"/>
            <w:vAlign w:val="center"/>
          </w:tcPr>
          <w:p>
            <w:pPr>
              <w:spacing w:line="300" w:lineRule="exact"/>
              <w:jc w:val="left"/>
              <w:rPr>
                <w:rFonts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317" w:type="dxa"/>
            <w:vAlign w:val="center"/>
          </w:tcPr>
          <w:p>
            <w:pPr>
              <w:spacing w:line="300" w:lineRule="exact"/>
              <w:jc w:val="left"/>
              <w:rPr>
                <w:rFonts w:ascii="Times New Roman" w:hAnsi="Times New Roman" w:eastAsia="方正书宋_GBK" w:cs="Times New Roman"/>
                <w:sz w:val="18"/>
                <w:szCs w:val="18"/>
              </w:rPr>
            </w:pPr>
          </w:p>
        </w:tc>
        <w:tc>
          <w:tcPr>
            <w:tcW w:w="1134" w:type="dxa"/>
            <w:vAlign w:val="center"/>
          </w:tcPr>
          <w:p>
            <w:pPr>
              <w:spacing w:line="300" w:lineRule="exact"/>
              <w:jc w:val="left"/>
              <w:rPr>
                <w:rFonts w:ascii="Times New Roman" w:hAnsi="Times New Roman" w:eastAsia="方正书宋_GBK" w:cs="Times New Roman"/>
                <w:sz w:val="18"/>
                <w:szCs w:val="18"/>
              </w:rPr>
            </w:pPr>
          </w:p>
        </w:tc>
        <w:tc>
          <w:tcPr>
            <w:tcW w:w="1276" w:type="dxa"/>
            <w:vAlign w:val="center"/>
          </w:tcPr>
          <w:p>
            <w:pPr>
              <w:spacing w:line="300" w:lineRule="exact"/>
              <w:jc w:val="left"/>
              <w:rPr>
                <w:rFonts w:ascii="Times New Roman" w:hAnsi="Times New Roman" w:eastAsia="方正书宋_GBK" w:cs="Times New Roman"/>
                <w:sz w:val="18"/>
                <w:szCs w:val="18"/>
              </w:rPr>
            </w:pPr>
          </w:p>
        </w:tc>
        <w:tc>
          <w:tcPr>
            <w:tcW w:w="2902" w:type="dxa"/>
            <w:vAlign w:val="center"/>
          </w:tcPr>
          <w:p>
            <w:pPr>
              <w:spacing w:line="300" w:lineRule="exact"/>
              <w:jc w:val="left"/>
              <w:rPr>
                <w:rFonts w:ascii="Times New Roman" w:hAnsi="Times New Roman" w:eastAsia="方正书宋_GBK" w:cs="Times New Roman"/>
                <w:sz w:val="18"/>
                <w:szCs w:val="18"/>
              </w:rPr>
            </w:pPr>
          </w:p>
        </w:tc>
      </w:tr>
    </w:tbl>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spacing w:line="560" w:lineRule="exact"/>
        <w:ind w:firstLine="640"/>
        <w:rPr>
          <w:rFonts w:ascii="仿宋" w:hAnsi="仿宋" w:eastAsia="仿宋" w:cs="Times New Roman"/>
          <w:sz w:val="32"/>
          <w:szCs w:val="32"/>
        </w:rPr>
      </w:pPr>
      <w:r>
        <w:rPr>
          <w:rFonts w:hint="eastAsia" w:ascii="仿宋" w:hAnsi="仿宋" w:eastAsia="仿宋" w:cs="方正仿宋_GBK"/>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cs="Times New Roman"/>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1</w:t>
      </w:r>
      <w:r>
        <w:rPr>
          <w:rFonts w:hint="eastAsia" w:ascii="楷体" w:hAnsi="楷体" w:eastAsia="楷体" w:cs="楷体"/>
          <w:b/>
          <w:bCs/>
          <w:color w:val="000000" w:themeColor="text1"/>
          <w:sz w:val="32"/>
          <w:szCs w:val="32"/>
          <w14:textFill>
            <w14:solidFill>
              <w14:schemeClr w14:val="tx1"/>
            </w14:solidFill>
          </w14:textFill>
        </w:rPr>
        <w:t>、收入说明</w:t>
      </w:r>
    </w:p>
    <w:p>
      <w:pPr>
        <w:spacing w:line="560" w:lineRule="exact"/>
        <w:ind w:firstLine="640"/>
        <w:rPr>
          <w:rFonts w:ascii="仿宋" w:hAnsi="仿宋" w:eastAsia="仿宋" w:cs="方正仿宋_GBK"/>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2021</w:t>
      </w:r>
      <w:r>
        <w:rPr>
          <w:rFonts w:hint="eastAsia" w:ascii="仿宋" w:hAnsi="仿宋" w:eastAsia="仿宋" w:cs="方正仿宋_GBK"/>
          <w:color w:val="000000" w:themeColor="text1"/>
          <w:sz w:val="32"/>
          <w:szCs w:val="32"/>
          <w14:textFill>
            <w14:solidFill>
              <w14:schemeClr w14:val="tx1"/>
            </w14:solidFill>
          </w14:textFill>
        </w:rPr>
        <w:t>年预算收入</w:t>
      </w:r>
      <w:r>
        <w:rPr>
          <w:rFonts w:ascii="仿宋" w:hAnsi="仿宋" w:eastAsia="仿宋" w:cs="方正仿宋_GBK"/>
          <w:color w:val="000000" w:themeColor="text1"/>
          <w:sz w:val="32"/>
          <w:szCs w:val="32"/>
          <w14:textFill>
            <w14:solidFill>
              <w14:schemeClr w14:val="tx1"/>
            </w14:solidFill>
          </w14:textFill>
        </w:rPr>
        <w:t>4944.55</w:t>
      </w:r>
      <w:r>
        <w:rPr>
          <w:rFonts w:hint="eastAsia" w:ascii="仿宋" w:hAnsi="仿宋" w:eastAsia="仿宋" w:cs="方正仿宋_GBK"/>
          <w:color w:val="000000" w:themeColor="text1"/>
          <w:sz w:val="32"/>
          <w:szCs w:val="32"/>
          <w14:textFill>
            <w14:solidFill>
              <w14:schemeClr w14:val="tx1"/>
            </w14:solidFill>
          </w14:textFill>
        </w:rPr>
        <w:t>万元，其中：一般公共预算收入</w:t>
      </w:r>
      <w:r>
        <w:rPr>
          <w:rFonts w:ascii="仿宋" w:hAnsi="仿宋" w:eastAsia="仿宋" w:cs="方正仿宋_GBK"/>
          <w:color w:val="000000" w:themeColor="text1"/>
          <w:sz w:val="32"/>
          <w:szCs w:val="32"/>
          <w14:textFill>
            <w14:solidFill>
              <w14:schemeClr w14:val="tx1"/>
            </w14:solidFill>
          </w14:textFill>
        </w:rPr>
        <w:t>4800.55</w:t>
      </w:r>
      <w:r>
        <w:rPr>
          <w:rFonts w:hint="eastAsia" w:ascii="仿宋" w:hAnsi="仿宋" w:eastAsia="仿宋" w:cs="方正仿宋_GBK"/>
          <w:color w:val="000000" w:themeColor="text1"/>
          <w:sz w:val="32"/>
          <w:szCs w:val="32"/>
          <w14:textFill>
            <w14:solidFill>
              <w14:schemeClr w14:val="tx1"/>
            </w14:solidFill>
          </w14:textFill>
        </w:rPr>
        <w:t>万元，政府性基金收入144.00万元，国有资本经营收入</w:t>
      </w:r>
      <w:r>
        <w:rPr>
          <w:rFonts w:ascii="仿宋" w:hAnsi="仿宋" w:eastAsia="仿宋" w:cs="方正仿宋_GBK"/>
          <w:color w:val="000000" w:themeColor="text1"/>
          <w:sz w:val="32"/>
          <w:szCs w:val="32"/>
          <w14:textFill>
            <w14:solidFill>
              <w14:schemeClr w14:val="tx1"/>
            </w14:solidFill>
          </w14:textFill>
        </w:rPr>
        <w:t>0</w:t>
      </w:r>
      <w:r>
        <w:rPr>
          <w:rFonts w:hint="eastAsia" w:ascii="仿宋" w:hAnsi="仿宋" w:eastAsia="仿宋" w:cs="方正仿宋_GBK"/>
          <w:color w:val="000000" w:themeColor="text1"/>
          <w:sz w:val="32"/>
          <w:szCs w:val="32"/>
          <w14:textFill>
            <w14:solidFill>
              <w14:schemeClr w14:val="tx1"/>
            </w14:solidFill>
          </w14:textFill>
        </w:rPr>
        <w:t>万元，事业收入</w:t>
      </w:r>
      <w:r>
        <w:rPr>
          <w:rFonts w:ascii="仿宋" w:hAnsi="仿宋" w:eastAsia="仿宋" w:cs="方正仿宋_GBK"/>
          <w:color w:val="000000" w:themeColor="text1"/>
          <w:sz w:val="32"/>
          <w:szCs w:val="32"/>
          <w14:textFill>
            <w14:solidFill>
              <w14:schemeClr w14:val="tx1"/>
            </w14:solidFill>
          </w14:textFill>
        </w:rPr>
        <w:t>0</w:t>
      </w:r>
      <w:r>
        <w:rPr>
          <w:rFonts w:hint="eastAsia" w:ascii="仿宋" w:hAnsi="仿宋" w:eastAsia="仿宋" w:cs="方正仿宋_GBK"/>
          <w:color w:val="000000" w:themeColor="text1"/>
          <w:sz w:val="32"/>
          <w:szCs w:val="32"/>
          <w14:textFill>
            <w14:solidFill>
              <w14:schemeClr w14:val="tx1"/>
            </w14:solidFill>
          </w14:textFill>
        </w:rPr>
        <w:t>万元，其他收入</w:t>
      </w:r>
      <w:r>
        <w:rPr>
          <w:rFonts w:ascii="仿宋" w:hAnsi="仿宋" w:eastAsia="仿宋" w:cs="方正仿宋_GBK"/>
          <w:color w:val="000000" w:themeColor="text1"/>
          <w:sz w:val="32"/>
          <w:szCs w:val="32"/>
          <w14:textFill>
            <w14:solidFill>
              <w14:schemeClr w14:val="tx1"/>
            </w14:solidFill>
          </w14:textFill>
        </w:rPr>
        <w:t>0</w:t>
      </w:r>
      <w:r>
        <w:rPr>
          <w:rFonts w:hint="eastAsia" w:ascii="仿宋" w:hAnsi="仿宋" w:eastAsia="仿宋" w:cs="方正仿宋_GBK"/>
          <w:color w:val="000000" w:themeColor="text1"/>
          <w:sz w:val="32"/>
          <w:szCs w:val="32"/>
          <w14:textFill>
            <w14:solidFill>
              <w14:schemeClr w14:val="tx1"/>
            </w14:solidFill>
          </w14:textFill>
        </w:rPr>
        <w:t>万元。</w:t>
      </w:r>
    </w:p>
    <w:p>
      <w:pPr>
        <w:spacing w:line="560" w:lineRule="exact"/>
        <w:ind w:firstLine="640"/>
        <w:rPr>
          <w:rFonts w:ascii="楷体" w:hAnsi="楷体" w:eastAsia="楷体" w:cs="Times New Roman"/>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2</w:t>
      </w:r>
      <w:r>
        <w:rPr>
          <w:rFonts w:hint="eastAsia" w:ascii="楷体" w:hAnsi="楷体" w:eastAsia="楷体" w:cs="楷体"/>
          <w:b/>
          <w:bCs/>
          <w:color w:val="000000" w:themeColor="text1"/>
          <w:sz w:val="32"/>
          <w:szCs w:val="32"/>
          <w14:textFill>
            <w14:solidFill>
              <w14:schemeClr w14:val="tx1"/>
            </w14:solidFill>
          </w14:textFill>
        </w:rPr>
        <w:t>、支出说明</w:t>
      </w:r>
    </w:p>
    <w:p>
      <w:pPr>
        <w:spacing w:line="560" w:lineRule="exact"/>
        <w:ind w:firstLine="640"/>
        <w:rPr>
          <w:rFonts w:ascii="仿宋" w:hAnsi="仿宋" w:eastAsia="仿宋" w:cs="方正仿宋_GBK"/>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2021</w:t>
      </w:r>
      <w:r>
        <w:rPr>
          <w:rFonts w:hint="eastAsia" w:ascii="仿宋" w:hAnsi="仿宋" w:eastAsia="仿宋" w:cs="方正仿宋_GBK"/>
          <w:color w:val="000000" w:themeColor="text1"/>
          <w:sz w:val="32"/>
          <w:szCs w:val="32"/>
          <w14:textFill>
            <w14:solidFill>
              <w14:schemeClr w14:val="tx1"/>
            </w14:solidFill>
          </w14:textFill>
        </w:rPr>
        <w:t>年支出预算</w:t>
      </w:r>
      <w:r>
        <w:rPr>
          <w:rFonts w:ascii="仿宋" w:hAnsi="仿宋" w:eastAsia="仿宋" w:cs="方正仿宋_GBK"/>
          <w:color w:val="000000" w:themeColor="text1"/>
          <w:sz w:val="32"/>
          <w:szCs w:val="32"/>
          <w14:textFill>
            <w14:solidFill>
              <w14:schemeClr w14:val="tx1"/>
            </w14:solidFill>
          </w14:textFill>
        </w:rPr>
        <w:t>4944.55</w:t>
      </w:r>
      <w:r>
        <w:rPr>
          <w:rFonts w:hint="eastAsia" w:ascii="仿宋" w:hAnsi="仿宋" w:eastAsia="仿宋" w:cs="方正仿宋_GBK"/>
          <w:color w:val="000000" w:themeColor="text1"/>
          <w:sz w:val="32"/>
          <w:szCs w:val="32"/>
          <w14:textFill>
            <w14:solidFill>
              <w14:schemeClr w14:val="tx1"/>
            </w14:solidFill>
          </w14:textFill>
        </w:rPr>
        <w:t>万元，其中基本支出313.53万元，包括人员工资278.43万元，公用经费35.1万元；项目支出4631.02元，主要为农村五保供养、孤儿基本生活保障、老年人生活补助金等。</w:t>
      </w:r>
    </w:p>
    <w:p>
      <w:pPr>
        <w:spacing w:line="560" w:lineRule="exact"/>
        <w:ind w:firstLine="800" w:firstLineChars="249"/>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rPr>
          <w:rFonts w:ascii="仿宋" w:hAnsi="仿宋" w:eastAsia="仿宋" w:cs="方正仿宋_GBK"/>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 xml:space="preserve">    2021</w:t>
      </w:r>
      <w:r>
        <w:rPr>
          <w:rFonts w:hint="eastAsia" w:ascii="仿宋" w:hAnsi="仿宋" w:eastAsia="仿宋" w:cs="方正仿宋_GBK"/>
          <w:color w:val="000000" w:themeColor="text1"/>
          <w:sz w:val="32"/>
          <w:szCs w:val="32"/>
          <w14:textFill>
            <w14:solidFill>
              <w14:schemeClr w14:val="tx1"/>
            </w14:solidFill>
          </w14:textFill>
        </w:rPr>
        <w:t>年预算收支安排</w:t>
      </w:r>
      <w:r>
        <w:rPr>
          <w:rFonts w:ascii="仿宋" w:hAnsi="仿宋" w:eastAsia="仿宋" w:cs="方正仿宋_GBK"/>
          <w:color w:val="000000" w:themeColor="text1"/>
          <w:sz w:val="32"/>
          <w:szCs w:val="32"/>
          <w14:textFill>
            <w14:solidFill>
              <w14:schemeClr w14:val="tx1"/>
            </w14:solidFill>
          </w14:textFill>
        </w:rPr>
        <w:t>4944.55</w:t>
      </w:r>
      <w:r>
        <w:rPr>
          <w:rFonts w:hint="eastAsia" w:ascii="仿宋" w:hAnsi="仿宋" w:eastAsia="仿宋" w:cs="方正仿宋_GBK"/>
          <w:color w:val="000000" w:themeColor="text1"/>
          <w:sz w:val="32"/>
          <w:szCs w:val="32"/>
          <w14:textFill>
            <w14:solidFill>
              <w14:schemeClr w14:val="tx1"/>
            </w14:solidFill>
          </w14:textFill>
        </w:rPr>
        <w:t>万元，较</w:t>
      </w:r>
      <w:r>
        <w:rPr>
          <w:rFonts w:ascii="仿宋" w:hAnsi="仿宋" w:eastAsia="仿宋" w:cs="Times New Roman"/>
          <w:color w:val="000000" w:themeColor="text1"/>
          <w:sz w:val="32"/>
          <w:szCs w:val="32"/>
          <w14:textFill>
            <w14:solidFill>
              <w14:schemeClr w14:val="tx1"/>
            </w14:solidFill>
          </w14:textFill>
        </w:rPr>
        <w:t>20</w:t>
      </w:r>
      <w:r>
        <w:rPr>
          <w:rFonts w:hint="eastAsia" w:ascii="仿宋" w:hAnsi="仿宋" w:eastAsia="仿宋" w:cs="Times New Roman"/>
          <w:color w:val="000000" w:themeColor="text1"/>
          <w:sz w:val="32"/>
          <w:szCs w:val="32"/>
          <w14:textFill>
            <w14:solidFill>
              <w14:schemeClr w14:val="tx1"/>
            </w14:solidFill>
          </w14:textFill>
        </w:rPr>
        <w:t>20</w:t>
      </w:r>
      <w:r>
        <w:rPr>
          <w:rFonts w:hint="eastAsia" w:ascii="仿宋" w:hAnsi="仿宋" w:eastAsia="仿宋" w:cs="方正仿宋_GBK"/>
          <w:color w:val="000000" w:themeColor="text1"/>
          <w:sz w:val="32"/>
          <w:szCs w:val="32"/>
          <w14:textFill>
            <w14:solidFill>
              <w14:schemeClr w14:val="tx1"/>
            </w14:solidFill>
          </w14:textFill>
        </w:rPr>
        <w:t>年预算增加693.51万元，其中：基本支出增加13.75万元，主要是人员工资滚动升级；</w:t>
      </w:r>
      <w:r>
        <w:rPr>
          <w:rFonts w:hint="eastAsia" w:ascii="仿宋" w:hAnsi="仿宋" w:eastAsia="仿宋" w:cs="仿宋_GB2312"/>
          <w:color w:val="000000" w:themeColor="text1"/>
          <w:kern w:val="0"/>
          <w:sz w:val="32"/>
          <w:szCs w:val="32"/>
          <w14:textFill>
            <w14:solidFill>
              <w14:schemeClr w14:val="tx1"/>
            </w14:solidFill>
          </w14:textFill>
        </w:rPr>
        <w:t>项目支出增加679.76，主要是上级提前下达专项资金增加</w:t>
      </w:r>
      <w:r>
        <w:rPr>
          <w:rFonts w:hint="eastAsia" w:ascii="仿宋" w:hAnsi="仿宋" w:eastAsia="仿宋" w:cs="方正仿宋_GBK"/>
          <w:color w:val="000000" w:themeColor="text1"/>
          <w:sz w:val="32"/>
          <w:szCs w:val="32"/>
          <w14:textFill>
            <w14:solidFill>
              <w14:schemeClr w14:val="tx1"/>
            </w14:solidFill>
          </w14:textFill>
        </w:rPr>
        <w:t>。</w:t>
      </w:r>
    </w:p>
    <w:p>
      <w:pPr>
        <w:autoSpaceDE w:val="0"/>
        <w:autoSpaceDN w:val="0"/>
        <w:adjustRightInd w:val="0"/>
        <w:spacing w:line="560" w:lineRule="exact"/>
        <w:ind w:left="198" w:firstLine="640" w:firstLineChars="200"/>
        <w:jc w:val="left"/>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三、机关运行经费安排情况</w:t>
      </w:r>
    </w:p>
    <w:p>
      <w:pPr>
        <w:autoSpaceDE w:val="0"/>
        <w:autoSpaceDN w:val="0"/>
        <w:adjustRightInd w:val="0"/>
        <w:spacing w:line="560" w:lineRule="exact"/>
        <w:ind w:left="198" w:firstLine="640" w:firstLineChars="200"/>
        <w:jc w:val="left"/>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方正仿宋_GBK"/>
          <w:color w:val="000000" w:themeColor="text1"/>
          <w:sz w:val="32"/>
          <w:szCs w:val="32"/>
          <w14:textFill>
            <w14:solidFill>
              <w14:schemeClr w14:val="tx1"/>
            </w14:solidFill>
          </w14:textFill>
        </w:rPr>
        <w:t>机关运行经费共计安排35.1万元，主要用于办公区的日常维修、办公用房水电费、邮电费、办公用房取暖费、办公用房物业管理费等日常运行支出。</w:t>
      </w: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spacing w:line="560" w:lineRule="exact"/>
        <w:ind w:left="198"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2021</w:t>
      </w:r>
      <w:r>
        <w:rPr>
          <w:rFonts w:hint="eastAsia" w:ascii="仿宋" w:hAnsi="仿宋" w:eastAsia="仿宋" w:cs="方正仿宋_GBK"/>
          <w:color w:val="000000" w:themeColor="text1"/>
          <w:sz w:val="32"/>
          <w:szCs w:val="32"/>
          <w14:textFill>
            <w14:solidFill>
              <w14:schemeClr w14:val="tx1"/>
            </w14:solidFill>
          </w14:textFill>
        </w:rPr>
        <w:t>年，我单位</w:t>
      </w:r>
      <w:r>
        <w:rPr>
          <w:rFonts w:hint="eastAsia"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cs="方正仿宋_GBK"/>
          <w:color w:val="000000" w:themeColor="text1"/>
          <w:sz w:val="32"/>
          <w:szCs w:val="32"/>
          <w14:textFill>
            <w14:solidFill>
              <w14:schemeClr w14:val="tx1"/>
            </w14:solidFill>
          </w14:textFill>
        </w:rPr>
        <w:t>三公</w:t>
      </w:r>
      <w:r>
        <w:rPr>
          <w:rFonts w:hint="eastAsia"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cs="方正仿宋_GBK"/>
          <w:color w:val="000000" w:themeColor="text1"/>
          <w:sz w:val="32"/>
          <w:szCs w:val="32"/>
          <w14:textFill>
            <w14:solidFill>
              <w14:schemeClr w14:val="tx1"/>
            </w14:solidFill>
          </w14:textFill>
        </w:rPr>
        <w:t>经费预算安排4.5万元，其中因公出国（境）费</w:t>
      </w:r>
      <w:r>
        <w:rPr>
          <w:rFonts w:ascii="仿宋" w:hAnsi="仿宋" w:eastAsia="仿宋" w:cs="方正仿宋_GBK"/>
          <w:color w:val="000000" w:themeColor="text1"/>
          <w:sz w:val="32"/>
          <w:szCs w:val="32"/>
          <w14:textFill>
            <w14:solidFill>
              <w14:schemeClr w14:val="tx1"/>
            </w14:solidFill>
          </w14:textFill>
        </w:rPr>
        <w:t>0</w:t>
      </w:r>
      <w:r>
        <w:rPr>
          <w:rFonts w:hint="eastAsia" w:ascii="仿宋" w:hAnsi="仿宋" w:eastAsia="仿宋" w:cs="方正仿宋_GBK"/>
          <w:color w:val="000000" w:themeColor="text1"/>
          <w:sz w:val="32"/>
          <w:szCs w:val="32"/>
          <w14:textFill>
            <w14:solidFill>
              <w14:schemeClr w14:val="tx1"/>
            </w14:solidFill>
          </w14:textFill>
        </w:rPr>
        <w:t>万元；公务用车购置及运维费4.5万元（其中：公务用车购置费为</w:t>
      </w:r>
      <w:r>
        <w:rPr>
          <w:rFonts w:ascii="仿宋" w:hAnsi="仿宋" w:eastAsia="仿宋" w:cs="方正仿宋_GBK"/>
          <w:color w:val="000000" w:themeColor="text1"/>
          <w:sz w:val="32"/>
          <w:szCs w:val="32"/>
          <w14:textFill>
            <w14:solidFill>
              <w14:schemeClr w14:val="tx1"/>
            </w14:solidFill>
          </w14:textFill>
        </w:rPr>
        <w:t>0</w:t>
      </w:r>
      <w:r>
        <w:rPr>
          <w:rFonts w:hint="eastAsia" w:ascii="仿宋" w:hAnsi="仿宋" w:eastAsia="仿宋" w:cs="方正仿宋_GBK"/>
          <w:color w:val="000000" w:themeColor="text1"/>
          <w:sz w:val="32"/>
          <w:szCs w:val="32"/>
          <w14:textFill>
            <w14:solidFill>
              <w14:schemeClr w14:val="tx1"/>
            </w14:solidFill>
          </w14:textFill>
        </w:rPr>
        <w:t>万元，公务用车运行费4.5万元</w:t>
      </w:r>
      <w:r>
        <w:rPr>
          <w:rFonts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cs="方正仿宋_GBK"/>
          <w:color w:val="000000" w:themeColor="text1"/>
          <w:sz w:val="32"/>
          <w:szCs w:val="32"/>
          <w14:textFill>
            <w14:solidFill>
              <w14:schemeClr w14:val="tx1"/>
            </w14:solidFill>
          </w14:textFill>
        </w:rPr>
        <w:t>；公务接待费</w:t>
      </w:r>
      <w:r>
        <w:rPr>
          <w:rFonts w:ascii="仿宋" w:hAnsi="仿宋" w:eastAsia="仿宋" w:cs="方正仿宋_GBK"/>
          <w:color w:val="000000" w:themeColor="text1"/>
          <w:sz w:val="32"/>
          <w:szCs w:val="32"/>
          <w14:textFill>
            <w14:solidFill>
              <w14:schemeClr w14:val="tx1"/>
            </w14:solidFill>
          </w14:textFill>
        </w:rPr>
        <w:t>0</w:t>
      </w:r>
      <w:r>
        <w:rPr>
          <w:rFonts w:hint="eastAsia" w:ascii="仿宋" w:hAnsi="仿宋" w:eastAsia="仿宋" w:cs="方正仿宋_GBK"/>
          <w:color w:val="000000" w:themeColor="text1"/>
          <w:sz w:val="32"/>
          <w:szCs w:val="32"/>
          <w14:textFill>
            <w14:solidFill>
              <w14:schemeClr w14:val="tx1"/>
            </w14:solidFill>
          </w14:textFill>
        </w:rPr>
        <w:t>万元。与</w:t>
      </w:r>
      <w:r>
        <w:rPr>
          <w:rFonts w:ascii="仿宋" w:hAnsi="仿宋" w:eastAsia="仿宋" w:cs="Times New Roman"/>
          <w:color w:val="000000" w:themeColor="text1"/>
          <w:sz w:val="32"/>
          <w:szCs w:val="32"/>
          <w14:textFill>
            <w14:solidFill>
              <w14:schemeClr w14:val="tx1"/>
            </w14:solidFill>
          </w14:textFill>
        </w:rPr>
        <w:t>20</w:t>
      </w:r>
      <w:r>
        <w:rPr>
          <w:rFonts w:hint="eastAsia" w:ascii="仿宋" w:hAnsi="仿宋" w:eastAsia="仿宋" w:cs="Times New Roman"/>
          <w:color w:val="000000" w:themeColor="text1"/>
          <w:sz w:val="32"/>
          <w:szCs w:val="32"/>
          <w14:textFill>
            <w14:solidFill>
              <w14:schemeClr w14:val="tx1"/>
            </w14:solidFill>
          </w14:textFill>
        </w:rPr>
        <w:t>20</w:t>
      </w:r>
      <w:r>
        <w:rPr>
          <w:rFonts w:hint="eastAsia" w:ascii="仿宋" w:hAnsi="仿宋" w:eastAsia="仿宋" w:cs="方正仿宋_GBK"/>
          <w:color w:val="000000" w:themeColor="text1"/>
          <w:sz w:val="32"/>
          <w:szCs w:val="32"/>
          <w14:textFill>
            <w14:solidFill>
              <w14:schemeClr w14:val="tx1"/>
            </w14:solidFill>
          </w14:textFill>
        </w:rPr>
        <w:t>年相比，降低了22.4%，主要原因节约开支，严格控制三公经费支出。</w:t>
      </w:r>
    </w:p>
    <w:p>
      <w:pPr>
        <w:spacing w:line="560" w:lineRule="exact"/>
        <w:ind w:firstLine="800" w:firstLineChars="250"/>
        <w:rPr>
          <w:rFonts w:ascii="黑体" w:hAnsi="黑体" w:eastAsia="黑体" w:cs="Times New Roman"/>
          <w:sz w:val="32"/>
          <w:szCs w:val="32"/>
        </w:rPr>
      </w:pPr>
      <w:r>
        <w:rPr>
          <w:rFonts w:hint="eastAsia" w:ascii="黑体" w:hAnsi="黑体" w:eastAsia="黑体" w:cs="黑体"/>
          <w:sz w:val="32"/>
          <w:szCs w:val="32"/>
        </w:rPr>
        <w:t>五、绩效预算信息</w:t>
      </w:r>
    </w:p>
    <w:p>
      <w:pPr>
        <w:spacing w:line="560" w:lineRule="exact"/>
        <w:ind w:firstLine="800" w:firstLineChars="250"/>
        <w:rPr>
          <w:rFonts w:hint="eastAsia" w:ascii="黑体" w:hAnsi="黑体" w:eastAsia="黑体" w:cs="黑体"/>
          <w:sz w:val="32"/>
          <w:szCs w:val="32"/>
        </w:rPr>
      </w:pPr>
      <w:bookmarkStart w:id="0" w:name="_Toc471398463"/>
      <w:r>
        <w:rPr>
          <w:rFonts w:hint="eastAsia" w:ascii="黑体" w:hAnsi="黑体" w:eastAsia="黑体" w:cs="黑体"/>
          <w:sz w:val="32"/>
          <w:szCs w:val="32"/>
        </w:rPr>
        <w:t>（一）总体绩效目标</w:t>
      </w:r>
    </w:p>
    <w:p>
      <w:pPr>
        <w:autoSpaceDE w:val="0"/>
        <w:ind w:firstLine="640" w:firstLineChars="200"/>
        <w:jc w:val="left"/>
        <w:rPr>
          <w:rFonts w:hint="eastAsia" w:ascii="仿宋" w:hAnsi="仿宋" w:eastAsia="仿宋" w:cs="方正仿宋_GBK"/>
          <w:sz w:val="32"/>
          <w:szCs w:val="32"/>
        </w:rPr>
      </w:pPr>
      <w:r>
        <w:rPr>
          <w:rFonts w:hint="eastAsia" w:ascii="仿宋" w:hAnsi="仿宋" w:eastAsia="仿宋" w:cs="方正仿宋_GBK"/>
          <w:sz w:val="32"/>
          <w:szCs w:val="32"/>
        </w:rPr>
        <w:t>聚焦脱贫攻坚、特殊群体、群众关切，以做好基本民生保障、基层社会治理、基本社会服务等各项工作，不断提升人民群众获得感、幸福感、安全感为目标，让惠及百姓的政策落下去、实起来，织密扎牢民生保障“安全网”。强化基本民生保障，服务脱贫攻坚，解决好困难群众基本生活问题, 确保到20</w:t>
      </w:r>
      <w:r>
        <w:rPr>
          <w:rFonts w:hint="eastAsia" w:ascii="仿宋" w:hAnsi="仿宋" w:eastAsia="仿宋" w:cs="方正仿宋_GBK"/>
          <w:sz w:val="32"/>
          <w:szCs w:val="32"/>
          <w:lang w:val="en-US" w:eastAsia="zh-CN"/>
        </w:rPr>
        <w:t>21</w:t>
      </w:r>
      <w:r>
        <w:rPr>
          <w:rFonts w:hint="eastAsia" w:ascii="仿宋" w:hAnsi="仿宋" w:eastAsia="仿宋" w:cs="方正仿宋_GBK"/>
          <w:sz w:val="32"/>
          <w:szCs w:val="32"/>
        </w:rPr>
        <w:t>年农村低保标准不低于扶贫标准,</w:t>
      </w:r>
      <w:r>
        <w:rPr>
          <w:rFonts w:hint="eastAsia" w:ascii="仿宋" w:hAnsi="仿宋" w:eastAsia="仿宋" w:cs="方正仿宋_GBK"/>
          <w:sz w:val="32"/>
          <w:szCs w:val="32"/>
          <w:lang w:eastAsia="zh-CN"/>
        </w:rPr>
        <w:t>加大</w:t>
      </w:r>
      <w:r>
        <w:rPr>
          <w:rFonts w:hint="eastAsia" w:ascii="仿宋" w:hAnsi="仿宋" w:eastAsia="仿宋" w:cs="方正仿宋_GBK"/>
          <w:sz w:val="32"/>
          <w:szCs w:val="32"/>
        </w:rPr>
        <w:t>生活不能自理特困人员集中供养率，逐步提高孤儿、困难和重度残疾人生活护理水平。优化基本社会服务供给，</w:t>
      </w:r>
      <w:r>
        <w:rPr>
          <w:rFonts w:hint="eastAsia" w:ascii="仿宋" w:hAnsi="仿宋" w:eastAsia="仿宋" w:cs="方正仿宋_GBK"/>
          <w:sz w:val="32"/>
          <w:szCs w:val="32"/>
          <w:lang w:eastAsia="zh-CN"/>
        </w:rPr>
        <w:t>提高</w:t>
      </w:r>
      <w:r>
        <w:rPr>
          <w:rFonts w:hint="eastAsia" w:ascii="仿宋" w:hAnsi="仿宋" w:eastAsia="仿宋" w:cs="方正仿宋_GBK"/>
          <w:sz w:val="32"/>
          <w:szCs w:val="32"/>
        </w:rPr>
        <w:t>居家养老服务设施覆盖</w:t>
      </w:r>
      <w:r>
        <w:rPr>
          <w:rFonts w:hint="eastAsia" w:ascii="仿宋" w:hAnsi="仿宋" w:eastAsia="仿宋" w:cs="方正仿宋_GBK"/>
          <w:sz w:val="32"/>
          <w:szCs w:val="32"/>
          <w:lang w:eastAsia="zh-CN"/>
        </w:rPr>
        <w:t>率</w:t>
      </w:r>
      <w:r>
        <w:rPr>
          <w:rFonts w:hint="eastAsia" w:ascii="仿宋" w:hAnsi="仿宋" w:eastAsia="仿宋" w:cs="方正仿宋_GBK"/>
          <w:sz w:val="32"/>
          <w:szCs w:val="32"/>
        </w:rPr>
        <w:t>，殡葬设施满足群众基本需求和环境保护标准要求，</w:t>
      </w:r>
      <w:r>
        <w:rPr>
          <w:rFonts w:hint="eastAsia" w:ascii="仿宋" w:hAnsi="仿宋" w:eastAsia="仿宋" w:cs="方正仿宋_GBK"/>
          <w:sz w:val="32"/>
          <w:szCs w:val="32"/>
          <w:lang w:eastAsia="zh-CN"/>
        </w:rPr>
        <w:t>提升</w:t>
      </w:r>
      <w:r>
        <w:rPr>
          <w:rFonts w:hint="eastAsia" w:ascii="仿宋" w:hAnsi="仿宋" w:eastAsia="仿宋" w:cs="方正仿宋_GBK"/>
          <w:sz w:val="32"/>
          <w:szCs w:val="32"/>
        </w:rPr>
        <w:t>农村公益性公墓覆盖率。提升社会治理水平，加强基层政权和社区建设</w:t>
      </w:r>
      <w:r>
        <w:rPr>
          <w:rFonts w:hint="eastAsia" w:ascii="仿宋" w:hAnsi="仿宋" w:eastAsia="仿宋" w:cs="方正仿宋_GBK"/>
          <w:sz w:val="32"/>
          <w:szCs w:val="32"/>
          <w:lang w:eastAsia="zh-CN"/>
        </w:rPr>
        <w:t>；</w:t>
      </w:r>
      <w:r>
        <w:rPr>
          <w:rFonts w:hint="eastAsia" w:ascii="仿宋" w:hAnsi="仿宋" w:eastAsia="仿宋" w:cs="方正仿宋_GBK"/>
          <w:sz w:val="32"/>
          <w:szCs w:val="32"/>
        </w:rPr>
        <w:t>大力发展社会组织、社会工作和慈善事业。</w:t>
      </w:r>
    </w:p>
    <w:p>
      <w:pPr>
        <w:spacing w:line="560" w:lineRule="exact"/>
        <w:ind w:firstLine="800" w:firstLineChars="250"/>
        <w:rPr>
          <w:rFonts w:hint="eastAsia" w:ascii="黑体" w:hAnsi="黑体" w:eastAsia="黑体" w:cs="黑体"/>
          <w:sz w:val="32"/>
          <w:szCs w:val="32"/>
        </w:rPr>
      </w:pPr>
      <w:r>
        <w:rPr>
          <w:rFonts w:hint="eastAsia" w:ascii="黑体" w:hAnsi="黑体" w:eastAsia="黑体" w:cs="黑体"/>
          <w:sz w:val="32"/>
          <w:szCs w:val="32"/>
        </w:rPr>
        <w:t>（二）分项绩效目标</w:t>
      </w:r>
    </w:p>
    <w:p>
      <w:pPr>
        <w:autoSpaceDE w:val="0"/>
        <w:autoSpaceDN w:val="0"/>
        <w:adjustRightInd w:val="0"/>
        <w:spacing w:line="560" w:lineRule="exact"/>
        <w:ind w:left="198" w:firstLine="640" w:firstLineChars="200"/>
        <w:jc w:val="left"/>
        <w:rPr>
          <w:rFonts w:hint="eastAsia" w:ascii="黑体" w:hAnsi="黑体" w:eastAsia="黑体" w:cs="黑体"/>
          <w:sz w:val="32"/>
          <w:szCs w:val="32"/>
        </w:rPr>
      </w:pPr>
      <w:r>
        <w:rPr>
          <w:rFonts w:hint="eastAsia" w:ascii="黑体" w:hAnsi="黑体" w:eastAsia="黑体" w:cs="黑体"/>
          <w:sz w:val="32"/>
          <w:szCs w:val="32"/>
        </w:rPr>
        <w:t>1、聚焦脱贫攻坚，托住基本民生兜底保障线</w:t>
      </w:r>
    </w:p>
    <w:p>
      <w:pPr>
        <w:autoSpaceDE w:val="0"/>
        <w:ind w:firstLine="640" w:firstLineChars="200"/>
        <w:jc w:val="left"/>
        <w:rPr>
          <w:rFonts w:hint="eastAsia" w:ascii="仿宋" w:hAnsi="仿宋" w:eastAsia="仿宋" w:cs="方正仿宋_GBK"/>
          <w:sz w:val="32"/>
          <w:szCs w:val="32"/>
        </w:rPr>
      </w:pPr>
      <w:r>
        <w:rPr>
          <w:rFonts w:hint="eastAsia" w:ascii="仿宋" w:hAnsi="仿宋" w:eastAsia="仿宋" w:cs="方正仿宋_GBK"/>
          <w:sz w:val="32"/>
          <w:szCs w:val="32"/>
        </w:rPr>
        <w:t>绩效目标：稳步推进城乡低保提标，精准落实农村困难群体特惠政策。落实特困人员供养制度，按标准发放基本生活费和护理费。</w:t>
      </w:r>
    </w:p>
    <w:p>
      <w:pPr>
        <w:autoSpaceDE w:val="0"/>
        <w:ind w:firstLine="640" w:firstLineChars="200"/>
        <w:jc w:val="left"/>
        <w:rPr>
          <w:rFonts w:hint="eastAsia" w:ascii="仿宋" w:hAnsi="仿宋" w:eastAsia="仿宋" w:cs="方正仿宋_GBK"/>
          <w:sz w:val="32"/>
          <w:szCs w:val="32"/>
        </w:rPr>
      </w:pPr>
      <w:r>
        <w:rPr>
          <w:rFonts w:hint="eastAsia" w:ascii="仿宋" w:hAnsi="仿宋" w:eastAsia="仿宋" w:cs="方正仿宋_GBK"/>
          <w:sz w:val="32"/>
          <w:szCs w:val="32"/>
        </w:rPr>
        <w:t>绩效指标：农村低保标准考虑低保制度城乡统筹因素，20</w:t>
      </w:r>
      <w:r>
        <w:rPr>
          <w:rFonts w:hint="eastAsia" w:ascii="仿宋" w:hAnsi="仿宋" w:eastAsia="仿宋" w:cs="方正仿宋_GBK"/>
          <w:sz w:val="32"/>
          <w:szCs w:val="32"/>
          <w:lang w:val="en-US" w:eastAsia="zh-CN"/>
        </w:rPr>
        <w:t>21</w:t>
      </w:r>
      <w:r>
        <w:rPr>
          <w:rFonts w:hint="eastAsia" w:ascii="仿宋" w:hAnsi="仿宋" w:eastAsia="仿宋" w:cs="方正仿宋_GBK"/>
          <w:sz w:val="32"/>
          <w:szCs w:val="32"/>
        </w:rPr>
        <w:t>年全</w:t>
      </w:r>
      <w:r>
        <w:rPr>
          <w:rFonts w:hint="eastAsia" w:ascii="仿宋" w:hAnsi="仿宋" w:eastAsia="仿宋" w:cs="方正仿宋_GBK"/>
          <w:sz w:val="32"/>
          <w:szCs w:val="32"/>
          <w:lang w:eastAsia="zh-CN"/>
        </w:rPr>
        <w:t>县</w:t>
      </w:r>
      <w:r>
        <w:rPr>
          <w:rFonts w:hint="eastAsia" w:ascii="仿宋" w:hAnsi="仿宋" w:eastAsia="仿宋" w:cs="方正仿宋_GBK"/>
          <w:sz w:val="32"/>
          <w:szCs w:val="32"/>
        </w:rPr>
        <w:t>农村低保</w:t>
      </w:r>
      <w:r>
        <w:rPr>
          <w:rFonts w:hint="eastAsia" w:ascii="仿宋" w:hAnsi="仿宋" w:eastAsia="仿宋" w:cs="方正仿宋_GBK"/>
          <w:sz w:val="32"/>
          <w:szCs w:val="32"/>
          <w:lang w:eastAsia="zh-CN"/>
        </w:rPr>
        <w:t>保障</w:t>
      </w:r>
      <w:r>
        <w:rPr>
          <w:rFonts w:hint="eastAsia" w:ascii="仿宋" w:hAnsi="仿宋" w:eastAsia="仿宋" w:cs="方正仿宋_GBK"/>
          <w:sz w:val="32"/>
          <w:szCs w:val="32"/>
        </w:rPr>
        <w:t>标准达到</w:t>
      </w:r>
      <w:r>
        <w:rPr>
          <w:rFonts w:hint="eastAsia" w:ascii="仿宋" w:hAnsi="仿宋" w:eastAsia="仿宋" w:cs="方正仿宋_GBK"/>
          <w:sz w:val="32"/>
          <w:szCs w:val="32"/>
          <w:lang w:val="en-US" w:eastAsia="zh-CN"/>
        </w:rPr>
        <w:t>5124</w:t>
      </w:r>
      <w:r>
        <w:rPr>
          <w:rFonts w:hint="eastAsia" w:ascii="仿宋" w:hAnsi="仿宋" w:eastAsia="仿宋" w:cs="方正仿宋_GBK"/>
          <w:sz w:val="32"/>
          <w:szCs w:val="32"/>
        </w:rPr>
        <w:t>元/年；全</w:t>
      </w:r>
      <w:r>
        <w:rPr>
          <w:rFonts w:hint="eastAsia" w:ascii="仿宋" w:hAnsi="仿宋" w:eastAsia="仿宋" w:cs="方正仿宋_GBK"/>
          <w:sz w:val="32"/>
          <w:szCs w:val="32"/>
          <w:lang w:eastAsia="zh-CN"/>
        </w:rPr>
        <w:t>县</w:t>
      </w:r>
      <w:r>
        <w:rPr>
          <w:rFonts w:hint="eastAsia" w:ascii="仿宋" w:hAnsi="仿宋" w:eastAsia="仿宋" w:cs="方正仿宋_GBK"/>
          <w:sz w:val="32"/>
          <w:szCs w:val="32"/>
        </w:rPr>
        <w:t>城市低保</w:t>
      </w:r>
      <w:r>
        <w:rPr>
          <w:rFonts w:hint="eastAsia" w:ascii="仿宋" w:hAnsi="仿宋" w:eastAsia="仿宋" w:cs="方正仿宋_GBK"/>
          <w:sz w:val="32"/>
          <w:szCs w:val="32"/>
          <w:lang w:eastAsia="zh-CN"/>
        </w:rPr>
        <w:t>保障</w:t>
      </w:r>
      <w:r>
        <w:rPr>
          <w:rFonts w:hint="eastAsia" w:ascii="仿宋" w:hAnsi="仿宋" w:eastAsia="仿宋" w:cs="方正仿宋_GBK"/>
          <w:sz w:val="32"/>
          <w:szCs w:val="32"/>
        </w:rPr>
        <w:t>标准</w:t>
      </w:r>
      <w:r>
        <w:rPr>
          <w:rFonts w:hint="eastAsia" w:ascii="仿宋" w:hAnsi="仿宋" w:eastAsia="仿宋" w:cs="方正仿宋_GBK"/>
          <w:sz w:val="32"/>
          <w:szCs w:val="32"/>
          <w:lang w:val="en-US" w:eastAsia="zh-CN"/>
        </w:rPr>
        <w:t>702</w:t>
      </w:r>
      <w:r>
        <w:rPr>
          <w:rFonts w:hint="eastAsia" w:ascii="仿宋" w:hAnsi="仿宋" w:eastAsia="仿宋" w:cs="方正仿宋_GBK"/>
          <w:sz w:val="32"/>
          <w:szCs w:val="32"/>
        </w:rPr>
        <w:t>元/</w:t>
      </w:r>
      <w:r>
        <w:rPr>
          <w:rFonts w:hint="eastAsia" w:ascii="仿宋" w:hAnsi="仿宋" w:eastAsia="仿宋" w:cs="方正仿宋_GBK"/>
          <w:sz w:val="32"/>
          <w:szCs w:val="32"/>
          <w:lang w:eastAsia="zh-CN"/>
        </w:rPr>
        <w:t>月</w:t>
      </w:r>
      <w:r>
        <w:rPr>
          <w:rFonts w:hint="eastAsia" w:ascii="仿宋" w:hAnsi="仿宋" w:eastAsia="仿宋" w:cs="方正仿宋_GBK"/>
          <w:sz w:val="32"/>
          <w:szCs w:val="32"/>
        </w:rPr>
        <w:t>。特困人员基本生活标准不低于当地低保标准的1.3倍；部分或完全丧失生活自理能力的特困人员年照料护理标准，不低于所在</w:t>
      </w:r>
      <w:r>
        <w:rPr>
          <w:rFonts w:hint="eastAsia" w:ascii="仿宋" w:hAnsi="仿宋" w:eastAsia="仿宋" w:cs="方正仿宋_GBK"/>
          <w:sz w:val="32"/>
          <w:szCs w:val="32"/>
          <w:lang w:eastAsia="zh-CN"/>
        </w:rPr>
        <w:t>我</w:t>
      </w:r>
      <w:r>
        <w:rPr>
          <w:rFonts w:hint="eastAsia" w:ascii="仿宋" w:hAnsi="仿宋" w:eastAsia="仿宋" w:cs="方正仿宋_GBK"/>
          <w:sz w:val="32"/>
          <w:szCs w:val="32"/>
        </w:rPr>
        <w:t>县年最低工资标准的10%。</w:t>
      </w:r>
    </w:p>
    <w:p>
      <w:pPr>
        <w:autoSpaceDE w:val="0"/>
        <w:autoSpaceDN w:val="0"/>
        <w:adjustRightInd w:val="0"/>
        <w:spacing w:line="560" w:lineRule="exact"/>
        <w:ind w:left="198" w:firstLine="640" w:firstLineChars="200"/>
        <w:jc w:val="left"/>
        <w:rPr>
          <w:rFonts w:hint="eastAsia" w:ascii="黑体" w:hAnsi="黑体" w:eastAsia="黑体" w:cs="黑体"/>
          <w:sz w:val="32"/>
          <w:szCs w:val="32"/>
        </w:rPr>
      </w:pPr>
      <w:r>
        <w:rPr>
          <w:rFonts w:hint="eastAsia" w:ascii="黑体" w:hAnsi="黑体" w:eastAsia="黑体" w:cs="黑体"/>
          <w:sz w:val="32"/>
          <w:szCs w:val="32"/>
        </w:rPr>
        <w:t>2、聚焦特殊群体，筑牢生活救助管理安全线</w:t>
      </w:r>
    </w:p>
    <w:p>
      <w:pPr>
        <w:autoSpaceDE w:val="0"/>
        <w:ind w:firstLine="640" w:firstLineChars="200"/>
        <w:jc w:val="left"/>
        <w:rPr>
          <w:rFonts w:hint="eastAsia" w:ascii="仿宋" w:hAnsi="仿宋" w:eastAsia="仿宋" w:cs="方正仿宋_GBK"/>
          <w:sz w:val="32"/>
          <w:szCs w:val="32"/>
        </w:rPr>
      </w:pPr>
      <w:r>
        <w:rPr>
          <w:rFonts w:hint="eastAsia" w:ascii="仿宋" w:hAnsi="仿宋" w:eastAsia="仿宋" w:cs="方正仿宋_GBK"/>
          <w:sz w:val="32"/>
          <w:szCs w:val="32"/>
        </w:rPr>
        <w:t>绩效目标：提高孤儿养育水平，进一步加强事实无人抚养儿童保障工作。强化对生活无着流浪乞讨人员的救助服务，维护受助人员合法权益。落实困难残疾人生活补贴和重度残疾人护理补贴制度，持续解决残疾人特殊生活困难和长期照护困难。</w:t>
      </w:r>
    </w:p>
    <w:p>
      <w:pPr>
        <w:autoSpaceDE w:val="0"/>
        <w:ind w:firstLine="640" w:firstLineChars="200"/>
        <w:jc w:val="left"/>
        <w:rPr>
          <w:rFonts w:hint="eastAsia" w:ascii="仿宋" w:hAnsi="仿宋" w:eastAsia="仿宋" w:cs="方正仿宋_GBK"/>
          <w:sz w:val="32"/>
          <w:szCs w:val="32"/>
        </w:rPr>
      </w:pPr>
      <w:r>
        <w:rPr>
          <w:rFonts w:hint="eastAsia" w:ascii="仿宋" w:hAnsi="仿宋" w:eastAsia="仿宋" w:cs="方正仿宋_GBK"/>
          <w:sz w:val="32"/>
          <w:szCs w:val="32"/>
        </w:rPr>
        <w:t>绩效指标：将我</w:t>
      </w:r>
      <w:r>
        <w:rPr>
          <w:rFonts w:hint="eastAsia" w:ascii="仿宋" w:hAnsi="仿宋" w:eastAsia="仿宋" w:cs="方正仿宋_GBK"/>
          <w:sz w:val="32"/>
          <w:szCs w:val="32"/>
          <w:lang w:eastAsia="zh-CN"/>
        </w:rPr>
        <w:t>县</w:t>
      </w:r>
      <w:r>
        <w:rPr>
          <w:rFonts w:hint="eastAsia" w:ascii="仿宋" w:hAnsi="仿宋" w:eastAsia="仿宋" w:cs="方正仿宋_GBK"/>
          <w:sz w:val="32"/>
          <w:szCs w:val="32"/>
        </w:rPr>
        <w:t>孤儿基本生活补贴最低养育标准</w:t>
      </w:r>
      <w:r>
        <w:rPr>
          <w:rFonts w:hint="eastAsia" w:ascii="仿宋" w:hAnsi="仿宋" w:eastAsia="仿宋" w:cs="方正仿宋_GBK"/>
          <w:sz w:val="32"/>
          <w:szCs w:val="32"/>
          <w:lang w:eastAsia="zh-CN"/>
        </w:rPr>
        <w:t>达到</w:t>
      </w:r>
      <w:r>
        <w:rPr>
          <w:rFonts w:hint="eastAsia" w:ascii="仿宋" w:hAnsi="仿宋" w:eastAsia="仿宋" w:cs="方正仿宋_GBK"/>
          <w:sz w:val="32"/>
          <w:szCs w:val="32"/>
        </w:rPr>
        <w:t>社会散居孤儿1000元/人/月。从20</w:t>
      </w:r>
      <w:r>
        <w:rPr>
          <w:rFonts w:hint="eastAsia" w:ascii="仿宋" w:hAnsi="仿宋" w:eastAsia="仿宋" w:cs="方正仿宋_GBK"/>
          <w:sz w:val="32"/>
          <w:szCs w:val="32"/>
          <w:lang w:val="en-US" w:eastAsia="zh-CN"/>
        </w:rPr>
        <w:t>21</w:t>
      </w:r>
      <w:r>
        <w:rPr>
          <w:rFonts w:hint="eastAsia" w:ascii="仿宋" w:hAnsi="仿宋" w:eastAsia="仿宋" w:cs="方正仿宋_GBK"/>
          <w:sz w:val="32"/>
          <w:szCs w:val="32"/>
        </w:rPr>
        <w:t>年1月1日起为事实无人抚养儿童发放基本生活补贴，并与孤儿保障标准相衔接。对申请救助且符合救助条件的生活无着流浪乞讨人员100%实施救助，帮助查明身份的滞留流浪乞讨人员及时返乡，确保不发生非正常重大事件。将符合条件的申请人100%纳入残疾人两项补贴制度保障范围，按标准及时、足额发放残疾人两项补贴资金。</w:t>
      </w:r>
    </w:p>
    <w:p>
      <w:pPr>
        <w:ind w:firstLine="640" w:firstLineChars="200"/>
        <w:rPr>
          <w:rFonts w:ascii="Times New Roman" w:hAnsi="Times New Roman" w:eastAsia="方正仿宋_GBK" w:cs="Times New Roman"/>
          <w:sz w:val="32"/>
          <w:szCs w:val="32"/>
        </w:rPr>
      </w:pPr>
      <w:r>
        <w:rPr>
          <w:rFonts w:hint="eastAsia" w:ascii="黑体" w:hAnsi="黑体" w:eastAsia="黑体" w:cs="黑体"/>
          <w:sz w:val="32"/>
          <w:szCs w:val="32"/>
        </w:rPr>
        <w:t>3、聚焦群众关切，提高基本社会服务幸福线</w:t>
      </w:r>
    </w:p>
    <w:p>
      <w:pPr>
        <w:autoSpaceDE w:val="0"/>
        <w:ind w:firstLine="640" w:firstLineChars="200"/>
        <w:jc w:val="left"/>
        <w:rPr>
          <w:rFonts w:hint="eastAsia" w:ascii="仿宋" w:hAnsi="仿宋" w:eastAsia="仿宋" w:cs="方正仿宋_GBK"/>
          <w:sz w:val="32"/>
          <w:szCs w:val="32"/>
        </w:rPr>
      </w:pPr>
      <w:r>
        <w:rPr>
          <w:rFonts w:hint="eastAsia" w:ascii="仿宋" w:hAnsi="仿宋" w:eastAsia="仿宋" w:cs="方正仿宋_GBK"/>
          <w:sz w:val="32"/>
          <w:szCs w:val="32"/>
        </w:rPr>
        <w:t>绩效目标：实施社区和居家养老工程，提高养老服务质量，加快推进居家社区机构相协调、医养相结合的养老服务体系建设。加强和改进殡葬管理工作，支持全省殡葬服务设施和农村公益性公墓建设。</w:t>
      </w:r>
    </w:p>
    <w:p>
      <w:pPr>
        <w:autoSpaceDE w:val="0"/>
        <w:ind w:firstLine="640" w:firstLineChars="200"/>
        <w:jc w:val="left"/>
        <w:rPr>
          <w:rFonts w:hint="eastAsia" w:ascii="仿宋" w:hAnsi="仿宋" w:eastAsia="仿宋" w:cs="方正仿宋_GBK"/>
          <w:sz w:val="32"/>
          <w:szCs w:val="32"/>
          <w:lang w:eastAsia="zh-CN"/>
        </w:rPr>
      </w:pPr>
      <w:r>
        <w:rPr>
          <w:rFonts w:hint="eastAsia" w:ascii="仿宋" w:hAnsi="仿宋" w:eastAsia="仿宋" w:cs="方正仿宋_GBK"/>
          <w:sz w:val="32"/>
          <w:szCs w:val="32"/>
        </w:rPr>
        <w:t>绩效指标：到</w:t>
      </w:r>
      <w:r>
        <w:rPr>
          <w:rFonts w:hint="eastAsia" w:ascii="仿宋" w:hAnsi="仿宋" w:eastAsia="仿宋" w:cs="方正仿宋_GBK"/>
          <w:sz w:val="32"/>
          <w:szCs w:val="32"/>
          <w:lang w:val="en-US" w:eastAsia="zh-CN"/>
        </w:rPr>
        <w:t>2021</w:t>
      </w:r>
      <w:r>
        <w:rPr>
          <w:rFonts w:hint="eastAsia" w:ascii="仿宋" w:hAnsi="仿宋" w:eastAsia="仿宋" w:cs="方正仿宋_GBK"/>
          <w:sz w:val="32"/>
          <w:szCs w:val="32"/>
        </w:rPr>
        <w:t>年，</w:t>
      </w:r>
      <w:r>
        <w:rPr>
          <w:rFonts w:hint="eastAsia" w:ascii="仿宋" w:hAnsi="仿宋" w:eastAsia="仿宋" w:cs="方正仿宋_GBK"/>
          <w:sz w:val="32"/>
          <w:szCs w:val="32"/>
          <w:lang w:eastAsia="zh-CN"/>
        </w:rPr>
        <w:t>加大</w:t>
      </w:r>
      <w:r>
        <w:rPr>
          <w:rFonts w:hint="eastAsia" w:ascii="仿宋" w:hAnsi="仿宋" w:eastAsia="仿宋" w:cs="方正仿宋_GBK"/>
          <w:sz w:val="32"/>
          <w:szCs w:val="32"/>
        </w:rPr>
        <w:t>社区和居家养老服务设施覆盖</w:t>
      </w:r>
      <w:r>
        <w:rPr>
          <w:rFonts w:hint="eastAsia" w:ascii="仿宋" w:hAnsi="仿宋" w:eastAsia="仿宋" w:cs="方正仿宋_GBK"/>
          <w:sz w:val="32"/>
          <w:szCs w:val="32"/>
          <w:lang w:eastAsia="zh-CN"/>
        </w:rPr>
        <w:t>，打造</w:t>
      </w:r>
      <w:r>
        <w:rPr>
          <w:rFonts w:hint="eastAsia" w:ascii="仿宋" w:hAnsi="仿宋" w:eastAsia="仿宋" w:cs="方正仿宋_GBK"/>
          <w:sz w:val="32"/>
          <w:szCs w:val="32"/>
        </w:rPr>
        <w:t>星级养老机构，重点改造提升敬老院。提升殡葬服务能力</w:t>
      </w:r>
      <w:r>
        <w:rPr>
          <w:rFonts w:hint="eastAsia" w:ascii="仿宋" w:hAnsi="仿宋" w:eastAsia="仿宋" w:cs="方正仿宋_GBK"/>
          <w:sz w:val="32"/>
          <w:szCs w:val="32"/>
          <w:lang w:eastAsia="zh-CN"/>
        </w:rPr>
        <w:t>，</w:t>
      </w:r>
      <w:r>
        <w:rPr>
          <w:rFonts w:hint="eastAsia" w:ascii="仿宋" w:hAnsi="仿宋" w:eastAsia="仿宋" w:cs="方正仿宋_GBK"/>
          <w:sz w:val="32"/>
          <w:szCs w:val="32"/>
        </w:rPr>
        <w:t>推进全</w:t>
      </w:r>
      <w:r>
        <w:rPr>
          <w:rFonts w:hint="eastAsia" w:ascii="仿宋" w:hAnsi="仿宋" w:eastAsia="仿宋" w:cs="方正仿宋_GBK"/>
          <w:sz w:val="32"/>
          <w:szCs w:val="32"/>
          <w:lang w:eastAsia="zh-CN"/>
        </w:rPr>
        <w:t>县</w:t>
      </w:r>
      <w:r>
        <w:rPr>
          <w:rFonts w:hint="eastAsia" w:ascii="仿宋" w:hAnsi="仿宋" w:eastAsia="仿宋" w:cs="方正仿宋_GBK"/>
          <w:sz w:val="32"/>
          <w:szCs w:val="32"/>
        </w:rPr>
        <w:t>农村公益性公墓</w:t>
      </w:r>
      <w:r>
        <w:rPr>
          <w:rFonts w:hint="eastAsia" w:ascii="仿宋" w:hAnsi="仿宋" w:eastAsia="仿宋" w:cs="方正仿宋_GBK"/>
          <w:sz w:val="32"/>
          <w:szCs w:val="32"/>
          <w:lang w:eastAsia="zh-CN"/>
        </w:rPr>
        <w:t>和骨灰堂</w:t>
      </w:r>
      <w:r>
        <w:rPr>
          <w:rFonts w:hint="eastAsia" w:ascii="仿宋" w:hAnsi="仿宋" w:eastAsia="仿宋" w:cs="方正仿宋_GBK"/>
          <w:sz w:val="32"/>
          <w:szCs w:val="32"/>
        </w:rPr>
        <w:t>建设</w:t>
      </w:r>
      <w:r>
        <w:rPr>
          <w:rFonts w:hint="eastAsia" w:ascii="仿宋" w:hAnsi="仿宋" w:eastAsia="仿宋" w:cs="方正仿宋_GBK"/>
          <w:sz w:val="32"/>
          <w:szCs w:val="32"/>
          <w:lang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4、着眼强基固本，构建基层社会治理和谐线</w:t>
      </w:r>
    </w:p>
    <w:p>
      <w:pPr>
        <w:autoSpaceDE w:val="0"/>
        <w:ind w:firstLine="640" w:firstLineChars="200"/>
        <w:jc w:val="left"/>
        <w:rPr>
          <w:rFonts w:hint="eastAsia" w:ascii="仿宋" w:hAnsi="仿宋" w:eastAsia="仿宋" w:cs="方正仿宋_GBK"/>
          <w:sz w:val="32"/>
          <w:szCs w:val="32"/>
          <w:lang w:eastAsia="zh-CN"/>
        </w:rPr>
      </w:pPr>
      <w:r>
        <w:rPr>
          <w:rFonts w:hint="eastAsia" w:ascii="仿宋" w:hAnsi="仿宋" w:eastAsia="仿宋" w:cs="方正仿宋_GBK"/>
          <w:sz w:val="32"/>
          <w:szCs w:val="32"/>
        </w:rPr>
        <w:t>绩效目标：加强城乡社区建设，促进全</w:t>
      </w:r>
      <w:r>
        <w:rPr>
          <w:rFonts w:hint="eastAsia" w:ascii="仿宋" w:hAnsi="仿宋" w:eastAsia="仿宋" w:cs="方正仿宋_GBK"/>
          <w:sz w:val="32"/>
          <w:szCs w:val="32"/>
          <w:lang w:eastAsia="zh-CN"/>
        </w:rPr>
        <w:t>县</w:t>
      </w:r>
      <w:r>
        <w:rPr>
          <w:rFonts w:hint="eastAsia" w:ascii="仿宋" w:hAnsi="仿宋" w:eastAsia="仿宋" w:cs="方正仿宋_GBK"/>
          <w:sz w:val="32"/>
          <w:szCs w:val="32"/>
        </w:rPr>
        <w:t>社会组织高质量发展，加强社区社会工作专业人才队伍建设</w:t>
      </w:r>
      <w:r>
        <w:rPr>
          <w:rFonts w:hint="eastAsia" w:ascii="仿宋" w:hAnsi="仿宋" w:eastAsia="仿宋" w:cs="方正仿宋_GBK"/>
          <w:sz w:val="32"/>
          <w:szCs w:val="32"/>
          <w:lang w:eastAsia="zh-CN"/>
        </w:rPr>
        <w:t>。</w:t>
      </w:r>
    </w:p>
    <w:p>
      <w:pPr>
        <w:autoSpaceDE w:val="0"/>
        <w:ind w:firstLine="640" w:firstLineChars="200"/>
        <w:jc w:val="left"/>
        <w:rPr>
          <w:rFonts w:hint="eastAsia" w:ascii="仿宋" w:hAnsi="仿宋" w:eastAsia="仿宋" w:cs="方正仿宋_GBK"/>
          <w:sz w:val="32"/>
          <w:szCs w:val="32"/>
          <w:lang w:eastAsia="zh-CN"/>
        </w:rPr>
      </w:pPr>
      <w:r>
        <w:rPr>
          <w:rFonts w:hint="eastAsia" w:ascii="仿宋" w:hAnsi="仿宋" w:eastAsia="仿宋" w:cs="方正仿宋_GBK"/>
          <w:sz w:val="32"/>
          <w:szCs w:val="32"/>
        </w:rPr>
        <w:t>绩效指标：到</w:t>
      </w:r>
      <w:r>
        <w:rPr>
          <w:rFonts w:hint="eastAsia" w:ascii="仿宋" w:hAnsi="仿宋" w:eastAsia="仿宋" w:cs="方正仿宋_GBK"/>
          <w:sz w:val="32"/>
          <w:szCs w:val="32"/>
          <w:lang w:val="en-US" w:eastAsia="zh-CN"/>
        </w:rPr>
        <w:t>2021</w:t>
      </w:r>
      <w:r>
        <w:rPr>
          <w:rFonts w:hint="eastAsia" w:ascii="仿宋" w:hAnsi="仿宋" w:eastAsia="仿宋" w:cs="方正仿宋_GBK"/>
          <w:sz w:val="32"/>
          <w:szCs w:val="32"/>
        </w:rPr>
        <w:t>年，打造</w:t>
      </w:r>
      <w:r>
        <w:rPr>
          <w:rFonts w:hint="eastAsia" w:ascii="仿宋" w:hAnsi="仿宋" w:eastAsia="仿宋" w:cs="方正仿宋_GBK"/>
          <w:sz w:val="32"/>
          <w:szCs w:val="32"/>
          <w:lang w:eastAsia="zh-CN"/>
        </w:rPr>
        <w:t>县级</w:t>
      </w:r>
      <w:r>
        <w:rPr>
          <w:rFonts w:hint="eastAsia" w:ascii="仿宋" w:hAnsi="仿宋" w:eastAsia="仿宋" w:cs="方正仿宋_GBK"/>
          <w:sz w:val="32"/>
          <w:szCs w:val="32"/>
        </w:rPr>
        <w:t>品牌社会组织，培育在全</w:t>
      </w:r>
      <w:r>
        <w:rPr>
          <w:rFonts w:hint="eastAsia" w:ascii="仿宋" w:hAnsi="仿宋" w:eastAsia="仿宋" w:cs="方正仿宋_GBK"/>
          <w:sz w:val="32"/>
          <w:szCs w:val="32"/>
          <w:lang w:eastAsia="zh-CN"/>
        </w:rPr>
        <w:t>县</w:t>
      </w:r>
      <w:r>
        <w:rPr>
          <w:rFonts w:hint="eastAsia" w:ascii="仿宋" w:hAnsi="仿宋" w:eastAsia="仿宋" w:cs="方正仿宋_GBK"/>
          <w:sz w:val="32"/>
          <w:szCs w:val="32"/>
        </w:rPr>
        <w:t>影响力大、认可度高的社会组织</w:t>
      </w:r>
      <w:r>
        <w:rPr>
          <w:rFonts w:hint="eastAsia" w:ascii="仿宋" w:hAnsi="仿宋" w:eastAsia="仿宋" w:cs="方正仿宋_GBK"/>
          <w:sz w:val="32"/>
          <w:szCs w:val="32"/>
          <w:lang w:eastAsia="zh-CN"/>
        </w:rPr>
        <w:t>。</w:t>
      </w:r>
    </w:p>
    <w:p>
      <w:pPr>
        <w:spacing w:line="560" w:lineRule="exact"/>
        <w:ind w:firstLine="800" w:firstLineChars="250"/>
        <w:rPr>
          <w:rFonts w:hint="eastAsia" w:ascii="黑体" w:hAnsi="黑体" w:eastAsia="黑体" w:cs="黑体"/>
          <w:sz w:val="32"/>
          <w:szCs w:val="32"/>
        </w:rPr>
      </w:pPr>
      <w:r>
        <w:rPr>
          <w:rFonts w:hint="eastAsia" w:ascii="黑体" w:hAnsi="黑体" w:eastAsia="黑体" w:cs="黑体"/>
          <w:sz w:val="32"/>
          <w:szCs w:val="32"/>
        </w:rPr>
        <w:t>（三）工作保障措施</w:t>
      </w:r>
    </w:p>
    <w:p>
      <w:pPr>
        <w:autoSpaceDE w:val="0"/>
        <w:ind w:firstLine="643" w:firstLineChars="200"/>
        <w:jc w:val="left"/>
        <w:rPr>
          <w:rFonts w:hint="eastAsia" w:ascii="仿宋" w:hAnsi="仿宋" w:eastAsia="仿宋" w:cs="方正仿宋_GBK"/>
          <w:sz w:val="32"/>
          <w:szCs w:val="32"/>
        </w:rPr>
      </w:pPr>
      <w:r>
        <w:rPr>
          <w:rFonts w:hint="eastAsia" w:ascii="仿宋" w:hAnsi="仿宋" w:eastAsia="仿宋" w:cs="方正仿宋_GBK"/>
          <w:b/>
          <w:bCs/>
          <w:sz w:val="32"/>
          <w:szCs w:val="32"/>
        </w:rPr>
        <w:t>1、完善制度，建立高效工作机制。</w:t>
      </w:r>
      <w:r>
        <w:rPr>
          <w:rFonts w:hint="eastAsia" w:ascii="仿宋" w:hAnsi="仿宋" w:eastAsia="仿宋" w:cs="方正仿宋_GBK"/>
          <w:sz w:val="32"/>
          <w:szCs w:val="32"/>
        </w:rPr>
        <w:t>通过完善困难群众基本保障协调机制、精准认定精准核查机制、保障标准自然增长机制、养老服务机构星级评定机制、基层社会治理创新机制等，逐渐建立起适应我</w:t>
      </w:r>
      <w:r>
        <w:rPr>
          <w:rFonts w:hint="eastAsia" w:ascii="仿宋" w:hAnsi="仿宋" w:eastAsia="仿宋" w:cs="方正仿宋_GBK"/>
          <w:sz w:val="32"/>
          <w:szCs w:val="32"/>
          <w:lang w:eastAsia="zh-CN"/>
        </w:rPr>
        <w:t>县</w:t>
      </w:r>
      <w:r>
        <w:rPr>
          <w:rFonts w:hint="eastAsia" w:ascii="仿宋" w:hAnsi="仿宋" w:eastAsia="仿宋" w:cs="方正仿宋_GBK"/>
          <w:sz w:val="32"/>
          <w:szCs w:val="32"/>
        </w:rPr>
        <w:t>经济与社会发展，适应人民群众生活需求的比较完善的城乡社会保障、社会服务和社会治理体系，促进全</w:t>
      </w:r>
      <w:r>
        <w:rPr>
          <w:rFonts w:hint="eastAsia" w:ascii="仿宋" w:hAnsi="仿宋" w:eastAsia="仿宋" w:cs="方正仿宋_GBK"/>
          <w:sz w:val="32"/>
          <w:szCs w:val="32"/>
          <w:lang w:eastAsia="zh-CN"/>
        </w:rPr>
        <w:t>县</w:t>
      </w:r>
      <w:r>
        <w:rPr>
          <w:rFonts w:hint="eastAsia" w:ascii="仿宋" w:hAnsi="仿宋" w:eastAsia="仿宋" w:cs="方正仿宋_GBK"/>
          <w:sz w:val="32"/>
          <w:szCs w:val="32"/>
        </w:rPr>
        <w:t>经济与社会又好又快发展。</w:t>
      </w:r>
    </w:p>
    <w:p>
      <w:pPr>
        <w:autoSpaceDE w:val="0"/>
        <w:ind w:firstLine="643" w:firstLineChars="200"/>
        <w:jc w:val="left"/>
        <w:rPr>
          <w:rFonts w:hint="eastAsia" w:ascii="仿宋" w:hAnsi="仿宋" w:eastAsia="仿宋" w:cs="方正仿宋_GBK"/>
          <w:sz w:val="32"/>
          <w:szCs w:val="32"/>
        </w:rPr>
      </w:pPr>
      <w:r>
        <w:rPr>
          <w:rFonts w:hint="eastAsia" w:ascii="仿宋" w:hAnsi="仿宋" w:eastAsia="仿宋" w:cs="方正仿宋_GBK"/>
          <w:b/>
          <w:bCs/>
          <w:sz w:val="32"/>
          <w:szCs w:val="32"/>
        </w:rPr>
        <w:t>2、注重实效，加强预算绩效管理。</w:t>
      </w:r>
      <w:r>
        <w:rPr>
          <w:rFonts w:hint="eastAsia" w:ascii="仿宋" w:hAnsi="仿宋" w:eastAsia="仿宋" w:cs="方正仿宋_GBK"/>
          <w:sz w:val="32"/>
          <w:szCs w:val="32"/>
        </w:rPr>
        <w:t>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pPr>
        <w:autoSpaceDE w:val="0"/>
        <w:ind w:firstLine="643" w:firstLineChars="200"/>
        <w:jc w:val="left"/>
        <w:rPr>
          <w:rFonts w:hint="eastAsia" w:ascii="仿宋" w:hAnsi="仿宋" w:eastAsia="仿宋" w:cs="方正仿宋_GBK"/>
          <w:sz w:val="32"/>
          <w:szCs w:val="32"/>
        </w:rPr>
      </w:pPr>
      <w:r>
        <w:rPr>
          <w:rFonts w:hint="eastAsia" w:ascii="仿宋" w:hAnsi="仿宋" w:eastAsia="仿宋" w:cs="方正仿宋_GBK"/>
          <w:b/>
          <w:bCs/>
          <w:sz w:val="32"/>
          <w:szCs w:val="32"/>
        </w:rPr>
        <w:t>3、精编预算，做好专项资金保障。</w:t>
      </w:r>
      <w:r>
        <w:rPr>
          <w:rFonts w:hint="eastAsia" w:ascii="仿宋" w:hAnsi="仿宋" w:eastAsia="仿宋" w:cs="方正仿宋_GBK"/>
          <w:sz w:val="32"/>
          <w:szCs w:val="32"/>
        </w:rPr>
        <w:t>预算安排首先要落实党和国家的各项民生政策，突出重点、注重绩效，合理安排一般公共预算、政府性基金和部门其他收入。对涉及个人和家庭补贴等方面有明确政策规定和标准调整的支出据实编制，确保城乡困难群众基本生活。对落实政策的奖补类项目、保障部门履行职责所需经费、政府购买社会服务项目和一些绩效评估结果较好的专项项目，区分轻重缓急，统筹安排。直属单位承担着部分民生保障任务和管理职能，其履行职责所需专项资金给予基本保障，建设所需经费给予必要的资金支持。通过编细编实预算，优化支出结构，加快履行政府采购手续，按规定及时下达资金等多种措施，确保支出进度达标，及时发挥财政资金效益。</w:t>
      </w:r>
    </w:p>
    <w:p>
      <w:pPr>
        <w:autoSpaceDE w:val="0"/>
        <w:ind w:firstLine="643" w:firstLineChars="200"/>
        <w:jc w:val="left"/>
        <w:rPr>
          <w:rFonts w:hint="eastAsia" w:ascii="仿宋" w:hAnsi="仿宋" w:eastAsia="仿宋" w:cs="方正仿宋_GBK"/>
          <w:sz w:val="32"/>
          <w:szCs w:val="32"/>
        </w:rPr>
      </w:pPr>
      <w:r>
        <w:rPr>
          <w:rFonts w:hint="eastAsia" w:ascii="仿宋" w:hAnsi="仿宋" w:eastAsia="仿宋" w:cs="方正仿宋_GBK"/>
          <w:b/>
          <w:bCs/>
          <w:sz w:val="32"/>
          <w:szCs w:val="32"/>
        </w:rPr>
        <w:t>4、补齐短板，加强基础设施建设。</w:t>
      </w:r>
      <w:r>
        <w:rPr>
          <w:rFonts w:hint="eastAsia" w:ascii="仿宋" w:hAnsi="仿宋" w:eastAsia="仿宋" w:cs="方正仿宋_GBK"/>
          <w:sz w:val="32"/>
          <w:szCs w:val="32"/>
        </w:rPr>
        <w:t>认真贯彻落实国务院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pPr>
        <w:autoSpaceDE w:val="0"/>
        <w:ind w:firstLine="643" w:firstLineChars="200"/>
        <w:jc w:val="left"/>
        <w:rPr>
          <w:rFonts w:hint="eastAsia" w:ascii="仿宋" w:hAnsi="仿宋" w:eastAsia="仿宋" w:cs="方正仿宋_GBK"/>
          <w:sz w:val="32"/>
          <w:szCs w:val="32"/>
        </w:rPr>
      </w:pPr>
      <w:r>
        <w:rPr>
          <w:rFonts w:hint="eastAsia" w:ascii="仿宋" w:hAnsi="仿宋" w:eastAsia="仿宋" w:cs="方正仿宋_GBK"/>
          <w:b/>
          <w:bCs/>
          <w:sz w:val="32"/>
          <w:szCs w:val="32"/>
        </w:rPr>
        <w:t>5、加强培训，提高基层服务能力。</w:t>
      </w:r>
      <w:r>
        <w:rPr>
          <w:rFonts w:hint="eastAsia" w:ascii="仿宋" w:hAnsi="仿宋" w:eastAsia="仿宋" w:cs="方正仿宋_GBK"/>
          <w:sz w:val="32"/>
          <w:szCs w:val="32"/>
        </w:rPr>
        <w:t xml:space="preserve">随着党和政府对民生工作的重视程度不断加强，人民群众期的盼也越来越高，民政干部在履职尽责过程中不同程度地存在“能力不足”、“本领恐慌”问题。因此，通过对基层民政工作人员，如低保核查管理员、养老院工作人员、婚姻收养登记员、救助管理机构工作人员、儿童福利院工作人员，殡仪馆工作人员等开展业务技能专项培训，不断提高基层民政队伍素质和服务能力。 </w:t>
      </w:r>
    </w:p>
    <w:p>
      <w:pPr>
        <w:autoSpaceDE w:val="0"/>
        <w:ind w:firstLine="643" w:firstLineChars="200"/>
        <w:jc w:val="left"/>
        <w:rPr>
          <w:rFonts w:hint="eastAsia" w:ascii="仿宋" w:hAnsi="仿宋" w:eastAsia="仿宋" w:cs="方正仿宋_GBK"/>
          <w:sz w:val="32"/>
          <w:szCs w:val="32"/>
        </w:rPr>
      </w:pPr>
      <w:r>
        <w:rPr>
          <w:rFonts w:hint="eastAsia" w:ascii="仿宋" w:hAnsi="仿宋" w:eastAsia="仿宋" w:cs="方正仿宋_GBK"/>
          <w:b/>
          <w:bCs/>
          <w:sz w:val="32"/>
          <w:szCs w:val="32"/>
        </w:rPr>
        <w:t>6、丰富手段，提高信息化水平。</w:t>
      </w:r>
      <w:r>
        <w:rPr>
          <w:rFonts w:hint="eastAsia" w:ascii="仿宋" w:hAnsi="仿宋" w:eastAsia="仿宋" w:cs="方正仿宋_GBK"/>
          <w:sz w:val="32"/>
          <w:szCs w:val="32"/>
        </w:rPr>
        <w:t>通过社会救助信息管理平台（二期）建设，集成养老信息管理系统、基层政权和社区建设系统、互联网+民政服务平台、民政数据共享服务一体化信息管理平台，加强新媒体宣传及公众号发布等现代化信息手段，推动民政管理创新和公共服务方式转变，完满完成各项任务目标。</w:t>
      </w:r>
    </w:p>
    <w:p>
      <w:pPr>
        <w:autoSpaceDE w:val="0"/>
        <w:ind w:firstLine="643" w:firstLineChars="200"/>
        <w:jc w:val="left"/>
        <w:rPr>
          <w:rFonts w:hint="eastAsia" w:ascii="仿宋" w:hAnsi="仿宋" w:eastAsia="仿宋" w:cs="方正仿宋_GBK"/>
          <w:sz w:val="32"/>
          <w:szCs w:val="32"/>
        </w:rPr>
      </w:pPr>
      <w:r>
        <w:rPr>
          <w:rFonts w:hint="eastAsia" w:ascii="仿宋" w:hAnsi="仿宋" w:eastAsia="仿宋" w:cs="方正仿宋_GBK"/>
          <w:b/>
          <w:bCs/>
          <w:sz w:val="32"/>
          <w:szCs w:val="32"/>
        </w:rPr>
        <w:t>7、加强内控，规范财务资产管理。</w:t>
      </w:r>
      <w:r>
        <w:rPr>
          <w:rFonts w:hint="eastAsia" w:ascii="仿宋" w:hAnsi="仿宋" w:eastAsia="仿宋" w:cs="方正仿宋_GBK"/>
          <w:sz w:val="32"/>
          <w:szCs w:val="32"/>
        </w:rPr>
        <w:t>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pPr>
        <w:spacing w:line="560" w:lineRule="exact"/>
        <w:ind w:firstLine="640" w:firstLineChars="200"/>
        <w:jc w:val="left"/>
        <w:outlineLvl w:val="0"/>
        <w:rPr>
          <w:rFonts w:ascii="??_GB2312" w:hAnsi="黑体" w:cs="??_GB2312" w:eastAsiaTheme="minorEastAsia"/>
          <w:b/>
          <w:bCs/>
          <w:sz w:val="32"/>
          <w:szCs w:val="32"/>
        </w:rPr>
      </w:pPr>
      <w:r>
        <w:rPr>
          <w:rFonts w:ascii="??_GB2312" w:hAnsi="黑体" w:eastAsia="Times New Roman" w:cs="??_GB2312"/>
          <w:b/>
          <w:bCs/>
          <w:sz w:val="32"/>
          <w:szCs w:val="32"/>
        </w:rPr>
        <w:t>部门职责及工作活动绩效目标指标：</w:t>
      </w:r>
    </w:p>
    <w:p>
      <w:pPr>
        <w:spacing w:line="560" w:lineRule="exact"/>
        <w:ind w:firstLine="643" w:firstLineChars="200"/>
        <w:jc w:val="left"/>
        <w:outlineLvl w:val="0"/>
        <w:rPr>
          <w:rFonts w:ascii="??_GB2312" w:hAnsi="Times New Roman" w:cs="Times New Roman" w:eastAsiaTheme="minorEastAsia"/>
          <w:b/>
          <w:bCs/>
          <w:sz w:val="32"/>
          <w:szCs w:val="32"/>
        </w:rPr>
      </w:pPr>
    </w:p>
    <w:p>
      <w:pPr>
        <w:spacing w:line="560" w:lineRule="exact"/>
        <w:jc w:val="center"/>
        <w:outlineLvl w:val="0"/>
        <w:rPr>
          <w:rFonts w:ascii="宋体" w:hAnsi="宋体" w:eastAsia="宋体" w:cs="Times New Roman"/>
          <w:sz w:val="32"/>
          <w:szCs w:val="32"/>
        </w:rPr>
      </w:pPr>
      <w:r>
        <w:rPr>
          <w:rFonts w:hint="eastAsia" w:ascii="宋体" w:hAnsi="宋体" w:eastAsia="宋体" w:cs="方正小标宋_GBK"/>
          <w:sz w:val="32"/>
          <w:szCs w:val="32"/>
        </w:rPr>
        <w:t>部门职责</w:t>
      </w:r>
      <w:r>
        <w:rPr>
          <w:rFonts w:ascii="宋体" w:hAnsi="宋体" w:eastAsia="宋体" w:cs="方正小标宋_GBK"/>
          <w:sz w:val="32"/>
          <w:szCs w:val="32"/>
        </w:rPr>
        <w:t>-</w:t>
      </w:r>
      <w:r>
        <w:rPr>
          <w:rFonts w:hint="eastAsia" w:ascii="宋体" w:hAnsi="宋体" w:eastAsia="宋体" w:cs="方正小标宋_GBK"/>
          <w:sz w:val="32"/>
          <w:szCs w:val="32"/>
        </w:rPr>
        <w:t>工作活动绩效目标</w:t>
      </w:r>
      <w:bookmarkEnd w:id="0"/>
    </w:p>
    <w:tbl>
      <w:tblPr>
        <w:tblStyle w:val="4"/>
        <w:tblW w:w="127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4"/>
        <w:gridCol w:w="1134"/>
        <w:gridCol w:w="3313"/>
        <w:gridCol w:w="1932"/>
        <w:gridCol w:w="1730"/>
        <w:gridCol w:w="775"/>
        <w:gridCol w:w="738"/>
        <w:gridCol w:w="625"/>
        <w:gridCol w:w="6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953" w:type="dxa"/>
            <w:gridSpan w:val="5"/>
            <w:tcBorders>
              <w:top w:val="single" w:color="FFFFFF" w:sz="6" w:space="0"/>
              <w:left w:val="single" w:color="FFFFFF" w:sz="6" w:space="0"/>
              <w:right w:val="single" w:color="FFFFFF" w:sz="6" w:space="0"/>
            </w:tcBorders>
            <w:vAlign w:val="center"/>
          </w:tcPr>
          <w:p>
            <w:pPr>
              <w:spacing w:line="560" w:lineRule="exact"/>
              <w:jc w:val="left"/>
              <w:rPr>
                <w:rFonts w:ascii="宋体" w:hAnsi="宋体" w:eastAsia="宋体" w:cs="Times New Roman"/>
                <w:sz w:val="24"/>
                <w:szCs w:val="24"/>
              </w:rPr>
            </w:pPr>
            <w:r>
              <w:rPr>
                <w:rFonts w:hint="eastAsia" w:ascii="宋体" w:hAnsi="宋体" w:eastAsia="宋体" w:cs="方正小标宋_GBK"/>
                <w:sz w:val="24"/>
                <w:szCs w:val="24"/>
              </w:rPr>
              <w:t>部门（单位）名称：314成安县民政局</w:t>
            </w:r>
          </w:p>
        </w:tc>
        <w:tc>
          <w:tcPr>
            <w:tcW w:w="2803" w:type="dxa"/>
            <w:gridSpan w:val="4"/>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sz w:val="24"/>
                <w:szCs w:val="24"/>
              </w:rPr>
            </w:pPr>
            <w:r>
              <w:rPr>
                <w:rFonts w:hint="eastAsia" w:ascii="宋体" w:hAnsi="宋体" w:eastAsia="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844" w:type="dxa"/>
            <w:vMerge w:val="restart"/>
            <w:vAlign w:val="center"/>
          </w:tcPr>
          <w:p>
            <w:pPr>
              <w:spacing w:line="560" w:lineRule="exact"/>
              <w:jc w:val="center"/>
              <w:rPr>
                <w:rFonts w:ascii="宋体" w:hAnsi="宋体" w:eastAsia="宋体" w:cs="Times New Roman"/>
                <w:sz w:val="24"/>
                <w:szCs w:val="24"/>
              </w:rPr>
            </w:pPr>
            <w:r>
              <w:rPr>
                <w:rFonts w:hint="eastAsia" w:ascii="宋体" w:hAnsi="宋体" w:eastAsia="宋体" w:cs="方正书宋_GBK"/>
                <w:b/>
                <w:bCs/>
                <w:sz w:val="24"/>
                <w:szCs w:val="24"/>
              </w:rPr>
              <w:t>职责活动</w:t>
            </w:r>
          </w:p>
        </w:tc>
        <w:tc>
          <w:tcPr>
            <w:tcW w:w="1134" w:type="dxa"/>
            <w:vMerge w:val="restart"/>
            <w:vAlign w:val="center"/>
          </w:tcPr>
          <w:p>
            <w:pPr>
              <w:spacing w:line="560" w:lineRule="exact"/>
              <w:jc w:val="center"/>
              <w:rPr>
                <w:rFonts w:ascii="宋体" w:hAnsi="宋体" w:eastAsia="宋体" w:cs="Times New Roman"/>
                <w:b/>
                <w:bCs/>
                <w:sz w:val="24"/>
                <w:szCs w:val="24"/>
              </w:rPr>
            </w:pPr>
            <w:r>
              <w:rPr>
                <w:rFonts w:hint="eastAsia" w:ascii="宋体" w:hAnsi="宋体" w:eastAsia="宋体" w:cs="方正书宋_GBK"/>
                <w:b/>
                <w:bCs/>
                <w:sz w:val="24"/>
                <w:szCs w:val="24"/>
              </w:rPr>
              <w:t>年度预算数</w:t>
            </w:r>
          </w:p>
        </w:tc>
        <w:tc>
          <w:tcPr>
            <w:tcW w:w="3313" w:type="dxa"/>
            <w:vMerge w:val="restart"/>
            <w:vAlign w:val="center"/>
          </w:tcPr>
          <w:p>
            <w:pPr>
              <w:spacing w:line="560" w:lineRule="exact"/>
              <w:jc w:val="center"/>
              <w:rPr>
                <w:rFonts w:ascii="宋体" w:hAnsi="宋体" w:eastAsia="宋体" w:cs="Times New Roman"/>
                <w:b/>
                <w:bCs/>
                <w:sz w:val="24"/>
                <w:szCs w:val="24"/>
              </w:rPr>
            </w:pPr>
            <w:r>
              <w:rPr>
                <w:rFonts w:hint="eastAsia" w:ascii="宋体" w:hAnsi="宋体" w:eastAsia="宋体" w:cs="方正书宋_GBK"/>
                <w:b/>
                <w:bCs/>
                <w:sz w:val="24"/>
                <w:szCs w:val="24"/>
              </w:rPr>
              <w:t>内容描述</w:t>
            </w:r>
          </w:p>
        </w:tc>
        <w:tc>
          <w:tcPr>
            <w:tcW w:w="1932" w:type="dxa"/>
            <w:vMerge w:val="restart"/>
            <w:vAlign w:val="center"/>
          </w:tcPr>
          <w:p>
            <w:pPr>
              <w:spacing w:line="560" w:lineRule="exact"/>
              <w:jc w:val="center"/>
              <w:rPr>
                <w:rFonts w:ascii="宋体" w:hAnsi="宋体" w:eastAsia="宋体" w:cs="Times New Roman"/>
                <w:b/>
                <w:bCs/>
                <w:sz w:val="24"/>
                <w:szCs w:val="24"/>
              </w:rPr>
            </w:pPr>
            <w:r>
              <w:rPr>
                <w:rFonts w:hint="eastAsia" w:ascii="宋体" w:hAnsi="宋体" w:eastAsia="宋体" w:cs="方正书宋_GBK"/>
                <w:b/>
                <w:bCs/>
                <w:sz w:val="24"/>
                <w:szCs w:val="24"/>
              </w:rPr>
              <w:t>绩效目标</w:t>
            </w:r>
          </w:p>
        </w:tc>
        <w:tc>
          <w:tcPr>
            <w:tcW w:w="1730" w:type="dxa"/>
            <w:vMerge w:val="restart"/>
            <w:vAlign w:val="center"/>
          </w:tcPr>
          <w:p>
            <w:pPr>
              <w:spacing w:line="560" w:lineRule="exact"/>
              <w:jc w:val="center"/>
              <w:rPr>
                <w:rFonts w:ascii="宋体" w:hAnsi="宋体" w:eastAsia="宋体" w:cs="Times New Roman"/>
                <w:b/>
                <w:bCs/>
                <w:sz w:val="24"/>
                <w:szCs w:val="24"/>
              </w:rPr>
            </w:pPr>
            <w:r>
              <w:rPr>
                <w:rFonts w:hint="eastAsia" w:ascii="宋体" w:hAnsi="宋体" w:eastAsia="宋体" w:cs="方正书宋_GBK"/>
                <w:b/>
                <w:bCs/>
                <w:sz w:val="24"/>
                <w:szCs w:val="24"/>
              </w:rPr>
              <w:t>绩效指标</w:t>
            </w:r>
          </w:p>
        </w:tc>
        <w:tc>
          <w:tcPr>
            <w:tcW w:w="2803" w:type="dxa"/>
            <w:gridSpan w:val="4"/>
            <w:vAlign w:val="center"/>
          </w:tcPr>
          <w:p>
            <w:pPr>
              <w:spacing w:line="560" w:lineRule="exact"/>
              <w:jc w:val="center"/>
              <w:rPr>
                <w:rFonts w:ascii="宋体" w:hAnsi="宋体" w:eastAsia="宋体" w:cs="Times New Roman"/>
                <w:b/>
                <w:bCs/>
                <w:sz w:val="24"/>
                <w:szCs w:val="24"/>
              </w:rPr>
            </w:pPr>
            <w:r>
              <w:rPr>
                <w:rFonts w:hint="eastAsia" w:ascii="宋体" w:hAnsi="宋体" w:eastAsia="宋体" w:cs="方正书宋_GBK"/>
                <w:b/>
                <w:bCs/>
                <w:sz w:val="24"/>
                <w:szCs w:val="24"/>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844" w:type="dxa"/>
            <w:vMerge w:val="continue"/>
            <w:vAlign w:val="center"/>
          </w:tcPr>
          <w:p>
            <w:pPr>
              <w:spacing w:line="560" w:lineRule="exact"/>
              <w:jc w:val="left"/>
              <w:outlineLvl w:val="0"/>
              <w:rPr>
                <w:rFonts w:ascii="宋体" w:hAnsi="宋体" w:eastAsia="宋体" w:cs="Times New Roman"/>
                <w:sz w:val="24"/>
                <w:szCs w:val="24"/>
              </w:rPr>
            </w:pPr>
          </w:p>
        </w:tc>
        <w:tc>
          <w:tcPr>
            <w:tcW w:w="1134" w:type="dxa"/>
            <w:vMerge w:val="continue"/>
            <w:vAlign w:val="center"/>
          </w:tcPr>
          <w:p>
            <w:pPr>
              <w:spacing w:line="560" w:lineRule="exact"/>
              <w:jc w:val="left"/>
              <w:outlineLvl w:val="0"/>
              <w:rPr>
                <w:rFonts w:ascii="宋体" w:hAnsi="宋体" w:eastAsia="宋体" w:cs="Times New Roman"/>
                <w:sz w:val="24"/>
                <w:szCs w:val="24"/>
              </w:rPr>
            </w:pPr>
          </w:p>
        </w:tc>
        <w:tc>
          <w:tcPr>
            <w:tcW w:w="3313" w:type="dxa"/>
            <w:vMerge w:val="continue"/>
            <w:vAlign w:val="center"/>
          </w:tcPr>
          <w:p>
            <w:pPr>
              <w:spacing w:line="560" w:lineRule="exact"/>
              <w:jc w:val="left"/>
              <w:outlineLvl w:val="0"/>
              <w:rPr>
                <w:rFonts w:ascii="宋体" w:hAnsi="宋体" w:eastAsia="宋体" w:cs="Times New Roman"/>
                <w:sz w:val="24"/>
                <w:szCs w:val="24"/>
              </w:rPr>
            </w:pPr>
          </w:p>
        </w:tc>
        <w:tc>
          <w:tcPr>
            <w:tcW w:w="1932" w:type="dxa"/>
            <w:vMerge w:val="continue"/>
            <w:vAlign w:val="center"/>
          </w:tcPr>
          <w:p>
            <w:pPr>
              <w:spacing w:line="560" w:lineRule="exact"/>
              <w:jc w:val="left"/>
              <w:outlineLvl w:val="0"/>
              <w:rPr>
                <w:rFonts w:ascii="宋体" w:hAnsi="宋体" w:eastAsia="宋体" w:cs="Times New Roman"/>
                <w:sz w:val="24"/>
                <w:szCs w:val="24"/>
              </w:rPr>
            </w:pPr>
          </w:p>
        </w:tc>
        <w:tc>
          <w:tcPr>
            <w:tcW w:w="1730" w:type="dxa"/>
            <w:vMerge w:val="continue"/>
            <w:vAlign w:val="center"/>
          </w:tcPr>
          <w:p>
            <w:pPr>
              <w:spacing w:line="560" w:lineRule="exact"/>
              <w:jc w:val="left"/>
              <w:outlineLvl w:val="0"/>
              <w:rPr>
                <w:rFonts w:ascii="宋体" w:hAnsi="宋体" w:eastAsia="宋体" w:cs="Times New Roman"/>
                <w:sz w:val="24"/>
                <w:szCs w:val="24"/>
              </w:rPr>
            </w:pPr>
          </w:p>
        </w:tc>
        <w:tc>
          <w:tcPr>
            <w:tcW w:w="775" w:type="dxa"/>
            <w:vAlign w:val="center"/>
          </w:tcPr>
          <w:p>
            <w:pPr>
              <w:spacing w:line="560" w:lineRule="exact"/>
              <w:jc w:val="center"/>
              <w:rPr>
                <w:rFonts w:ascii="宋体" w:hAnsi="宋体" w:eastAsia="宋体" w:cs="Times New Roman"/>
                <w:b/>
                <w:bCs/>
                <w:sz w:val="24"/>
                <w:szCs w:val="24"/>
              </w:rPr>
            </w:pPr>
            <w:r>
              <w:rPr>
                <w:rFonts w:hint="eastAsia" w:ascii="宋体" w:hAnsi="宋体" w:eastAsia="宋体" w:cs="方正书宋_GBK"/>
                <w:b/>
                <w:bCs/>
                <w:sz w:val="24"/>
                <w:szCs w:val="24"/>
              </w:rPr>
              <w:t>优</w:t>
            </w:r>
          </w:p>
        </w:tc>
        <w:tc>
          <w:tcPr>
            <w:tcW w:w="738" w:type="dxa"/>
            <w:vAlign w:val="center"/>
          </w:tcPr>
          <w:p>
            <w:pPr>
              <w:spacing w:line="560" w:lineRule="exact"/>
              <w:jc w:val="center"/>
              <w:rPr>
                <w:rFonts w:ascii="宋体" w:hAnsi="宋体" w:eastAsia="宋体" w:cs="Times New Roman"/>
                <w:b/>
                <w:bCs/>
                <w:sz w:val="24"/>
                <w:szCs w:val="24"/>
              </w:rPr>
            </w:pPr>
            <w:r>
              <w:rPr>
                <w:rFonts w:hint="eastAsia" w:ascii="宋体" w:hAnsi="宋体" w:eastAsia="宋体" w:cs="方正书宋_GBK"/>
                <w:b/>
                <w:bCs/>
                <w:sz w:val="24"/>
                <w:szCs w:val="24"/>
              </w:rPr>
              <w:t>良</w:t>
            </w:r>
          </w:p>
        </w:tc>
        <w:tc>
          <w:tcPr>
            <w:tcW w:w="625" w:type="dxa"/>
            <w:vAlign w:val="center"/>
          </w:tcPr>
          <w:p>
            <w:pPr>
              <w:spacing w:line="560" w:lineRule="exact"/>
              <w:jc w:val="center"/>
              <w:rPr>
                <w:rFonts w:ascii="宋体" w:hAnsi="宋体" w:eastAsia="宋体" w:cs="Times New Roman"/>
                <w:b/>
                <w:bCs/>
                <w:sz w:val="24"/>
                <w:szCs w:val="24"/>
              </w:rPr>
            </w:pPr>
            <w:r>
              <w:rPr>
                <w:rFonts w:hint="eastAsia" w:ascii="宋体" w:hAnsi="宋体" w:eastAsia="宋体" w:cs="方正书宋_GBK"/>
                <w:b/>
                <w:bCs/>
                <w:sz w:val="24"/>
                <w:szCs w:val="24"/>
              </w:rPr>
              <w:t>中</w:t>
            </w:r>
          </w:p>
        </w:tc>
        <w:tc>
          <w:tcPr>
            <w:tcW w:w="665" w:type="dxa"/>
            <w:vAlign w:val="center"/>
          </w:tcPr>
          <w:p>
            <w:pPr>
              <w:spacing w:line="560" w:lineRule="exact"/>
              <w:jc w:val="center"/>
              <w:rPr>
                <w:rFonts w:ascii="宋体" w:hAnsi="宋体" w:eastAsia="宋体" w:cs="Times New Roman"/>
                <w:b/>
                <w:bCs/>
                <w:sz w:val="24"/>
                <w:szCs w:val="24"/>
              </w:rPr>
            </w:pPr>
            <w:r>
              <w:rPr>
                <w:rFonts w:hint="eastAsia" w:ascii="宋体" w:hAnsi="宋体" w:eastAsia="宋体" w:cs="方正书宋_GBK"/>
                <w:b/>
                <w:bCs/>
                <w:sz w:val="24"/>
                <w:szCs w:val="24"/>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4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民政管理事务</w:t>
            </w:r>
          </w:p>
        </w:tc>
        <w:tc>
          <w:tcPr>
            <w:tcW w:w="113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497.53</w:t>
            </w:r>
          </w:p>
        </w:tc>
        <w:tc>
          <w:tcPr>
            <w:tcW w:w="3313" w:type="dxa"/>
            <w:vAlign w:val="center"/>
          </w:tcPr>
          <w:p>
            <w:pPr>
              <w:spacing w:line="340" w:lineRule="exact"/>
              <w:jc w:val="left"/>
              <w:rPr>
                <w:rFonts w:ascii="宋体" w:hAnsi="宋体" w:eastAsia="宋体" w:cs="Times New Roman"/>
                <w:sz w:val="24"/>
                <w:szCs w:val="24"/>
              </w:rPr>
            </w:pPr>
            <w:r>
              <w:rPr>
                <w:rFonts w:hint="eastAsia" w:ascii="宋体" w:hAnsi="宋体" w:eastAsia="宋体" w:cs="Times New Roman"/>
                <w:sz w:val="24"/>
                <w:szCs w:val="24"/>
              </w:rPr>
              <w:t>承担社会救助体系建设，负责城乡居民最低生活保障、五保供养、医疗救助</w:t>
            </w:r>
          </w:p>
        </w:tc>
        <w:tc>
          <w:tcPr>
            <w:tcW w:w="1932" w:type="dxa"/>
            <w:vAlign w:val="center"/>
          </w:tcPr>
          <w:p>
            <w:pPr>
              <w:spacing w:line="340" w:lineRule="exact"/>
              <w:jc w:val="left"/>
              <w:rPr>
                <w:rFonts w:ascii="宋体" w:hAnsi="宋体" w:eastAsia="宋体" w:cs="Times New Roman"/>
                <w:sz w:val="24"/>
                <w:szCs w:val="24"/>
              </w:rPr>
            </w:pPr>
            <w:r>
              <w:rPr>
                <w:rFonts w:hint="eastAsia" w:ascii="宋体" w:hAnsi="宋体" w:eastAsia="宋体" w:cs="Times New Roman"/>
                <w:sz w:val="24"/>
                <w:szCs w:val="24"/>
              </w:rPr>
              <w:t>完善城乡社会救助制度，实施分类救助，应保尽保</w:t>
            </w:r>
            <w:r>
              <w:rPr>
                <w:rFonts w:ascii="宋体" w:hAnsi="宋体" w:eastAsia="宋体" w:cs="Times New Roman"/>
                <w:sz w:val="24"/>
                <w:szCs w:val="24"/>
              </w:rPr>
              <w:t>,动态管理。</w:t>
            </w:r>
          </w:p>
        </w:tc>
        <w:tc>
          <w:tcPr>
            <w:tcW w:w="1730" w:type="dxa"/>
            <w:vAlign w:val="center"/>
          </w:tcPr>
          <w:p>
            <w:pPr>
              <w:spacing w:line="340" w:lineRule="exact"/>
              <w:jc w:val="left"/>
              <w:rPr>
                <w:rFonts w:ascii="宋体" w:hAnsi="宋体" w:eastAsia="宋体" w:cs="Times New Roman"/>
                <w:sz w:val="24"/>
                <w:szCs w:val="24"/>
              </w:rPr>
            </w:pPr>
            <w:r>
              <w:rPr>
                <w:rFonts w:hint="eastAsia" w:ascii="宋体" w:hAnsi="宋体" w:eastAsia="宋体" w:cs="Times New Roman"/>
                <w:sz w:val="24"/>
                <w:szCs w:val="24"/>
              </w:rPr>
              <w:t>城乡居民低保保障率；五保供养保障率生活救助到位率；参保资助率报销比例</w:t>
            </w:r>
          </w:p>
        </w:tc>
        <w:tc>
          <w:tcPr>
            <w:tcW w:w="775"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38"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≥90%</w:t>
            </w:r>
          </w:p>
        </w:tc>
        <w:tc>
          <w:tcPr>
            <w:tcW w:w="625"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≥80%</w:t>
            </w:r>
          </w:p>
        </w:tc>
        <w:tc>
          <w:tcPr>
            <w:tcW w:w="665"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44"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儿童福利</w:t>
            </w:r>
          </w:p>
        </w:tc>
        <w:tc>
          <w:tcPr>
            <w:tcW w:w="1134"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80</w:t>
            </w:r>
          </w:p>
        </w:tc>
        <w:tc>
          <w:tcPr>
            <w:tcW w:w="3313" w:type="dxa"/>
            <w:vAlign w:val="center"/>
          </w:tcPr>
          <w:p>
            <w:pPr>
              <w:spacing w:line="340" w:lineRule="exact"/>
              <w:jc w:val="left"/>
              <w:rPr>
                <w:rFonts w:ascii="宋体" w:hAnsi="宋体" w:eastAsia="宋体" w:cs="Times New Roman"/>
                <w:sz w:val="24"/>
                <w:szCs w:val="24"/>
              </w:rPr>
            </w:pPr>
            <w:r>
              <w:rPr>
                <w:rFonts w:hint="eastAsia" w:ascii="宋体" w:hAnsi="宋体" w:eastAsia="宋体" w:cs="Times New Roman"/>
                <w:sz w:val="24"/>
                <w:szCs w:val="24"/>
              </w:rPr>
              <w:t>保障孤儿基本生活，组织开展县级孤残儿童手术康复，推进儿童福利机构基础设施建设。</w:t>
            </w:r>
          </w:p>
        </w:tc>
        <w:tc>
          <w:tcPr>
            <w:tcW w:w="1932" w:type="dxa"/>
            <w:vAlign w:val="center"/>
          </w:tcPr>
          <w:p>
            <w:pPr>
              <w:spacing w:line="360" w:lineRule="exact"/>
              <w:jc w:val="left"/>
              <w:rPr>
                <w:rFonts w:ascii="宋体" w:hAnsi="宋体" w:eastAsia="宋体" w:cs="Times New Roman"/>
                <w:sz w:val="24"/>
                <w:szCs w:val="24"/>
              </w:rPr>
            </w:pPr>
            <w:r>
              <w:rPr>
                <w:rFonts w:hint="eastAsia" w:ascii="宋体" w:hAnsi="宋体" w:eastAsia="宋体" w:cs="Times New Roman"/>
                <w:sz w:val="24"/>
                <w:szCs w:val="24"/>
              </w:rPr>
              <w:t>孤儿基本生活条件保障到位，孤残儿童手术康复及时，儿童福利设施功能完善。</w:t>
            </w:r>
          </w:p>
        </w:tc>
        <w:tc>
          <w:tcPr>
            <w:tcW w:w="1730" w:type="dxa"/>
            <w:vAlign w:val="center"/>
          </w:tcPr>
          <w:p>
            <w:pPr>
              <w:spacing w:line="360" w:lineRule="exact"/>
              <w:jc w:val="left"/>
              <w:rPr>
                <w:rFonts w:ascii="宋体" w:hAnsi="宋体" w:eastAsia="宋体" w:cs="Times New Roman"/>
                <w:sz w:val="24"/>
                <w:szCs w:val="24"/>
              </w:rPr>
            </w:pPr>
            <w:r>
              <w:rPr>
                <w:rFonts w:hint="eastAsia" w:ascii="宋体" w:hAnsi="宋体" w:eastAsia="宋体" w:cs="Times New Roman"/>
                <w:sz w:val="24"/>
                <w:szCs w:val="24"/>
              </w:rPr>
              <w:t>县级儿童福利机构建设按时建成率；孤儿基本生活保障率；儿童得到及时救治，手术治愈率</w:t>
            </w:r>
          </w:p>
        </w:tc>
        <w:tc>
          <w:tcPr>
            <w:tcW w:w="775"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38"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≥90%</w:t>
            </w:r>
          </w:p>
        </w:tc>
        <w:tc>
          <w:tcPr>
            <w:tcW w:w="625"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≥80%</w:t>
            </w:r>
          </w:p>
        </w:tc>
        <w:tc>
          <w:tcPr>
            <w:tcW w:w="665"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4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老年福利</w:t>
            </w:r>
          </w:p>
        </w:tc>
        <w:tc>
          <w:tcPr>
            <w:tcW w:w="113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670.76</w:t>
            </w:r>
          </w:p>
        </w:tc>
        <w:tc>
          <w:tcPr>
            <w:tcW w:w="3313" w:type="dxa"/>
            <w:vAlign w:val="center"/>
          </w:tcPr>
          <w:p>
            <w:pPr>
              <w:spacing w:line="340" w:lineRule="exact"/>
              <w:jc w:val="left"/>
              <w:rPr>
                <w:rFonts w:ascii="宋体" w:hAnsi="宋体" w:eastAsia="宋体" w:cs="Times New Roman"/>
                <w:sz w:val="24"/>
                <w:szCs w:val="24"/>
              </w:rPr>
            </w:pPr>
            <w:r>
              <w:rPr>
                <w:rFonts w:hint="eastAsia" w:ascii="宋体" w:hAnsi="宋体" w:eastAsia="宋体" w:cs="Times New Roman"/>
                <w:sz w:val="24"/>
                <w:szCs w:val="24"/>
              </w:rPr>
              <w:t>落实老龄事业发展规划，加快养老服务设施建设；指导养老机构设立和管理工作；加快养老服务业发展，推进老年人福利健康快速发展。建立县级贫困失能老人护理补贴制度，实施爱心护理工程，积极落实高龄老年人津贴发放制度；做好九九重阳节慰问活动。</w:t>
            </w:r>
          </w:p>
        </w:tc>
        <w:tc>
          <w:tcPr>
            <w:tcW w:w="1932" w:type="dxa"/>
            <w:vAlign w:val="center"/>
          </w:tcPr>
          <w:p>
            <w:pPr>
              <w:spacing w:line="360" w:lineRule="exact"/>
              <w:jc w:val="left"/>
              <w:rPr>
                <w:rFonts w:ascii="宋体" w:hAnsi="宋体" w:eastAsia="宋体" w:cs="Times New Roman"/>
                <w:sz w:val="24"/>
                <w:szCs w:val="24"/>
              </w:rPr>
            </w:pPr>
            <w:r>
              <w:rPr>
                <w:rFonts w:hint="eastAsia" w:ascii="宋体" w:hAnsi="宋体" w:eastAsia="宋体" w:cs="Times New Roman"/>
                <w:sz w:val="24"/>
                <w:szCs w:val="24"/>
              </w:rPr>
              <w:t>全面建成居家为基础、社区为依托、机构为支撑，功能完善、规模适度、覆盖城乡的养老服务体系，实现我县老人老有所养，老有所依，老有所乐，老有所为的目标</w:t>
            </w:r>
          </w:p>
        </w:tc>
        <w:tc>
          <w:tcPr>
            <w:tcW w:w="1730" w:type="dxa"/>
            <w:vAlign w:val="center"/>
          </w:tcPr>
          <w:p>
            <w:pPr>
              <w:spacing w:line="360" w:lineRule="exact"/>
              <w:jc w:val="left"/>
              <w:rPr>
                <w:rFonts w:ascii="宋体" w:hAnsi="宋体" w:eastAsia="宋体" w:cs="Times New Roman"/>
                <w:sz w:val="24"/>
                <w:szCs w:val="24"/>
              </w:rPr>
            </w:pPr>
            <w:r>
              <w:rPr>
                <w:rFonts w:hint="eastAsia" w:ascii="宋体" w:hAnsi="宋体" w:eastAsia="宋体" w:cs="Times New Roman"/>
                <w:sz w:val="24"/>
                <w:szCs w:val="24"/>
              </w:rPr>
              <w:t>贫困失能老人护理补贴发放率；城乡居家养老服务中心建设奖补率；农村互助幸福院建设奖补率；养老机构一次性建设和运营奖补率</w:t>
            </w:r>
          </w:p>
        </w:tc>
        <w:tc>
          <w:tcPr>
            <w:tcW w:w="775"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38"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≥90%</w:t>
            </w:r>
          </w:p>
        </w:tc>
        <w:tc>
          <w:tcPr>
            <w:tcW w:w="625"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≥80%</w:t>
            </w:r>
          </w:p>
        </w:tc>
        <w:tc>
          <w:tcPr>
            <w:tcW w:w="665"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4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残疾人生活和护理补贴</w:t>
            </w:r>
          </w:p>
        </w:tc>
        <w:tc>
          <w:tcPr>
            <w:tcW w:w="113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500</w:t>
            </w:r>
          </w:p>
        </w:tc>
        <w:tc>
          <w:tcPr>
            <w:tcW w:w="3313"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对残疾人特殊群体权益保护，发展慈善事业</w:t>
            </w:r>
          </w:p>
        </w:tc>
        <w:tc>
          <w:tcPr>
            <w:tcW w:w="1932" w:type="dxa"/>
            <w:vAlign w:val="center"/>
          </w:tcPr>
          <w:p>
            <w:pPr>
              <w:spacing w:line="340" w:lineRule="exact"/>
              <w:jc w:val="left"/>
              <w:rPr>
                <w:rFonts w:ascii="宋体" w:hAnsi="宋体" w:eastAsia="宋体" w:cs="Times New Roman"/>
                <w:sz w:val="24"/>
                <w:szCs w:val="24"/>
              </w:rPr>
            </w:pPr>
            <w:r>
              <w:rPr>
                <w:rFonts w:hint="eastAsia" w:ascii="宋体" w:hAnsi="宋体" w:eastAsia="宋体" w:cs="Times New Roman"/>
                <w:sz w:val="24"/>
                <w:szCs w:val="24"/>
              </w:rPr>
              <w:t>对残疾人特殊群体权益保护，发展慈善事业，推进老年人福利健康快速发展。建立县级贫困失能老人护理补贴</w:t>
            </w:r>
          </w:p>
        </w:tc>
        <w:tc>
          <w:tcPr>
            <w:tcW w:w="1730" w:type="dxa"/>
            <w:vAlign w:val="center"/>
          </w:tcPr>
          <w:p>
            <w:pPr>
              <w:spacing w:line="340" w:lineRule="exact"/>
              <w:jc w:val="left"/>
              <w:rPr>
                <w:rFonts w:ascii="宋体" w:hAnsi="宋体" w:eastAsia="宋体" w:cs="Times New Roman"/>
                <w:sz w:val="24"/>
                <w:szCs w:val="24"/>
              </w:rPr>
            </w:pPr>
            <w:r>
              <w:rPr>
                <w:rFonts w:hint="eastAsia" w:ascii="宋体" w:hAnsi="宋体" w:eastAsia="宋体" w:cs="Times New Roman"/>
                <w:sz w:val="24"/>
                <w:szCs w:val="24"/>
              </w:rPr>
              <w:t>贫困失能老人护理补贴发放率；残疾人困难补贴、护理补贴</w:t>
            </w:r>
          </w:p>
        </w:tc>
        <w:tc>
          <w:tcPr>
            <w:tcW w:w="775"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38"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≥90%</w:t>
            </w:r>
          </w:p>
        </w:tc>
        <w:tc>
          <w:tcPr>
            <w:tcW w:w="625"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≥80%</w:t>
            </w:r>
          </w:p>
        </w:tc>
        <w:tc>
          <w:tcPr>
            <w:tcW w:w="665"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6" w:hRule="atLeast"/>
          <w:jc w:val="center"/>
        </w:trPr>
        <w:tc>
          <w:tcPr>
            <w:tcW w:w="184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殡葬</w:t>
            </w:r>
          </w:p>
        </w:tc>
        <w:tc>
          <w:tcPr>
            <w:tcW w:w="1134" w:type="dxa"/>
            <w:vAlign w:val="center"/>
          </w:tcPr>
          <w:p>
            <w:pPr>
              <w:spacing w:line="560" w:lineRule="exact"/>
              <w:jc w:val="left"/>
              <w:rPr>
                <w:rFonts w:ascii="宋体" w:hAnsi="宋体" w:eastAsia="宋体" w:cs="Times New Roman"/>
                <w:sz w:val="24"/>
                <w:szCs w:val="24"/>
              </w:rPr>
            </w:pPr>
            <w:r>
              <w:rPr>
                <w:rFonts w:ascii="宋体" w:hAnsi="宋体" w:eastAsia="宋体" w:cs="Times New Roman"/>
                <w:sz w:val="24"/>
                <w:szCs w:val="24"/>
              </w:rPr>
              <w:t>193.26</w:t>
            </w:r>
          </w:p>
        </w:tc>
        <w:tc>
          <w:tcPr>
            <w:tcW w:w="3313"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实行“三免一送”惠民政策（免遗体接送费、免火化费、免寄存费、送骨灰盒）</w:t>
            </w:r>
          </w:p>
        </w:tc>
        <w:tc>
          <w:tcPr>
            <w:tcW w:w="1932" w:type="dxa"/>
            <w:vAlign w:val="center"/>
          </w:tcPr>
          <w:p>
            <w:pPr>
              <w:spacing w:line="340" w:lineRule="exact"/>
              <w:jc w:val="left"/>
              <w:rPr>
                <w:rFonts w:ascii="宋体" w:hAnsi="宋体" w:eastAsia="宋体" w:cs="Times New Roman"/>
                <w:sz w:val="24"/>
                <w:szCs w:val="24"/>
              </w:rPr>
            </w:pPr>
            <w:r>
              <w:rPr>
                <w:rFonts w:hint="eastAsia" w:ascii="宋体" w:hAnsi="宋体" w:eastAsia="宋体" w:cs="Times New Roman"/>
                <w:sz w:val="24"/>
                <w:szCs w:val="24"/>
              </w:rPr>
              <w:t>推进我县殡葬改革，推动惠民殡葬政策落地落实，促进殡葬事业绿色健康有序发展。</w:t>
            </w:r>
          </w:p>
        </w:tc>
        <w:tc>
          <w:tcPr>
            <w:tcW w:w="1730" w:type="dxa"/>
            <w:vAlign w:val="center"/>
          </w:tcPr>
          <w:p>
            <w:pPr>
              <w:spacing w:line="340" w:lineRule="exact"/>
              <w:jc w:val="left"/>
              <w:rPr>
                <w:rFonts w:ascii="宋体" w:hAnsi="宋体" w:eastAsia="宋体" w:cs="Times New Roman"/>
                <w:sz w:val="24"/>
                <w:szCs w:val="24"/>
              </w:rPr>
            </w:pPr>
            <w:r>
              <w:rPr>
                <w:rFonts w:hint="eastAsia" w:ascii="宋体" w:hAnsi="宋体" w:eastAsia="宋体" w:cs="Times New Roman"/>
                <w:sz w:val="24"/>
                <w:szCs w:val="24"/>
              </w:rPr>
              <w:t>惠民火化率</w:t>
            </w:r>
          </w:p>
        </w:tc>
        <w:tc>
          <w:tcPr>
            <w:tcW w:w="775"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38"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≥90%</w:t>
            </w:r>
          </w:p>
        </w:tc>
        <w:tc>
          <w:tcPr>
            <w:tcW w:w="625"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≥80%</w:t>
            </w:r>
          </w:p>
        </w:tc>
        <w:tc>
          <w:tcPr>
            <w:tcW w:w="665"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4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农村最低生活保障金支出</w:t>
            </w:r>
          </w:p>
        </w:tc>
        <w:tc>
          <w:tcPr>
            <w:tcW w:w="113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2138</w:t>
            </w:r>
          </w:p>
        </w:tc>
        <w:tc>
          <w:tcPr>
            <w:tcW w:w="3313"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负责符合条件的城乡居民最低生活保障工作</w:t>
            </w:r>
          </w:p>
        </w:tc>
        <w:tc>
          <w:tcPr>
            <w:tcW w:w="1932" w:type="dxa"/>
            <w:vAlign w:val="center"/>
          </w:tcPr>
          <w:p>
            <w:pPr>
              <w:spacing w:line="340" w:lineRule="exact"/>
              <w:jc w:val="left"/>
              <w:rPr>
                <w:rFonts w:ascii="宋体" w:hAnsi="宋体" w:eastAsia="宋体" w:cs="Times New Roman"/>
                <w:sz w:val="24"/>
                <w:szCs w:val="24"/>
              </w:rPr>
            </w:pPr>
            <w:r>
              <w:rPr>
                <w:rFonts w:hint="eastAsia" w:ascii="宋体" w:hAnsi="宋体" w:eastAsia="宋体" w:cs="Times New Roman"/>
                <w:sz w:val="24"/>
                <w:szCs w:val="24"/>
              </w:rPr>
              <w:t>实行动态管理，做到应保尽保、应退尽退。</w:t>
            </w:r>
          </w:p>
        </w:tc>
        <w:tc>
          <w:tcPr>
            <w:tcW w:w="1730" w:type="dxa"/>
            <w:vAlign w:val="center"/>
          </w:tcPr>
          <w:p>
            <w:pPr>
              <w:spacing w:line="340" w:lineRule="exact"/>
              <w:jc w:val="left"/>
              <w:rPr>
                <w:rFonts w:ascii="宋体" w:hAnsi="宋体" w:eastAsia="宋体" w:cs="Times New Roman"/>
                <w:sz w:val="24"/>
                <w:szCs w:val="24"/>
              </w:rPr>
            </w:pPr>
            <w:r>
              <w:rPr>
                <w:rFonts w:hint="eastAsia" w:ascii="宋体" w:hAnsi="宋体" w:eastAsia="宋体" w:cs="Times New Roman"/>
                <w:sz w:val="24"/>
                <w:szCs w:val="24"/>
              </w:rPr>
              <w:t>城乡居民低保保障率</w:t>
            </w:r>
          </w:p>
        </w:tc>
        <w:tc>
          <w:tcPr>
            <w:tcW w:w="775"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38"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≥90%</w:t>
            </w:r>
          </w:p>
        </w:tc>
        <w:tc>
          <w:tcPr>
            <w:tcW w:w="625"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≥80%</w:t>
            </w:r>
          </w:p>
        </w:tc>
        <w:tc>
          <w:tcPr>
            <w:tcW w:w="665"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4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特困人员救助供养</w:t>
            </w:r>
          </w:p>
        </w:tc>
        <w:tc>
          <w:tcPr>
            <w:tcW w:w="1134"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865</w:t>
            </w:r>
          </w:p>
        </w:tc>
        <w:tc>
          <w:tcPr>
            <w:tcW w:w="3313"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负责农村五保户的集中供养和分散供养工作</w:t>
            </w:r>
          </w:p>
        </w:tc>
        <w:tc>
          <w:tcPr>
            <w:tcW w:w="1932" w:type="dxa"/>
            <w:vAlign w:val="center"/>
          </w:tcPr>
          <w:p>
            <w:pPr>
              <w:spacing w:line="340" w:lineRule="exact"/>
              <w:jc w:val="left"/>
              <w:rPr>
                <w:rFonts w:ascii="宋体" w:hAnsi="宋体" w:eastAsia="宋体" w:cs="Times New Roman"/>
                <w:sz w:val="24"/>
                <w:szCs w:val="24"/>
              </w:rPr>
            </w:pPr>
            <w:r>
              <w:rPr>
                <w:rFonts w:hint="eastAsia" w:ascii="宋体" w:hAnsi="宋体" w:eastAsia="宋体" w:cs="Times New Roman"/>
                <w:sz w:val="24"/>
                <w:szCs w:val="24"/>
              </w:rPr>
              <w:t>农村五保供养标准、集中供养能力逐步提高。</w:t>
            </w:r>
          </w:p>
        </w:tc>
        <w:tc>
          <w:tcPr>
            <w:tcW w:w="1730" w:type="dxa"/>
            <w:vAlign w:val="center"/>
          </w:tcPr>
          <w:p>
            <w:pPr>
              <w:spacing w:line="560" w:lineRule="exact"/>
              <w:jc w:val="left"/>
              <w:rPr>
                <w:rFonts w:ascii="宋体" w:hAnsi="宋体" w:eastAsia="宋体" w:cs="Times New Roman"/>
                <w:sz w:val="24"/>
                <w:szCs w:val="24"/>
              </w:rPr>
            </w:pPr>
            <w:r>
              <w:rPr>
                <w:rFonts w:hint="eastAsia" w:ascii="宋体" w:hAnsi="宋体" w:eastAsia="宋体" w:cs="Times New Roman"/>
                <w:sz w:val="24"/>
                <w:szCs w:val="24"/>
              </w:rPr>
              <w:t>五保供养保障率</w:t>
            </w:r>
          </w:p>
        </w:tc>
        <w:tc>
          <w:tcPr>
            <w:tcW w:w="775"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38"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≥90%</w:t>
            </w:r>
          </w:p>
        </w:tc>
        <w:tc>
          <w:tcPr>
            <w:tcW w:w="625"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≥80%</w:t>
            </w:r>
          </w:p>
        </w:tc>
        <w:tc>
          <w:tcPr>
            <w:tcW w:w="665" w:type="dxa"/>
            <w:vAlign w:val="center"/>
          </w:tcPr>
          <w:p>
            <w:pPr>
              <w:spacing w:line="560" w:lineRule="exact"/>
              <w:jc w:val="center"/>
              <w:rPr>
                <w:rFonts w:ascii="宋体" w:hAnsi="宋体" w:eastAsia="宋体" w:cs="Times New Roman"/>
                <w:sz w:val="24"/>
                <w:szCs w:val="24"/>
              </w:rPr>
            </w:pPr>
            <w:r>
              <w:rPr>
                <w:rFonts w:hint="eastAsia" w:ascii="宋体" w:hAnsi="宋体" w:eastAsia="宋体" w:cs="Times New Roman"/>
                <w:sz w:val="24"/>
                <w:szCs w:val="24"/>
              </w:rPr>
              <w:t>＜80%</w:t>
            </w:r>
          </w:p>
        </w:tc>
      </w:tr>
    </w:tbl>
    <w:p>
      <w:pPr>
        <w:autoSpaceDE w:val="0"/>
        <w:autoSpaceDN w:val="0"/>
        <w:adjustRightInd w:val="0"/>
        <w:spacing w:line="560" w:lineRule="exact"/>
        <w:ind w:firstLine="640" w:firstLineChars="200"/>
        <w:jc w:val="left"/>
        <w:rPr>
          <w:rFonts w:ascii="黑体" w:hAnsi="黑体" w:eastAsia="黑体" w:cs="黑体"/>
          <w:sz w:val="32"/>
          <w:szCs w:val="32"/>
        </w:rPr>
      </w:pPr>
    </w:p>
    <w:p>
      <w:pPr>
        <w:autoSpaceDE w:val="0"/>
        <w:autoSpaceDN w:val="0"/>
        <w:adjustRightInd w:val="0"/>
        <w:spacing w:line="560" w:lineRule="exact"/>
        <w:ind w:firstLine="640" w:firstLineChars="200"/>
        <w:jc w:val="left"/>
        <w:rPr>
          <w:rFonts w:ascii="黑体" w:hAnsi="黑体" w:eastAsia="黑体" w:cs="黑体"/>
          <w:sz w:val="32"/>
          <w:szCs w:val="32"/>
        </w:rPr>
      </w:pPr>
    </w:p>
    <w:p>
      <w:pPr>
        <w:autoSpaceDE w:val="0"/>
        <w:autoSpaceDN w:val="0"/>
        <w:adjustRightInd w:val="0"/>
        <w:spacing w:line="56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spacing w:line="560" w:lineRule="exact"/>
        <w:outlineLvl w:val="0"/>
        <w:rPr>
          <w:rFonts w:ascii="仿宋" w:hAnsi="仿宋" w:eastAsia="仿宋" w:cs="Times New Roman"/>
          <w:sz w:val="32"/>
          <w:szCs w:val="32"/>
        </w:rPr>
      </w:pPr>
      <w:bookmarkStart w:id="1" w:name="_Toc471398468"/>
      <w:r>
        <w:rPr>
          <w:rFonts w:hint="eastAsia" w:ascii="仿宋" w:hAnsi="仿宋" w:eastAsia="仿宋" w:cs="Times New Roman"/>
          <w:sz w:val="32"/>
          <w:szCs w:val="32"/>
        </w:rPr>
        <w:t>2021</w:t>
      </w:r>
      <w:r>
        <w:rPr>
          <w:rFonts w:hint="eastAsia" w:ascii="仿宋" w:hAnsi="仿宋" w:eastAsia="仿宋" w:cs="方正仿宋_GBK"/>
          <w:sz w:val="32"/>
          <w:szCs w:val="32"/>
        </w:rPr>
        <w:t>年，我单位安排政府采购预算40.25万元。具体内容见下表。</w:t>
      </w:r>
    </w:p>
    <w:p>
      <w:pPr>
        <w:spacing w:line="560" w:lineRule="exact"/>
        <w:jc w:val="center"/>
        <w:outlineLvl w:val="0"/>
        <w:rPr>
          <w:rFonts w:ascii="宋体" w:hAnsi="宋体" w:eastAsia="宋体" w:cs="Times New Roman"/>
          <w:sz w:val="32"/>
          <w:szCs w:val="32"/>
        </w:rPr>
      </w:pPr>
      <w:r>
        <w:rPr>
          <w:rFonts w:hint="eastAsia" w:ascii="宋体" w:hAnsi="宋体" w:eastAsia="宋体" w:cs="方正小标宋_GBK"/>
          <w:sz w:val="32"/>
          <w:szCs w:val="32"/>
        </w:rPr>
        <w:t>部门政府采购预算</w:t>
      </w:r>
      <w:bookmarkEnd w:id="1"/>
    </w:p>
    <w:tbl>
      <w:tblPr>
        <w:tblStyle w:val="4"/>
        <w:tblW w:w="1286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1"/>
        <w:gridCol w:w="851"/>
        <w:gridCol w:w="1325"/>
        <w:gridCol w:w="608"/>
        <w:gridCol w:w="492"/>
        <w:gridCol w:w="737"/>
        <w:gridCol w:w="948"/>
        <w:gridCol w:w="851"/>
        <w:gridCol w:w="992"/>
        <w:gridCol w:w="992"/>
        <w:gridCol w:w="709"/>
        <w:gridCol w:w="709"/>
        <w:gridCol w:w="850"/>
        <w:gridCol w:w="8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6912" w:type="dxa"/>
            <w:gridSpan w:val="7"/>
            <w:tcBorders>
              <w:top w:val="single" w:color="FFFFFF" w:sz="6" w:space="0"/>
              <w:left w:val="single" w:color="FFFFFF" w:sz="6" w:space="0"/>
              <w:right w:val="single" w:color="FFFFFF" w:sz="6" w:space="0"/>
            </w:tcBorders>
            <w:vAlign w:val="center"/>
          </w:tcPr>
          <w:p>
            <w:pPr>
              <w:spacing w:line="560" w:lineRule="exact"/>
              <w:jc w:val="left"/>
              <w:rPr>
                <w:rFonts w:ascii="宋体" w:hAnsi="宋体" w:eastAsia="宋体" w:cs="Times New Roman"/>
                <w:sz w:val="24"/>
                <w:szCs w:val="24"/>
              </w:rPr>
            </w:pPr>
            <w:r>
              <w:rPr>
                <w:rFonts w:hint="eastAsia" w:ascii="宋体" w:hAnsi="宋体" w:eastAsia="宋体" w:cs="方正小标宋_GBK"/>
                <w:sz w:val="24"/>
                <w:szCs w:val="24"/>
              </w:rPr>
              <w:t>部门（单位）名称：314成安县民政局</w:t>
            </w:r>
          </w:p>
        </w:tc>
        <w:tc>
          <w:tcPr>
            <w:tcW w:w="5954" w:type="dxa"/>
            <w:gridSpan w:val="7"/>
            <w:tcBorders>
              <w:top w:val="single" w:color="FFFFFF" w:sz="6" w:space="0"/>
              <w:left w:val="single" w:color="FFFFFF" w:sz="6" w:space="0"/>
              <w:right w:val="single" w:color="FFFFFF" w:sz="6" w:space="0"/>
            </w:tcBorders>
            <w:vAlign w:val="center"/>
          </w:tcPr>
          <w:p>
            <w:pPr>
              <w:tabs>
                <w:tab w:val="left" w:pos="315"/>
              </w:tabs>
              <w:spacing w:line="560" w:lineRule="exact"/>
              <w:jc w:val="right"/>
              <w:rPr>
                <w:rFonts w:ascii="宋体" w:hAnsi="宋体" w:eastAsia="宋体" w:cs="Times New Roman"/>
                <w:sz w:val="24"/>
                <w:szCs w:val="24"/>
              </w:rPr>
            </w:pPr>
            <w:r>
              <w:rPr>
                <w:rFonts w:hint="eastAsia" w:ascii="宋体" w:hAnsi="宋体" w:eastAsia="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2802" w:type="dxa"/>
            <w:gridSpan w:val="2"/>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政府采购项目来源</w:t>
            </w:r>
          </w:p>
        </w:tc>
        <w:tc>
          <w:tcPr>
            <w:tcW w:w="1325" w:type="dxa"/>
            <w:vMerge w:val="restart"/>
            <w:vAlign w:val="center"/>
          </w:tcPr>
          <w:p>
            <w:pPr>
              <w:spacing w:line="320" w:lineRule="exact"/>
              <w:jc w:val="center"/>
              <w:rPr>
                <w:rFonts w:ascii="宋体" w:hAnsi="宋体" w:eastAsia="宋体" w:cs="Times New Roman"/>
                <w:b/>
                <w:bCs/>
              </w:rPr>
            </w:pPr>
            <w:r>
              <w:rPr>
                <w:rFonts w:hint="eastAsia" w:ascii="宋体" w:hAnsi="宋体" w:eastAsia="宋体" w:cs="方正书宋_GBK"/>
                <w:b/>
                <w:bCs/>
              </w:rPr>
              <w:t>采购物品名称</w:t>
            </w:r>
          </w:p>
        </w:tc>
        <w:tc>
          <w:tcPr>
            <w:tcW w:w="608" w:type="dxa"/>
            <w:vMerge w:val="restart"/>
            <w:vAlign w:val="center"/>
          </w:tcPr>
          <w:p>
            <w:pPr>
              <w:spacing w:line="360" w:lineRule="exact"/>
              <w:jc w:val="center"/>
              <w:rPr>
                <w:rFonts w:ascii="宋体" w:hAnsi="宋体" w:eastAsia="宋体" w:cs="Times New Roman"/>
                <w:b/>
                <w:bCs/>
              </w:rPr>
            </w:pPr>
            <w:r>
              <w:rPr>
                <w:rFonts w:hint="eastAsia" w:ascii="宋体" w:hAnsi="宋体" w:eastAsia="宋体" w:cs="方正书宋_GBK"/>
                <w:b/>
                <w:bCs/>
              </w:rPr>
              <w:t>政府采购目录序号</w:t>
            </w:r>
          </w:p>
        </w:tc>
        <w:tc>
          <w:tcPr>
            <w:tcW w:w="492"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数量单位</w:t>
            </w:r>
          </w:p>
        </w:tc>
        <w:tc>
          <w:tcPr>
            <w:tcW w:w="737"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w:t>
            </w:r>
          </w:p>
        </w:tc>
        <w:tc>
          <w:tcPr>
            <w:tcW w:w="948"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单价</w:t>
            </w:r>
          </w:p>
        </w:tc>
        <w:tc>
          <w:tcPr>
            <w:tcW w:w="5954" w:type="dxa"/>
            <w:gridSpan w:val="7"/>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1951"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项目名称</w:t>
            </w:r>
          </w:p>
        </w:tc>
        <w:tc>
          <w:tcPr>
            <w:tcW w:w="851"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预算资金</w:t>
            </w:r>
          </w:p>
        </w:tc>
        <w:tc>
          <w:tcPr>
            <w:tcW w:w="1325" w:type="dxa"/>
            <w:vMerge w:val="continue"/>
            <w:vAlign w:val="center"/>
          </w:tcPr>
          <w:p>
            <w:pPr>
              <w:spacing w:line="560" w:lineRule="exact"/>
              <w:jc w:val="left"/>
              <w:outlineLvl w:val="0"/>
              <w:rPr>
                <w:rFonts w:ascii="宋体" w:hAnsi="宋体" w:eastAsia="宋体" w:cs="Times New Roman"/>
              </w:rPr>
            </w:pPr>
          </w:p>
        </w:tc>
        <w:tc>
          <w:tcPr>
            <w:tcW w:w="608" w:type="dxa"/>
            <w:vMerge w:val="continue"/>
            <w:vAlign w:val="center"/>
          </w:tcPr>
          <w:p>
            <w:pPr>
              <w:spacing w:line="560" w:lineRule="exact"/>
              <w:jc w:val="left"/>
              <w:outlineLvl w:val="0"/>
              <w:rPr>
                <w:rFonts w:ascii="宋体" w:hAnsi="宋体" w:eastAsia="宋体" w:cs="Times New Roman"/>
              </w:rPr>
            </w:pPr>
          </w:p>
        </w:tc>
        <w:tc>
          <w:tcPr>
            <w:tcW w:w="492" w:type="dxa"/>
            <w:vMerge w:val="continue"/>
            <w:vAlign w:val="center"/>
          </w:tcPr>
          <w:p>
            <w:pPr>
              <w:spacing w:line="560" w:lineRule="exact"/>
              <w:jc w:val="left"/>
              <w:outlineLvl w:val="0"/>
              <w:rPr>
                <w:rFonts w:ascii="宋体" w:hAnsi="宋体" w:eastAsia="宋体" w:cs="Times New Roman"/>
              </w:rPr>
            </w:pPr>
          </w:p>
        </w:tc>
        <w:tc>
          <w:tcPr>
            <w:tcW w:w="737" w:type="dxa"/>
            <w:vMerge w:val="continue"/>
            <w:vAlign w:val="center"/>
          </w:tcPr>
          <w:p>
            <w:pPr>
              <w:spacing w:line="560" w:lineRule="exact"/>
              <w:jc w:val="left"/>
              <w:outlineLvl w:val="0"/>
              <w:rPr>
                <w:rFonts w:ascii="宋体" w:hAnsi="宋体" w:eastAsia="宋体" w:cs="Times New Roman"/>
              </w:rPr>
            </w:pPr>
          </w:p>
        </w:tc>
        <w:tc>
          <w:tcPr>
            <w:tcW w:w="948" w:type="dxa"/>
            <w:vMerge w:val="continue"/>
            <w:vAlign w:val="center"/>
          </w:tcPr>
          <w:p>
            <w:pPr>
              <w:spacing w:line="560" w:lineRule="exact"/>
              <w:jc w:val="left"/>
              <w:outlineLvl w:val="0"/>
              <w:rPr>
                <w:rFonts w:ascii="宋体" w:hAnsi="宋体" w:eastAsia="宋体" w:cs="Times New Roman"/>
              </w:rPr>
            </w:pPr>
          </w:p>
        </w:tc>
        <w:tc>
          <w:tcPr>
            <w:tcW w:w="851"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总计</w:t>
            </w:r>
          </w:p>
        </w:tc>
        <w:tc>
          <w:tcPr>
            <w:tcW w:w="4252" w:type="dxa"/>
            <w:gridSpan w:val="5"/>
            <w:vAlign w:val="center"/>
          </w:tcPr>
          <w:p>
            <w:pPr>
              <w:spacing w:line="320" w:lineRule="exact"/>
              <w:jc w:val="center"/>
              <w:rPr>
                <w:rFonts w:ascii="宋体" w:hAnsi="宋体" w:eastAsia="宋体" w:cs="Times New Roman"/>
                <w:b/>
                <w:bCs/>
              </w:rPr>
            </w:pPr>
            <w:r>
              <w:rPr>
                <w:rFonts w:hint="eastAsia" w:ascii="宋体" w:hAnsi="宋体" w:eastAsia="宋体" w:cs="方正书宋_GBK"/>
                <w:b/>
                <w:bCs/>
              </w:rPr>
              <w:t>当年部门预算安排资金</w:t>
            </w:r>
          </w:p>
        </w:tc>
        <w:tc>
          <w:tcPr>
            <w:tcW w:w="851" w:type="dxa"/>
            <w:vMerge w:val="restart"/>
            <w:vAlign w:val="center"/>
          </w:tcPr>
          <w:p>
            <w:pPr>
              <w:spacing w:line="320" w:lineRule="exact"/>
              <w:jc w:val="center"/>
              <w:rPr>
                <w:rFonts w:ascii="宋体" w:hAnsi="宋体" w:eastAsia="宋体" w:cs="Times New Roman"/>
                <w:b/>
                <w:bCs/>
              </w:rPr>
            </w:pPr>
            <w:r>
              <w:rPr>
                <w:rFonts w:hint="eastAsia" w:ascii="宋体" w:hAnsi="宋体" w:eastAsia="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1951" w:type="dxa"/>
            <w:vMerge w:val="continue"/>
            <w:vAlign w:val="center"/>
          </w:tcPr>
          <w:p>
            <w:pPr>
              <w:spacing w:line="560" w:lineRule="exact"/>
              <w:jc w:val="left"/>
              <w:outlineLvl w:val="0"/>
              <w:rPr>
                <w:rFonts w:ascii="宋体" w:hAnsi="宋体" w:eastAsia="宋体" w:cs="Times New Roman"/>
              </w:rPr>
            </w:pPr>
          </w:p>
        </w:tc>
        <w:tc>
          <w:tcPr>
            <w:tcW w:w="851" w:type="dxa"/>
            <w:vMerge w:val="continue"/>
            <w:vAlign w:val="center"/>
          </w:tcPr>
          <w:p>
            <w:pPr>
              <w:spacing w:line="560" w:lineRule="exact"/>
              <w:jc w:val="left"/>
              <w:outlineLvl w:val="0"/>
              <w:rPr>
                <w:rFonts w:ascii="宋体" w:hAnsi="宋体" w:eastAsia="宋体" w:cs="Times New Roman"/>
              </w:rPr>
            </w:pPr>
          </w:p>
        </w:tc>
        <w:tc>
          <w:tcPr>
            <w:tcW w:w="1325" w:type="dxa"/>
            <w:vMerge w:val="continue"/>
            <w:vAlign w:val="center"/>
          </w:tcPr>
          <w:p>
            <w:pPr>
              <w:spacing w:line="560" w:lineRule="exact"/>
              <w:jc w:val="left"/>
              <w:outlineLvl w:val="0"/>
              <w:rPr>
                <w:rFonts w:ascii="宋体" w:hAnsi="宋体" w:eastAsia="宋体" w:cs="Times New Roman"/>
              </w:rPr>
            </w:pPr>
          </w:p>
        </w:tc>
        <w:tc>
          <w:tcPr>
            <w:tcW w:w="608" w:type="dxa"/>
            <w:vMerge w:val="continue"/>
            <w:vAlign w:val="center"/>
          </w:tcPr>
          <w:p>
            <w:pPr>
              <w:spacing w:line="560" w:lineRule="exact"/>
              <w:jc w:val="left"/>
              <w:outlineLvl w:val="0"/>
              <w:rPr>
                <w:rFonts w:ascii="宋体" w:hAnsi="宋体" w:eastAsia="宋体" w:cs="Times New Roman"/>
              </w:rPr>
            </w:pPr>
          </w:p>
        </w:tc>
        <w:tc>
          <w:tcPr>
            <w:tcW w:w="492" w:type="dxa"/>
            <w:vMerge w:val="continue"/>
            <w:vAlign w:val="center"/>
          </w:tcPr>
          <w:p>
            <w:pPr>
              <w:spacing w:line="560" w:lineRule="exact"/>
              <w:jc w:val="left"/>
              <w:outlineLvl w:val="0"/>
              <w:rPr>
                <w:rFonts w:ascii="宋体" w:hAnsi="宋体" w:eastAsia="宋体" w:cs="Times New Roman"/>
              </w:rPr>
            </w:pPr>
          </w:p>
        </w:tc>
        <w:tc>
          <w:tcPr>
            <w:tcW w:w="737" w:type="dxa"/>
            <w:vMerge w:val="continue"/>
            <w:vAlign w:val="center"/>
          </w:tcPr>
          <w:p>
            <w:pPr>
              <w:spacing w:line="560" w:lineRule="exact"/>
              <w:jc w:val="left"/>
              <w:outlineLvl w:val="0"/>
              <w:rPr>
                <w:rFonts w:ascii="宋体" w:hAnsi="宋体" w:eastAsia="宋体" w:cs="Times New Roman"/>
              </w:rPr>
            </w:pPr>
          </w:p>
        </w:tc>
        <w:tc>
          <w:tcPr>
            <w:tcW w:w="948" w:type="dxa"/>
            <w:vMerge w:val="continue"/>
            <w:vAlign w:val="center"/>
          </w:tcPr>
          <w:p>
            <w:pPr>
              <w:spacing w:line="560" w:lineRule="exact"/>
              <w:jc w:val="left"/>
              <w:outlineLvl w:val="0"/>
              <w:rPr>
                <w:rFonts w:ascii="宋体" w:hAnsi="宋体" w:eastAsia="宋体" w:cs="Times New Roman"/>
              </w:rPr>
            </w:pPr>
          </w:p>
        </w:tc>
        <w:tc>
          <w:tcPr>
            <w:tcW w:w="851" w:type="dxa"/>
            <w:vMerge w:val="continue"/>
            <w:vAlign w:val="center"/>
          </w:tcPr>
          <w:p>
            <w:pPr>
              <w:spacing w:line="560" w:lineRule="exact"/>
              <w:jc w:val="left"/>
              <w:outlineLvl w:val="0"/>
              <w:rPr>
                <w:rFonts w:ascii="宋体" w:hAnsi="宋体" w:eastAsia="宋体" w:cs="Times New Roman"/>
              </w:rPr>
            </w:pPr>
          </w:p>
        </w:tc>
        <w:tc>
          <w:tcPr>
            <w:tcW w:w="992"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合计</w:t>
            </w:r>
          </w:p>
        </w:tc>
        <w:tc>
          <w:tcPr>
            <w:tcW w:w="992" w:type="dxa"/>
            <w:vAlign w:val="center"/>
          </w:tcPr>
          <w:p>
            <w:pPr>
              <w:spacing w:line="400" w:lineRule="exact"/>
              <w:jc w:val="center"/>
              <w:rPr>
                <w:rFonts w:ascii="宋体" w:hAnsi="宋体" w:eastAsia="宋体" w:cs="Times New Roman"/>
                <w:b/>
                <w:bCs/>
              </w:rPr>
            </w:pPr>
            <w:r>
              <w:rPr>
                <w:rFonts w:hint="eastAsia" w:ascii="宋体" w:hAnsi="宋体" w:eastAsia="宋体" w:cs="方正书宋_GBK"/>
                <w:b/>
                <w:bCs/>
              </w:rPr>
              <w:t>一般公共预算拨款</w:t>
            </w:r>
          </w:p>
        </w:tc>
        <w:tc>
          <w:tcPr>
            <w:tcW w:w="709" w:type="dxa"/>
            <w:vAlign w:val="center"/>
          </w:tcPr>
          <w:p>
            <w:pPr>
              <w:spacing w:line="320" w:lineRule="exact"/>
              <w:jc w:val="center"/>
              <w:rPr>
                <w:rFonts w:ascii="宋体" w:hAnsi="宋体" w:eastAsia="宋体" w:cs="Times New Roman"/>
                <w:b/>
                <w:bCs/>
              </w:rPr>
            </w:pPr>
            <w:r>
              <w:rPr>
                <w:rFonts w:hint="eastAsia" w:ascii="宋体" w:hAnsi="宋体" w:eastAsia="宋体" w:cs="方正书宋_GBK"/>
                <w:b/>
                <w:bCs/>
              </w:rPr>
              <w:t>基金预算拨款</w:t>
            </w:r>
          </w:p>
        </w:tc>
        <w:tc>
          <w:tcPr>
            <w:tcW w:w="709" w:type="dxa"/>
            <w:vAlign w:val="center"/>
          </w:tcPr>
          <w:p>
            <w:pPr>
              <w:spacing w:line="320" w:lineRule="exact"/>
              <w:jc w:val="center"/>
              <w:rPr>
                <w:rFonts w:ascii="宋体" w:hAnsi="宋体" w:eastAsia="宋体" w:cs="Times New Roman"/>
                <w:b/>
                <w:bCs/>
              </w:rPr>
            </w:pPr>
            <w:r>
              <w:rPr>
                <w:rFonts w:hint="eastAsia" w:ascii="宋体" w:hAnsi="宋体" w:eastAsia="宋体" w:cs="方正书宋_GBK"/>
                <w:b/>
                <w:bCs/>
              </w:rPr>
              <w:t>财政专户核拨</w:t>
            </w:r>
          </w:p>
        </w:tc>
        <w:tc>
          <w:tcPr>
            <w:tcW w:w="850" w:type="dxa"/>
            <w:vAlign w:val="center"/>
          </w:tcPr>
          <w:p>
            <w:pPr>
              <w:spacing w:line="320" w:lineRule="exact"/>
              <w:jc w:val="center"/>
              <w:rPr>
                <w:rFonts w:ascii="宋体" w:hAnsi="宋体" w:eastAsia="宋体" w:cs="Times New Roman"/>
                <w:b/>
                <w:bCs/>
              </w:rPr>
            </w:pPr>
            <w:r>
              <w:rPr>
                <w:rFonts w:hint="eastAsia" w:ascii="宋体" w:hAnsi="宋体" w:eastAsia="宋体" w:cs="方正书宋_GBK"/>
                <w:b/>
                <w:bCs/>
              </w:rPr>
              <w:t>其他来源收入</w:t>
            </w:r>
          </w:p>
        </w:tc>
        <w:tc>
          <w:tcPr>
            <w:tcW w:w="851" w:type="dxa"/>
            <w:vMerge w:val="continue"/>
            <w:vAlign w:val="center"/>
          </w:tcPr>
          <w:p>
            <w:pPr>
              <w:spacing w:line="320" w:lineRule="exact"/>
              <w:jc w:val="left"/>
              <w:outlineLvl w:val="0"/>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1"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　计</w:t>
            </w:r>
          </w:p>
        </w:tc>
        <w:tc>
          <w:tcPr>
            <w:tcW w:w="851"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40.25</w:t>
            </w:r>
          </w:p>
        </w:tc>
        <w:tc>
          <w:tcPr>
            <w:tcW w:w="1325" w:type="dxa"/>
            <w:vAlign w:val="center"/>
          </w:tcPr>
          <w:p>
            <w:pPr>
              <w:spacing w:line="560" w:lineRule="exact"/>
              <w:ind w:left="80" w:leftChars="38"/>
              <w:jc w:val="left"/>
              <w:rPr>
                <w:rFonts w:ascii="宋体" w:hAnsi="宋体" w:eastAsia="宋体" w:cs="Times New Roman"/>
                <w:b/>
                <w:bCs/>
              </w:rPr>
            </w:pPr>
          </w:p>
        </w:tc>
        <w:tc>
          <w:tcPr>
            <w:tcW w:w="608" w:type="dxa"/>
            <w:vAlign w:val="center"/>
          </w:tcPr>
          <w:p>
            <w:pPr>
              <w:spacing w:line="560" w:lineRule="exact"/>
              <w:jc w:val="left"/>
              <w:rPr>
                <w:rFonts w:ascii="宋体" w:hAnsi="宋体" w:eastAsia="宋体" w:cs="Times New Roman"/>
                <w:b/>
                <w:bCs/>
              </w:rPr>
            </w:pPr>
          </w:p>
        </w:tc>
        <w:tc>
          <w:tcPr>
            <w:tcW w:w="492" w:type="dxa"/>
            <w:vAlign w:val="center"/>
          </w:tcPr>
          <w:p>
            <w:pPr>
              <w:spacing w:line="560" w:lineRule="exact"/>
              <w:jc w:val="left"/>
              <w:rPr>
                <w:rFonts w:ascii="宋体" w:hAnsi="宋体" w:eastAsia="宋体" w:cs="Times New Roman"/>
                <w:b/>
                <w:bCs/>
              </w:rPr>
            </w:pPr>
          </w:p>
        </w:tc>
        <w:tc>
          <w:tcPr>
            <w:tcW w:w="737" w:type="dxa"/>
            <w:vAlign w:val="center"/>
          </w:tcPr>
          <w:p>
            <w:pPr>
              <w:spacing w:line="560" w:lineRule="exact"/>
              <w:jc w:val="right"/>
              <w:rPr>
                <w:rFonts w:ascii="宋体" w:hAnsi="宋体" w:eastAsia="宋体" w:cs="Times New Roman"/>
                <w:b/>
                <w:bCs/>
              </w:rPr>
            </w:pPr>
          </w:p>
        </w:tc>
        <w:tc>
          <w:tcPr>
            <w:tcW w:w="948" w:type="dxa"/>
            <w:vAlign w:val="center"/>
          </w:tcPr>
          <w:p>
            <w:pPr>
              <w:spacing w:line="560" w:lineRule="exact"/>
              <w:jc w:val="right"/>
              <w:rPr>
                <w:rFonts w:ascii="宋体" w:hAnsi="宋体" w:eastAsia="宋体" w:cs="Times New Roman"/>
                <w:b/>
                <w:bCs/>
              </w:rPr>
            </w:pPr>
          </w:p>
        </w:tc>
        <w:tc>
          <w:tcPr>
            <w:tcW w:w="851" w:type="dxa"/>
            <w:vAlign w:val="center"/>
          </w:tcPr>
          <w:p>
            <w:pPr>
              <w:jc w:val="center"/>
              <w:rPr>
                <w:b/>
                <w:bCs/>
              </w:rPr>
            </w:pPr>
            <w:r>
              <w:rPr>
                <w:rFonts w:hint="eastAsia" w:ascii="宋体" w:hAnsi="宋体" w:eastAsia="宋体" w:cs="Times New Roman"/>
                <w:b/>
                <w:bCs/>
              </w:rPr>
              <w:t>40.25</w:t>
            </w:r>
          </w:p>
        </w:tc>
        <w:tc>
          <w:tcPr>
            <w:tcW w:w="992" w:type="dxa"/>
            <w:vAlign w:val="center"/>
          </w:tcPr>
          <w:p>
            <w:pPr>
              <w:jc w:val="center"/>
              <w:rPr>
                <w:rFonts w:ascii="宋体" w:hAnsi="宋体" w:eastAsia="宋体" w:cs="Times New Roman"/>
                <w:b/>
                <w:bCs/>
              </w:rPr>
            </w:pPr>
            <w:r>
              <w:rPr>
                <w:rFonts w:hint="eastAsia" w:ascii="宋体" w:hAnsi="宋体" w:eastAsia="宋体" w:cs="Times New Roman"/>
                <w:b/>
                <w:bCs/>
              </w:rPr>
              <w:t>40.25</w:t>
            </w:r>
          </w:p>
        </w:tc>
        <w:tc>
          <w:tcPr>
            <w:tcW w:w="992" w:type="dxa"/>
            <w:vAlign w:val="center"/>
          </w:tcPr>
          <w:p>
            <w:pPr>
              <w:jc w:val="center"/>
              <w:rPr>
                <w:rFonts w:ascii="宋体" w:hAnsi="宋体" w:eastAsia="宋体" w:cs="Times New Roman"/>
                <w:b/>
                <w:bCs/>
              </w:rPr>
            </w:pPr>
            <w:r>
              <w:rPr>
                <w:rFonts w:hint="eastAsia" w:ascii="宋体" w:hAnsi="宋体" w:eastAsia="宋体" w:cs="Times New Roman"/>
                <w:b/>
                <w:bCs/>
              </w:rPr>
              <w:t>40.25</w:t>
            </w:r>
          </w:p>
        </w:tc>
        <w:tc>
          <w:tcPr>
            <w:tcW w:w="709" w:type="dxa"/>
            <w:vAlign w:val="center"/>
          </w:tcPr>
          <w:p>
            <w:pPr>
              <w:spacing w:line="560" w:lineRule="exact"/>
              <w:jc w:val="right"/>
              <w:rPr>
                <w:rFonts w:ascii="宋体" w:hAnsi="宋体" w:eastAsia="宋体" w:cs="Times New Roman"/>
                <w:b/>
                <w:bCs/>
              </w:rPr>
            </w:pPr>
          </w:p>
        </w:tc>
        <w:tc>
          <w:tcPr>
            <w:tcW w:w="709" w:type="dxa"/>
            <w:vAlign w:val="center"/>
          </w:tcPr>
          <w:p>
            <w:pPr>
              <w:spacing w:line="560" w:lineRule="exact"/>
              <w:jc w:val="right"/>
              <w:rPr>
                <w:rFonts w:ascii="宋体" w:hAnsi="宋体" w:eastAsia="宋体" w:cs="Times New Roman"/>
                <w:b/>
                <w:bCs/>
              </w:rPr>
            </w:pPr>
          </w:p>
        </w:tc>
        <w:tc>
          <w:tcPr>
            <w:tcW w:w="850" w:type="dxa"/>
            <w:vAlign w:val="center"/>
          </w:tcPr>
          <w:p>
            <w:pPr>
              <w:spacing w:line="560" w:lineRule="exact"/>
              <w:jc w:val="right"/>
              <w:rPr>
                <w:rFonts w:ascii="宋体" w:hAnsi="宋体" w:eastAsia="宋体" w:cs="Times New Roman"/>
                <w:b/>
                <w:bCs/>
              </w:rPr>
            </w:pPr>
          </w:p>
        </w:tc>
        <w:tc>
          <w:tcPr>
            <w:tcW w:w="851"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1" w:type="dxa"/>
            <w:vMerge w:val="restart"/>
          </w:tcPr>
          <w:p>
            <w:pPr>
              <w:spacing w:line="560" w:lineRule="exact"/>
              <w:jc w:val="center"/>
            </w:pPr>
            <w:r>
              <w:rPr>
                <w:rFonts w:hint="eastAsia"/>
              </w:rPr>
              <w:t>困难群众救助粮油</w:t>
            </w:r>
          </w:p>
        </w:tc>
        <w:tc>
          <w:tcPr>
            <w:tcW w:w="851" w:type="dxa"/>
            <w:vMerge w:val="restart"/>
            <w:vAlign w:val="center"/>
          </w:tcPr>
          <w:p>
            <w:pPr>
              <w:spacing w:line="560" w:lineRule="exact"/>
              <w:jc w:val="right"/>
              <w:rPr>
                <w:rFonts w:ascii="宋体" w:hAnsi="宋体" w:eastAsia="宋体" w:cs="Times New Roman"/>
              </w:rPr>
            </w:pPr>
            <w:r>
              <w:rPr>
                <w:rFonts w:hint="eastAsia" w:ascii="宋体" w:hAnsi="宋体" w:eastAsia="宋体" w:cs="Times New Roman"/>
              </w:rPr>
              <w:t>36.25</w:t>
            </w:r>
          </w:p>
        </w:tc>
        <w:tc>
          <w:tcPr>
            <w:tcW w:w="1325" w:type="dxa"/>
            <w:vAlign w:val="center"/>
          </w:tcPr>
          <w:p>
            <w:pPr>
              <w:spacing w:line="560" w:lineRule="exact"/>
              <w:jc w:val="left"/>
              <w:rPr>
                <w:rFonts w:ascii="宋体" w:hAnsi="宋体" w:eastAsia="宋体" w:cs="Times New Roman"/>
              </w:rPr>
            </w:pPr>
            <w:r>
              <w:rPr>
                <w:rFonts w:hint="eastAsia" w:ascii="宋体" w:hAnsi="宋体" w:eastAsia="宋体" w:cs="Times New Roman"/>
                <w:lang w:eastAsia="zh-CN"/>
              </w:rPr>
              <w:t>山茶籽食用调和油</w:t>
            </w:r>
          </w:p>
        </w:tc>
        <w:tc>
          <w:tcPr>
            <w:tcW w:w="608" w:type="dxa"/>
            <w:vAlign w:val="center"/>
          </w:tcPr>
          <w:p>
            <w:pPr>
              <w:keepNext w:val="0"/>
              <w:keepLines w:val="0"/>
              <w:widowControl/>
              <w:suppressLineNumbers w:val="0"/>
              <w:jc w:val="left"/>
            </w:pPr>
            <w:r>
              <w:rPr>
                <w:rFonts w:ascii="仿宋_GB2312" w:hAnsi="仿宋_GB2312" w:eastAsia="仿宋_GB2312" w:cs="仿宋_GB2312"/>
                <w:color w:val="000000"/>
                <w:kern w:val="0"/>
                <w:sz w:val="18"/>
                <w:szCs w:val="18"/>
                <w:lang w:val="en-US" w:eastAsia="zh-CN" w:bidi="ar"/>
              </w:rPr>
              <w:t>A150105</w:t>
            </w:r>
          </w:p>
          <w:p>
            <w:pPr>
              <w:spacing w:line="560" w:lineRule="exact"/>
              <w:jc w:val="left"/>
              <w:rPr>
                <w:rFonts w:ascii="宋体" w:hAnsi="宋体" w:eastAsia="宋体" w:cs="Times New Roman"/>
              </w:rPr>
            </w:pPr>
          </w:p>
        </w:tc>
        <w:tc>
          <w:tcPr>
            <w:tcW w:w="492" w:type="dxa"/>
            <w:vAlign w:val="center"/>
          </w:tcPr>
          <w:p>
            <w:pPr>
              <w:spacing w:line="560" w:lineRule="exact"/>
              <w:jc w:val="left"/>
              <w:rPr>
                <w:rFonts w:ascii="宋体" w:hAnsi="宋体" w:eastAsia="宋体" w:cs="Times New Roman"/>
              </w:rPr>
            </w:pPr>
            <w:r>
              <w:rPr>
                <w:rFonts w:hint="eastAsia" w:ascii="宋体" w:hAnsi="宋体" w:eastAsia="宋体" w:cs="Times New Roman"/>
                <w:lang w:val="en-US" w:eastAsia="zh-CN"/>
              </w:rPr>
              <w:t>桶</w:t>
            </w:r>
          </w:p>
        </w:tc>
        <w:tc>
          <w:tcPr>
            <w:tcW w:w="737" w:type="dxa"/>
            <w:vAlign w:val="center"/>
          </w:tcPr>
          <w:p>
            <w:pPr>
              <w:spacing w:line="560" w:lineRule="exact"/>
              <w:jc w:val="right"/>
              <w:rPr>
                <w:rFonts w:ascii="宋体" w:hAnsi="宋体" w:eastAsia="宋体" w:cs="Times New Roman"/>
              </w:rPr>
            </w:pPr>
            <w:r>
              <w:rPr>
                <w:rFonts w:hint="eastAsia" w:ascii="宋体" w:hAnsi="宋体" w:eastAsia="宋体" w:cs="Times New Roman"/>
                <w:lang w:val="en-US" w:eastAsia="zh-CN"/>
              </w:rPr>
              <w:t>2500</w:t>
            </w:r>
          </w:p>
        </w:tc>
        <w:tc>
          <w:tcPr>
            <w:tcW w:w="948" w:type="dxa"/>
            <w:vAlign w:val="center"/>
          </w:tcPr>
          <w:p>
            <w:pPr>
              <w:spacing w:line="560" w:lineRule="exact"/>
              <w:jc w:val="right"/>
              <w:rPr>
                <w:rFonts w:ascii="宋体" w:hAnsi="宋体" w:eastAsia="宋体" w:cs="Times New Roman"/>
              </w:rPr>
            </w:pPr>
            <w:r>
              <w:rPr>
                <w:rFonts w:hint="eastAsia" w:ascii="宋体" w:hAnsi="宋体" w:eastAsia="宋体" w:cs="Times New Roman"/>
                <w:lang w:val="en-US" w:eastAsia="zh-CN"/>
              </w:rPr>
              <w:t>0.008</w:t>
            </w:r>
          </w:p>
        </w:tc>
        <w:tc>
          <w:tcPr>
            <w:tcW w:w="851" w:type="dxa"/>
            <w:vAlign w:val="center"/>
          </w:tcPr>
          <w:p>
            <w:pPr>
              <w:spacing w:line="560" w:lineRule="exact"/>
              <w:jc w:val="center"/>
              <w:rPr>
                <w:rFonts w:ascii="宋体" w:hAnsi="宋体" w:eastAsia="宋体" w:cs="Times New Roman"/>
              </w:rPr>
            </w:pPr>
            <w:r>
              <w:rPr>
                <w:rFonts w:hint="eastAsia" w:ascii="宋体" w:hAnsi="宋体" w:eastAsia="宋体" w:cs="Times New Roman"/>
                <w:lang w:val="en-US" w:eastAsia="zh-CN"/>
              </w:rPr>
              <w:t>20</w:t>
            </w:r>
          </w:p>
        </w:tc>
        <w:tc>
          <w:tcPr>
            <w:tcW w:w="992" w:type="dxa"/>
            <w:vAlign w:val="center"/>
          </w:tcPr>
          <w:p>
            <w:pPr>
              <w:spacing w:line="560" w:lineRule="exact"/>
              <w:jc w:val="center"/>
              <w:rPr>
                <w:rFonts w:hint="eastAsia" w:ascii="宋体" w:hAnsi="宋体" w:eastAsia="宋体" w:cs="Times New Roman"/>
                <w:lang w:val="en-US" w:eastAsia="zh-CN"/>
              </w:rPr>
            </w:pPr>
            <w:r>
              <w:rPr>
                <w:rFonts w:hint="eastAsia" w:ascii="宋体" w:hAnsi="宋体" w:eastAsia="宋体" w:cs="Times New Roman"/>
                <w:lang w:val="en-US" w:eastAsia="zh-CN"/>
              </w:rPr>
              <w:t>20</w:t>
            </w:r>
          </w:p>
        </w:tc>
        <w:tc>
          <w:tcPr>
            <w:tcW w:w="992" w:type="dxa"/>
            <w:vAlign w:val="center"/>
          </w:tcPr>
          <w:p>
            <w:pPr>
              <w:spacing w:line="560" w:lineRule="exact"/>
              <w:jc w:val="center"/>
              <w:rPr>
                <w:rFonts w:hint="eastAsia" w:ascii="宋体" w:hAnsi="宋体" w:eastAsia="宋体" w:cs="Times New Roman"/>
                <w:lang w:val="en-US" w:eastAsia="zh-CN"/>
              </w:rPr>
            </w:pPr>
            <w:r>
              <w:rPr>
                <w:rFonts w:hint="eastAsia" w:ascii="宋体" w:hAnsi="宋体" w:eastAsia="宋体" w:cs="Times New Roman"/>
                <w:lang w:val="en-US" w:eastAsia="zh-CN"/>
              </w:rPr>
              <w:t>20</w:t>
            </w:r>
          </w:p>
        </w:tc>
        <w:tc>
          <w:tcPr>
            <w:tcW w:w="709" w:type="dxa"/>
            <w:vAlign w:val="center"/>
          </w:tcPr>
          <w:p>
            <w:pPr>
              <w:spacing w:line="560" w:lineRule="exact"/>
              <w:jc w:val="right"/>
              <w:rPr>
                <w:rFonts w:ascii="宋体" w:hAnsi="宋体" w:eastAsia="宋体" w:cs="Times New Roman"/>
              </w:rPr>
            </w:pPr>
          </w:p>
        </w:tc>
        <w:tc>
          <w:tcPr>
            <w:tcW w:w="709" w:type="dxa"/>
            <w:vAlign w:val="center"/>
          </w:tcPr>
          <w:p>
            <w:pPr>
              <w:spacing w:line="560" w:lineRule="exact"/>
              <w:jc w:val="right"/>
              <w:rPr>
                <w:rFonts w:ascii="宋体" w:hAnsi="宋体" w:eastAsia="宋体" w:cs="Times New Roman"/>
              </w:rPr>
            </w:pPr>
          </w:p>
        </w:tc>
        <w:tc>
          <w:tcPr>
            <w:tcW w:w="850" w:type="dxa"/>
            <w:vAlign w:val="center"/>
          </w:tcPr>
          <w:p>
            <w:pPr>
              <w:spacing w:line="560" w:lineRule="exact"/>
              <w:jc w:val="right"/>
              <w:rPr>
                <w:rFonts w:ascii="宋体" w:hAnsi="宋体" w:eastAsia="宋体" w:cs="Times New Roman"/>
              </w:rPr>
            </w:pPr>
          </w:p>
        </w:tc>
        <w:tc>
          <w:tcPr>
            <w:tcW w:w="851"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1" w:type="dxa"/>
            <w:vMerge w:val="continue"/>
          </w:tcPr>
          <w:p>
            <w:pPr>
              <w:spacing w:line="560" w:lineRule="exact"/>
              <w:jc w:val="center"/>
              <w:rPr>
                <w:rFonts w:hint="eastAsia"/>
              </w:rPr>
            </w:pPr>
          </w:p>
        </w:tc>
        <w:tc>
          <w:tcPr>
            <w:tcW w:w="851" w:type="dxa"/>
            <w:vMerge w:val="continue"/>
            <w:vAlign w:val="center"/>
          </w:tcPr>
          <w:p>
            <w:pPr>
              <w:spacing w:line="560" w:lineRule="exact"/>
              <w:jc w:val="right"/>
              <w:rPr>
                <w:rFonts w:hint="eastAsia" w:ascii="宋体" w:hAnsi="宋体" w:eastAsia="宋体" w:cs="Times New Roman"/>
              </w:rPr>
            </w:pPr>
          </w:p>
        </w:tc>
        <w:tc>
          <w:tcPr>
            <w:tcW w:w="1325" w:type="dxa"/>
            <w:vAlign w:val="center"/>
          </w:tcPr>
          <w:p>
            <w:pPr>
              <w:spacing w:line="560" w:lineRule="exact"/>
              <w:jc w:val="left"/>
              <w:rPr>
                <w:rFonts w:hint="eastAsia" w:ascii="宋体" w:hAnsi="宋体" w:eastAsia="宋体" w:cs="Times New Roman"/>
                <w:lang w:eastAsia="zh-CN"/>
              </w:rPr>
            </w:pPr>
            <w:r>
              <w:rPr>
                <w:rFonts w:hint="eastAsia" w:ascii="宋体" w:hAnsi="宋体" w:eastAsia="宋体" w:cs="Times New Roman"/>
                <w:lang w:eastAsia="zh-CN"/>
              </w:rPr>
              <w:t>蟹田稻米</w:t>
            </w:r>
          </w:p>
        </w:tc>
        <w:tc>
          <w:tcPr>
            <w:tcW w:w="608" w:type="dxa"/>
            <w:vAlign w:val="center"/>
          </w:tcPr>
          <w:p>
            <w:pPr>
              <w:keepNext w:val="0"/>
              <w:keepLines w:val="0"/>
              <w:widowControl/>
              <w:suppressLineNumbers w:val="0"/>
              <w:jc w:val="left"/>
            </w:pPr>
            <w:r>
              <w:rPr>
                <w:rFonts w:ascii="仿宋_GB2312" w:hAnsi="仿宋_GB2312" w:eastAsia="仿宋_GB2312" w:cs="仿宋_GB2312"/>
                <w:color w:val="000000"/>
                <w:kern w:val="0"/>
                <w:sz w:val="18"/>
                <w:szCs w:val="18"/>
                <w:lang w:val="en-US" w:eastAsia="zh-CN" w:bidi="ar"/>
              </w:rPr>
              <w:t>A150101</w:t>
            </w:r>
          </w:p>
          <w:p>
            <w:pPr>
              <w:spacing w:line="560" w:lineRule="exact"/>
              <w:jc w:val="left"/>
              <w:rPr>
                <w:rFonts w:ascii="宋体" w:hAnsi="宋体" w:eastAsia="宋体" w:cs="Times New Roman"/>
              </w:rPr>
            </w:pPr>
          </w:p>
        </w:tc>
        <w:tc>
          <w:tcPr>
            <w:tcW w:w="492" w:type="dxa"/>
            <w:vAlign w:val="center"/>
          </w:tcPr>
          <w:p>
            <w:pPr>
              <w:spacing w:line="560" w:lineRule="exact"/>
              <w:jc w:val="left"/>
              <w:rPr>
                <w:rFonts w:hint="eastAsia" w:ascii="宋体" w:hAnsi="宋体" w:eastAsia="宋体" w:cs="Times New Roman"/>
                <w:lang w:val="en-US" w:eastAsia="zh-CN"/>
              </w:rPr>
            </w:pPr>
            <w:r>
              <w:rPr>
                <w:rFonts w:hint="eastAsia" w:ascii="宋体" w:hAnsi="宋体" w:eastAsia="宋体" w:cs="Times New Roman"/>
                <w:lang w:eastAsia="zh-CN"/>
              </w:rPr>
              <w:t>袋</w:t>
            </w:r>
          </w:p>
        </w:tc>
        <w:tc>
          <w:tcPr>
            <w:tcW w:w="737" w:type="dxa"/>
            <w:vAlign w:val="center"/>
          </w:tcPr>
          <w:p>
            <w:pPr>
              <w:spacing w:line="560" w:lineRule="exact"/>
              <w:jc w:val="right"/>
              <w:rPr>
                <w:rFonts w:hint="eastAsia" w:ascii="宋体" w:hAnsi="宋体" w:eastAsia="宋体" w:cs="Times New Roman"/>
                <w:lang w:val="en-US" w:eastAsia="zh-CN"/>
              </w:rPr>
            </w:pPr>
            <w:r>
              <w:rPr>
                <w:rFonts w:hint="eastAsia" w:ascii="宋体" w:hAnsi="宋体" w:eastAsia="宋体" w:cs="Times New Roman"/>
                <w:lang w:val="en-US" w:eastAsia="zh-CN"/>
              </w:rPr>
              <w:t>2500</w:t>
            </w:r>
          </w:p>
        </w:tc>
        <w:tc>
          <w:tcPr>
            <w:tcW w:w="948" w:type="dxa"/>
            <w:vAlign w:val="center"/>
          </w:tcPr>
          <w:p>
            <w:pPr>
              <w:spacing w:line="560" w:lineRule="exact"/>
              <w:jc w:val="right"/>
              <w:rPr>
                <w:rFonts w:hint="eastAsia" w:ascii="宋体" w:hAnsi="宋体" w:eastAsia="宋体" w:cs="Times New Roman"/>
                <w:lang w:val="en-US" w:eastAsia="zh-CN"/>
              </w:rPr>
            </w:pPr>
            <w:r>
              <w:rPr>
                <w:rFonts w:hint="eastAsia" w:ascii="宋体" w:hAnsi="宋体" w:eastAsia="宋体" w:cs="Times New Roman"/>
                <w:lang w:val="en-US" w:eastAsia="zh-CN"/>
              </w:rPr>
              <w:t>0.0065</w:t>
            </w:r>
          </w:p>
        </w:tc>
        <w:tc>
          <w:tcPr>
            <w:tcW w:w="851" w:type="dxa"/>
            <w:vAlign w:val="center"/>
          </w:tcPr>
          <w:p>
            <w:pPr>
              <w:spacing w:line="560" w:lineRule="exact"/>
              <w:jc w:val="center"/>
              <w:rPr>
                <w:rFonts w:hint="eastAsia" w:ascii="宋体" w:hAnsi="宋体" w:eastAsia="宋体" w:cs="Times New Roman"/>
                <w:lang w:val="en-US" w:eastAsia="zh-CN"/>
              </w:rPr>
            </w:pPr>
            <w:r>
              <w:rPr>
                <w:rFonts w:hint="eastAsia" w:ascii="宋体" w:hAnsi="宋体" w:eastAsia="宋体" w:cs="Times New Roman"/>
                <w:lang w:val="en-US" w:eastAsia="zh-CN"/>
              </w:rPr>
              <w:t>16.25</w:t>
            </w:r>
          </w:p>
        </w:tc>
        <w:tc>
          <w:tcPr>
            <w:tcW w:w="992" w:type="dxa"/>
            <w:vAlign w:val="center"/>
          </w:tcPr>
          <w:p>
            <w:pPr>
              <w:spacing w:line="560" w:lineRule="exact"/>
              <w:jc w:val="center"/>
              <w:rPr>
                <w:rFonts w:hint="eastAsia" w:ascii="宋体" w:hAnsi="宋体" w:eastAsia="宋体" w:cs="Times New Roman"/>
                <w:lang w:val="en-US" w:eastAsia="zh-CN"/>
              </w:rPr>
            </w:pPr>
            <w:r>
              <w:rPr>
                <w:rFonts w:hint="eastAsia" w:ascii="宋体" w:hAnsi="宋体" w:eastAsia="宋体" w:cs="Times New Roman"/>
                <w:lang w:val="en-US" w:eastAsia="zh-CN"/>
              </w:rPr>
              <w:t>16.25</w:t>
            </w:r>
          </w:p>
        </w:tc>
        <w:tc>
          <w:tcPr>
            <w:tcW w:w="992" w:type="dxa"/>
            <w:vAlign w:val="center"/>
          </w:tcPr>
          <w:p>
            <w:pPr>
              <w:spacing w:line="560" w:lineRule="exact"/>
              <w:jc w:val="center"/>
              <w:rPr>
                <w:rFonts w:hint="eastAsia" w:ascii="宋体" w:hAnsi="宋体" w:eastAsia="宋体" w:cs="Times New Roman"/>
                <w:lang w:val="en-US" w:eastAsia="zh-CN"/>
              </w:rPr>
            </w:pPr>
            <w:r>
              <w:rPr>
                <w:rFonts w:hint="eastAsia" w:ascii="宋体" w:hAnsi="宋体" w:eastAsia="宋体" w:cs="Times New Roman"/>
                <w:lang w:val="en-US" w:eastAsia="zh-CN"/>
              </w:rPr>
              <w:t>16.25</w:t>
            </w:r>
          </w:p>
        </w:tc>
        <w:tc>
          <w:tcPr>
            <w:tcW w:w="709" w:type="dxa"/>
            <w:vAlign w:val="center"/>
          </w:tcPr>
          <w:p>
            <w:pPr>
              <w:spacing w:line="560" w:lineRule="exact"/>
              <w:jc w:val="right"/>
              <w:rPr>
                <w:rFonts w:ascii="宋体" w:hAnsi="宋体" w:eastAsia="宋体" w:cs="Times New Roman"/>
              </w:rPr>
            </w:pPr>
          </w:p>
        </w:tc>
        <w:tc>
          <w:tcPr>
            <w:tcW w:w="709" w:type="dxa"/>
            <w:vAlign w:val="center"/>
          </w:tcPr>
          <w:p>
            <w:pPr>
              <w:spacing w:line="560" w:lineRule="exact"/>
              <w:jc w:val="right"/>
              <w:rPr>
                <w:rFonts w:ascii="宋体" w:hAnsi="宋体" w:eastAsia="宋体" w:cs="Times New Roman"/>
              </w:rPr>
            </w:pPr>
          </w:p>
        </w:tc>
        <w:tc>
          <w:tcPr>
            <w:tcW w:w="850" w:type="dxa"/>
            <w:vAlign w:val="center"/>
          </w:tcPr>
          <w:p>
            <w:pPr>
              <w:spacing w:line="560" w:lineRule="exact"/>
              <w:jc w:val="right"/>
              <w:rPr>
                <w:rFonts w:ascii="宋体" w:hAnsi="宋体" w:eastAsia="宋体" w:cs="Times New Roman"/>
              </w:rPr>
            </w:pPr>
          </w:p>
        </w:tc>
        <w:tc>
          <w:tcPr>
            <w:tcW w:w="851"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1" w:type="dxa"/>
          </w:tcPr>
          <w:p>
            <w:pPr>
              <w:spacing w:line="560" w:lineRule="exact"/>
              <w:jc w:val="center"/>
            </w:pPr>
            <w:r>
              <w:rPr>
                <w:rFonts w:hint="eastAsia"/>
              </w:rPr>
              <w:t>通用设备</w:t>
            </w:r>
          </w:p>
        </w:tc>
        <w:tc>
          <w:tcPr>
            <w:tcW w:w="851" w:type="dxa"/>
            <w:vAlign w:val="center"/>
          </w:tcPr>
          <w:p>
            <w:pPr>
              <w:spacing w:line="560" w:lineRule="exact"/>
              <w:jc w:val="right"/>
              <w:rPr>
                <w:rFonts w:ascii="宋体" w:hAnsi="宋体" w:eastAsia="宋体" w:cs="Times New Roman"/>
              </w:rPr>
            </w:pPr>
            <w:r>
              <w:rPr>
                <w:rFonts w:hint="eastAsia" w:ascii="宋体" w:hAnsi="宋体" w:eastAsia="宋体" w:cs="Times New Roman"/>
              </w:rPr>
              <w:t>4</w:t>
            </w:r>
          </w:p>
        </w:tc>
        <w:tc>
          <w:tcPr>
            <w:tcW w:w="1325" w:type="dxa"/>
            <w:vAlign w:val="center"/>
          </w:tcPr>
          <w:p>
            <w:pPr>
              <w:spacing w:line="560" w:lineRule="exact"/>
              <w:jc w:val="left"/>
              <w:rPr>
                <w:rFonts w:hint="eastAsia" w:ascii="宋体" w:hAnsi="宋体" w:eastAsia="宋体" w:cs="Times New Roman"/>
                <w:lang w:eastAsia="zh-CN"/>
              </w:rPr>
            </w:pPr>
            <w:r>
              <w:rPr>
                <w:rFonts w:hint="eastAsia" w:ascii="宋体" w:hAnsi="宋体" w:eastAsia="宋体" w:cs="Times New Roman"/>
                <w:lang w:eastAsia="zh-CN"/>
              </w:rPr>
              <w:t>台式电脑</w:t>
            </w:r>
          </w:p>
        </w:tc>
        <w:tc>
          <w:tcPr>
            <w:tcW w:w="608" w:type="dxa"/>
            <w:vAlign w:val="center"/>
          </w:tcPr>
          <w:p>
            <w:pPr>
              <w:keepNext w:val="0"/>
              <w:keepLines w:val="0"/>
              <w:widowControl/>
              <w:suppressLineNumbers w:val="0"/>
              <w:jc w:val="left"/>
            </w:pPr>
            <w:r>
              <w:rPr>
                <w:rFonts w:ascii="仿宋_GB2312" w:hAnsi="仿宋_GB2312" w:eastAsia="仿宋_GB2312" w:cs="仿宋_GB2312"/>
                <w:color w:val="000000"/>
                <w:kern w:val="0"/>
                <w:sz w:val="18"/>
                <w:szCs w:val="18"/>
                <w:lang w:val="en-US" w:eastAsia="zh-CN" w:bidi="ar"/>
              </w:rPr>
              <w:t>A02010104</w:t>
            </w:r>
          </w:p>
          <w:p>
            <w:pPr>
              <w:spacing w:line="560" w:lineRule="exact"/>
              <w:jc w:val="left"/>
              <w:rPr>
                <w:rFonts w:ascii="宋体" w:hAnsi="宋体" w:eastAsia="宋体" w:cs="Times New Roman"/>
              </w:rPr>
            </w:pPr>
          </w:p>
        </w:tc>
        <w:tc>
          <w:tcPr>
            <w:tcW w:w="492" w:type="dxa"/>
            <w:vAlign w:val="center"/>
          </w:tcPr>
          <w:p>
            <w:pPr>
              <w:spacing w:line="560" w:lineRule="exact"/>
              <w:jc w:val="left"/>
              <w:rPr>
                <w:rFonts w:hint="eastAsia" w:ascii="宋体" w:hAnsi="宋体" w:eastAsia="宋体" w:cs="Times New Roman"/>
                <w:lang w:eastAsia="zh-CN"/>
              </w:rPr>
            </w:pPr>
            <w:r>
              <w:rPr>
                <w:rFonts w:hint="eastAsia" w:ascii="宋体" w:hAnsi="宋体" w:eastAsia="宋体" w:cs="Times New Roman"/>
                <w:lang w:eastAsia="zh-CN"/>
              </w:rPr>
              <w:t>台</w:t>
            </w:r>
          </w:p>
        </w:tc>
        <w:tc>
          <w:tcPr>
            <w:tcW w:w="737" w:type="dxa"/>
            <w:vAlign w:val="center"/>
          </w:tcPr>
          <w:p>
            <w:pPr>
              <w:spacing w:line="560" w:lineRule="exact"/>
              <w:jc w:val="right"/>
              <w:rPr>
                <w:rFonts w:hint="eastAsia" w:ascii="宋体" w:hAnsi="宋体" w:eastAsia="宋体" w:cs="Times New Roman"/>
                <w:lang w:val="en-US" w:eastAsia="zh-CN"/>
              </w:rPr>
            </w:pPr>
            <w:r>
              <w:rPr>
                <w:rFonts w:hint="eastAsia" w:ascii="宋体" w:hAnsi="宋体" w:eastAsia="宋体" w:cs="Times New Roman"/>
                <w:lang w:val="en-US" w:eastAsia="zh-CN"/>
              </w:rPr>
              <w:t>5</w:t>
            </w:r>
          </w:p>
        </w:tc>
        <w:tc>
          <w:tcPr>
            <w:tcW w:w="948" w:type="dxa"/>
            <w:vAlign w:val="center"/>
          </w:tcPr>
          <w:p>
            <w:pPr>
              <w:spacing w:line="560" w:lineRule="exact"/>
              <w:jc w:val="right"/>
              <w:rPr>
                <w:rFonts w:hint="eastAsia" w:ascii="宋体" w:hAnsi="宋体" w:eastAsia="宋体" w:cs="Times New Roman"/>
                <w:lang w:val="en-US" w:eastAsia="zh-CN"/>
              </w:rPr>
            </w:pPr>
            <w:r>
              <w:rPr>
                <w:rFonts w:hint="eastAsia" w:ascii="宋体" w:hAnsi="宋体" w:eastAsia="宋体" w:cs="Times New Roman"/>
                <w:lang w:val="en-US" w:eastAsia="zh-CN"/>
              </w:rPr>
              <w:t>0.48</w:t>
            </w:r>
          </w:p>
        </w:tc>
        <w:tc>
          <w:tcPr>
            <w:tcW w:w="851" w:type="dxa"/>
            <w:vAlign w:val="center"/>
          </w:tcPr>
          <w:p>
            <w:pPr>
              <w:spacing w:line="560" w:lineRule="exact"/>
              <w:ind w:right="-84" w:rightChars="-40"/>
              <w:jc w:val="center"/>
              <w:rPr>
                <w:rFonts w:hint="eastAsia" w:ascii="宋体" w:hAnsi="宋体" w:eastAsia="宋体" w:cs="Times New Roman"/>
                <w:lang w:val="en-US" w:eastAsia="zh-CN"/>
              </w:rPr>
            </w:pPr>
            <w:r>
              <w:rPr>
                <w:rFonts w:hint="eastAsia" w:ascii="宋体" w:hAnsi="宋体" w:eastAsia="宋体" w:cs="Times New Roman"/>
                <w:lang w:val="en-US" w:eastAsia="zh-CN"/>
              </w:rPr>
              <w:t>2.4</w:t>
            </w:r>
          </w:p>
        </w:tc>
        <w:tc>
          <w:tcPr>
            <w:tcW w:w="992" w:type="dxa"/>
            <w:vAlign w:val="center"/>
          </w:tcPr>
          <w:p>
            <w:pPr>
              <w:spacing w:line="560" w:lineRule="exact"/>
              <w:ind w:right="-84" w:rightChars="-40"/>
              <w:jc w:val="center"/>
              <w:rPr>
                <w:rFonts w:hint="eastAsia" w:ascii="宋体" w:hAnsi="宋体" w:eastAsia="宋体" w:cs="Times New Roman"/>
                <w:lang w:val="en-US" w:eastAsia="zh-CN"/>
              </w:rPr>
            </w:pPr>
            <w:r>
              <w:rPr>
                <w:rFonts w:hint="eastAsia" w:ascii="宋体" w:hAnsi="宋体" w:eastAsia="宋体" w:cs="Times New Roman"/>
                <w:lang w:val="en-US" w:eastAsia="zh-CN"/>
              </w:rPr>
              <w:t>2.4</w:t>
            </w:r>
          </w:p>
        </w:tc>
        <w:tc>
          <w:tcPr>
            <w:tcW w:w="992" w:type="dxa"/>
            <w:vAlign w:val="center"/>
          </w:tcPr>
          <w:p>
            <w:pPr>
              <w:spacing w:line="560" w:lineRule="exact"/>
              <w:ind w:right="-84" w:rightChars="-40"/>
              <w:jc w:val="center"/>
              <w:rPr>
                <w:rFonts w:hint="eastAsia" w:ascii="宋体" w:hAnsi="宋体" w:eastAsia="宋体" w:cs="Times New Roman"/>
                <w:lang w:val="en-US" w:eastAsia="zh-CN"/>
              </w:rPr>
            </w:pPr>
            <w:r>
              <w:rPr>
                <w:rFonts w:hint="eastAsia" w:ascii="宋体" w:hAnsi="宋体" w:eastAsia="宋体" w:cs="Times New Roman"/>
                <w:lang w:val="en-US" w:eastAsia="zh-CN"/>
              </w:rPr>
              <w:t>2.4</w:t>
            </w:r>
          </w:p>
        </w:tc>
        <w:tc>
          <w:tcPr>
            <w:tcW w:w="709" w:type="dxa"/>
            <w:vAlign w:val="center"/>
          </w:tcPr>
          <w:p>
            <w:pPr>
              <w:spacing w:line="560" w:lineRule="exact"/>
              <w:jc w:val="right"/>
              <w:rPr>
                <w:rFonts w:ascii="宋体" w:hAnsi="宋体" w:eastAsia="宋体" w:cs="Times New Roman"/>
              </w:rPr>
            </w:pPr>
          </w:p>
        </w:tc>
        <w:tc>
          <w:tcPr>
            <w:tcW w:w="709" w:type="dxa"/>
            <w:vAlign w:val="center"/>
          </w:tcPr>
          <w:p>
            <w:pPr>
              <w:spacing w:line="560" w:lineRule="exact"/>
              <w:jc w:val="right"/>
              <w:rPr>
                <w:rFonts w:ascii="宋体" w:hAnsi="宋体" w:eastAsia="宋体" w:cs="Times New Roman"/>
              </w:rPr>
            </w:pPr>
          </w:p>
        </w:tc>
        <w:tc>
          <w:tcPr>
            <w:tcW w:w="850" w:type="dxa"/>
            <w:vAlign w:val="center"/>
          </w:tcPr>
          <w:p>
            <w:pPr>
              <w:spacing w:line="560" w:lineRule="exact"/>
              <w:jc w:val="right"/>
              <w:rPr>
                <w:rFonts w:ascii="宋体" w:hAnsi="宋体" w:eastAsia="宋体" w:cs="Times New Roman"/>
              </w:rPr>
            </w:pPr>
          </w:p>
        </w:tc>
        <w:tc>
          <w:tcPr>
            <w:tcW w:w="851"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1" w:type="dxa"/>
          </w:tcPr>
          <w:p>
            <w:pPr>
              <w:spacing w:line="560" w:lineRule="exact"/>
              <w:jc w:val="center"/>
              <w:rPr>
                <w:rFonts w:hint="eastAsia"/>
              </w:rPr>
            </w:pPr>
          </w:p>
        </w:tc>
        <w:tc>
          <w:tcPr>
            <w:tcW w:w="851" w:type="dxa"/>
            <w:vAlign w:val="center"/>
          </w:tcPr>
          <w:p>
            <w:pPr>
              <w:spacing w:line="560" w:lineRule="exact"/>
              <w:jc w:val="right"/>
              <w:rPr>
                <w:rFonts w:hint="eastAsia" w:ascii="宋体" w:hAnsi="宋体" w:eastAsia="宋体" w:cs="Times New Roman"/>
              </w:rPr>
            </w:pPr>
          </w:p>
        </w:tc>
        <w:tc>
          <w:tcPr>
            <w:tcW w:w="1325" w:type="dxa"/>
            <w:vAlign w:val="center"/>
          </w:tcPr>
          <w:p>
            <w:pPr>
              <w:spacing w:line="560" w:lineRule="exact"/>
              <w:jc w:val="left"/>
              <w:rPr>
                <w:rFonts w:hint="eastAsia" w:ascii="宋体" w:hAnsi="宋体" w:eastAsia="宋体" w:cs="Times New Roman"/>
                <w:lang w:eastAsia="zh-CN"/>
              </w:rPr>
            </w:pPr>
            <w:r>
              <w:rPr>
                <w:rFonts w:hint="eastAsia" w:ascii="宋体" w:hAnsi="宋体" w:eastAsia="宋体" w:cs="Times New Roman"/>
                <w:lang w:eastAsia="zh-CN"/>
              </w:rPr>
              <w:t>针式打印机</w:t>
            </w:r>
          </w:p>
        </w:tc>
        <w:tc>
          <w:tcPr>
            <w:tcW w:w="608" w:type="dxa"/>
            <w:vAlign w:val="center"/>
          </w:tcPr>
          <w:p>
            <w:pPr>
              <w:keepNext w:val="0"/>
              <w:keepLines w:val="0"/>
              <w:widowControl/>
              <w:suppressLineNumbers w:val="0"/>
              <w:jc w:val="left"/>
            </w:pPr>
            <w:r>
              <w:rPr>
                <w:rFonts w:ascii="仿宋_GB2312" w:hAnsi="仿宋_GB2312" w:eastAsia="仿宋_GB2312" w:cs="仿宋_GB2312"/>
                <w:color w:val="000000"/>
                <w:kern w:val="0"/>
                <w:sz w:val="18"/>
                <w:szCs w:val="18"/>
                <w:lang w:val="en-US" w:eastAsia="zh-CN" w:bidi="ar"/>
              </w:rPr>
              <w:t>A0201060104</w:t>
            </w:r>
          </w:p>
          <w:p>
            <w:pPr>
              <w:spacing w:line="560" w:lineRule="exact"/>
              <w:jc w:val="left"/>
              <w:rPr>
                <w:rFonts w:ascii="宋体" w:hAnsi="宋体" w:eastAsia="宋体" w:cs="Times New Roman"/>
              </w:rPr>
            </w:pPr>
          </w:p>
        </w:tc>
        <w:tc>
          <w:tcPr>
            <w:tcW w:w="492" w:type="dxa"/>
            <w:vAlign w:val="center"/>
          </w:tcPr>
          <w:p>
            <w:pPr>
              <w:spacing w:line="560" w:lineRule="exact"/>
              <w:jc w:val="left"/>
              <w:rPr>
                <w:rFonts w:hint="eastAsia" w:ascii="宋体" w:hAnsi="宋体" w:eastAsia="宋体" w:cs="Times New Roman"/>
                <w:lang w:eastAsia="zh-CN"/>
              </w:rPr>
            </w:pPr>
            <w:r>
              <w:rPr>
                <w:rFonts w:hint="eastAsia" w:ascii="宋体" w:hAnsi="宋体" w:eastAsia="宋体" w:cs="Times New Roman"/>
                <w:lang w:eastAsia="zh-CN"/>
              </w:rPr>
              <w:t>台</w:t>
            </w:r>
          </w:p>
        </w:tc>
        <w:tc>
          <w:tcPr>
            <w:tcW w:w="737" w:type="dxa"/>
            <w:vAlign w:val="center"/>
          </w:tcPr>
          <w:p>
            <w:pPr>
              <w:spacing w:line="560" w:lineRule="exact"/>
              <w:jc w:val="right"/>
              <w:rPr>
                <w:rFonts w:hint="eastAsia" w:ascii="宋体" w:hAnsi="宋体" w:eastAsia="宋体" w:cs="Times New Roman"/>
                <w:lang w:val="en-US" w:eastAsia="zh-CN"/>
              </w:rPr>
            </w:pPr>
            <w:r>
              <w:rPr>
                <w:rFonts w:hint="eastAsia" w:ascii="宋体" w:hAnsi="宋体" w:eastAsia="宋体" w:cs="Times New Roman"/>
                <w:lang w:val="en-US" w:eastAsia="zh-CN"/>
              </w:rPr>
              <w:t>4</w:t>
            </w:r>
          </w:p>
        </w:tc>
        <w:tc>
          <w:tcPr>
            <w:tcW w:w="948" w:type="dxa"/>
            <w:vAlign w:val="center"/>
          </w:tcPr>
          <w:p>
            <w:pPr>
              <w:spacing w:line="560" w:lineRule="exact"/>
              <w:jc w:val="right"/>
              <w:rPr>
                <w:rFonts w:hint="eastAsia" w:ascii="宋体" w:hAnsi="宋体" w:eastAsia="宋体" w:cs="Times New Roman"/>
                <w:lang w:val="en-US" w:eastAsia="zh-CN"/>
              </w:rPr>
            </w:pPr>
            <w:r>
              <w:rPr>
                <w:rFonts w:hint="eastAsia" w:ascii="宋体" w:hAnsi="宋体" w:eastAsia="宋体" w:cs="Times New Roman"/>
                <w:lang w:val="en-US" w:eastAsia="zh-CN"/>
              </w:rPr>
              <w:t>0.3</w:t>
            </w:r>
          </w:p>
        </w:tc>
        <w:tc>
          <w:tcPr>
            <w:tcW w:w="851" w:type="dxa"/>
            <w:vAlign w:val="center"/>
          </w:tcPr>
          <w:p>
            <w:pPr>
              <w:spacing w:line="560" w:lineRule="exact"/>
              <w:ind w:right="-84" w:rightChars="-40"/>
              <w:jc w:val="center"/>
              <w:rPr>
                <w:rFonts w:hint="eastAsia" w:ascii="宋体" w:hAnsi="宋体" w:eastAsia="宋体" w:cs="Times New Roman"/>
                <w:lang w:val="en-US" w:eastAsia="zh-CN"/>
              </w:rPr>
            </w:pPr>
            <w:r>
              <w:rPr>
                <w:rFonts w:hint="eastAsia" w:ascii="宋体" w:hAnsi="宋体" w:eastAsia="宋体" w:cs="Times New Roman"/>
                <w:lang w:val="en-US" w:eastAsia="zh-CN"/>
              </w:rPr>
              <w:t>1.2</w:t>
            </w:r>
          </w:p>
        </w:tc>
        <w:tc>
          <w:tcPr>
            <w:tcW w:w="992" w:type="dxa"/>
            <w:vAlign w:val="center"/>
          </w:tcPr>
          <w:p>
            <w:pPr>
              <w:spacing w:line="560" w:lineRule="exact"/>
              <w:ind w:right="-84" w:rightChars="-40"/>
              <w:jc w:val="center"/>
              <w:rPr>
                <w:rFonts w:hint="eastAsia" w:ascii="宋体" w:hAnsi="宋体" w:eastAsia="宋体" w:cs="Times New Roman"/>
                <w:lang w:val="en-US" w:eastAsia="zh-CN"/>
              </w:rPr>
            </w:pPr>
            <w:r>
              <w:rPr>
                <w:rFonts w:hint="eastAsia" w:ascii="宋体" w:hAnsi="宋体" w:eastAsia="宋体" w:cs="Times New Roman"/>
                <w:lang w:val="en-US" w:eastAsia="zh-CN"/>
              </w:rPr>
              <w:t>1.2</w:t>
            </w:r>
          </w:p>
        </w:tc>
        <w:tc>
          <w:tcPr>
            <w:tcW w:w="992" w:type="dxa"/>
            <w:vAlign w:val="center"/>
          </w:tcPr>
          <w:p>
            <w:pPr>
              <w:spacing w:line="560" w:lineRule="exact"/>
              <w:ind w:right="-84" w:rightChars="-40"/>
              <w:jc w:val="center"/>
              <w:rPr>
                <w:rFonts w:hint="eastAsia" w:ascii="宋体" w:hAnsi="宋体" w:eastAsia="宋体" w:cs="Times New Roman"/>
                <w:lang w:val="en-US" w:eastAsia="zh-CN"/>
              </w:rPr>
            </w:pPr>
            <w:r>
              <w:rPr>
                <w:rFonts w:hint="eastAsia" w:ascii="宋体" w:hAnsi="宋体" w:eastAsia="宋体" w:cs="Times New Roman"/>
                <w:lang w:val="en-US" w:eastAsia="zh-CN"/>
              </w:rPr>
              <w:t>1.2</w:t>
            </w:r>
          </w:p>
        </w:tc>
        <w:tc>
          <w:tcPr>
            <w:tcW w:w="709" w:type="dxa"/>
            <w:vAlign w:val="center"/>
          </w:tcPr>
          <w:p>
            <w:pPr>
              <w:spacing w:line="560" w:lineRule="exact"/>
              <w:jc w:val="right"/>
              <w:rPr>
                <w:rFonts w:ascii="宋体" w:hAnsi="宋体" w:eastAsia="宋体" w:cs="Times New Roman"/>
              </w:rPr>
            </w:pPr>
          </w:p>
        </w:tc>
        <w:tc>
          <w:tcPr>
            <w:tcW w:w="709" w:type="dxa"/>
            <w:vAlign w:val="center"/>
          </w:tcPr>
          <w:p>
            <w:pPr>
              <w:spacing w:line="560" w:lineRule="exact"/>
              <w:jc w:val="right"/>
              <w:rPr>
                <w:rFonts w:ascii="宋体" w:hAnsi="宋体" w:eastAsia="宋体" w:cs="Times New Roman"/>
              </w:rPr>
            </w:pPr>
          </w:p>
        </w:tc>
        <w:tc>
          <w:tcPr>
            <w:tcW w:w="850" w:type="dxa"/>
            <w:vAlign w:val="center"/>
          </w:tcPr>
          <w:p>
            <w:pPr>
              <w:spacing w:line="560" w:lineRule="exact"/>
              <w:jc w:val="right"/>
              <w:rPr>
                <w:rFonts w:ascii="宋体" w:hAnsi="宋体" w:eastAsia="宋体" w:cs="Times New Roman"/>
              </w:rPr>
            </w:pPr>
          </w:p>
        </w:tc>
        <w:tc>
          <w:tcPr>
            <w:tcW w:w="851"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1" w:type="dxa"/>
          </w:tcPr>
          <w:p>
            <w:pPr>
              <w:spacing w:line="560" w:lineRule="exact"/>
              <w:jc w:val="center"/>
              <w:rPr>
                <w:rFonts w:hint="eastAsia"/>
              </w:rPr>
            </w:pPr>
          </w:p>
        </w:tc>
        <w:tc>
          <w:tcPr>
            <w:tcW w:w="851" w:type="dxa"/>
            <w:vAlign w:val="center"/>
          </w:tcPr>
          <w:p>
            <w:pPr>
              <w:spacing w:line="560" w:lineRule="exact"/>
              <w:jc w:val="right"/>
              <w:rPr>
                <w:rFonts w:hint="eastAsia" w:ascii="宋体" w:hAnsi="宋体" w:eastAsia="宋体" w:cs="Times New Roman"/>
              </w:rPr>
            </w:pPr>
          </w:p>
        </w:tc>
        <w:tc>
          <w:tcPr>
            <w:tcW w:w="1325" w:type="dxa"/>
            <w:vAlign w:val="center"/>
          </w:tcPr>
          <w:p>
            <w:pPr>
              <w:spacing w:line="560" w:lineRule="exact"/>
              <w:jc w:val="left"/>
              <w:rPr>
                <w:rFonts w:hint="eastAsia" w:ascii="宋体" w:hAnsi="宋体" w:eastAsia="宋体" w:cs="Times New Roman"/>
                <w:lang w:eastAsia="zh-CN"/>
              </w:rPr>
            </w:pPr>
            <w:r>
              <w:rPr>
                <w:rFonts w:hint="eastAsia" w:ascii="宋体" w:hAnsi="宋体" w:eastAsia="宋体" w:cs="Times New Roman"/>
                <w:lang w:eastAsia="zh-CN"/>
              </w:rPr>
              <w:t>一体机</w:t>
            </w:r>
          </w:p>
        </w:tc>
        <w:tc>
          <w:tcPr>
            <w:tcW w:w="608" w:type="dxa"/>
            <w:vAlign w:val="center"/>
          </w:tcPr>
          <w:p>
            <w:pPr>
              <w:keepNext w:val="0"/>
              <w:keepLines w:val="0"/>
              <w:widowControl/>
              <w:suppressLineNumbers w:val="0"/>
              <w:jc w:val="left"/>
            </w:pPr>
            <w:r>
              <w:rPr>
                <w:rFonts w:ascii="仿宋_GB2312" w:hAnsi="仿宋_GB2312" w:eastAsia="仿宋_GB2312" w:cs="仿宋_GB2312"/>
                <w:color w:val="000000"/>
                <w:kern w:val="0"/>
                <w:sz w:val="18"/>
                <w:szCs w:val="18"/>
                <w:lang w:val="en-US" w:eastAsia="zh-CN" w:bidi="ar"/>
              </w:rPr>
              <w:t>A0201060104</w:t>
            </w:r>
          </w:p>
          <w:p>
            <w:pPr>
              <w:spacing w:line="560" w:lineRule="exact"/>
              <w:jc w:val="left"/>
              <w:rPr>
                <w:rFonts w:ascii="宋体" w:hAnsi="宋体" w:eastAsia="宋体" w:cs="Times New Roman"/>
              </w:rPr>
            </w:pPr>
          </w:p>
        </w:tc>
        <w:tc>
          <w:tcPr>
            <w:tcW w:w="492" w:type="dxa"/>
            <w:vAlign w:val="center"/>
          </w:tcPr>
          <w:p>
            <w:pPr>
              <w:spacing w:line="560" w:lineRule="exact"/>
              <w:jc w:val="left"/>
              <w:rPr>
                <w:rFonts w:hint="eastAsia" w:ascii="宋体" w:hAnsi="宋体" w:eastAsia="宋体" w:cs="Times New Roman"/>
                <w:lang w:eastAsia="zh-CN"/>
              </w:rPr>
            </w:pPr>
            <w:r>
              <w:rPr>
                <w:rFonts w:hint="eastAsia" w:ascii="宋体" w:hAnsi="宋体" w:eastAsia="宋体" w:cs="Times New Roman"/>
                <w:lang w:eastAsia="zh-CN"/>
              </w:rPr>
              <w:t>台</w:t>
            </w:r>
          </w:p>
        </w:tc>
        <w:tc>
          <w:tcPr>
            <w:tcW w:w="737" w:type="dxa"/>
            <w:vAlign w:val="center"/>
          </w:tcPr>
          <w:p>
            <w:pPr>
              <w:spacing w:line="560" w:lineRule="exact"/>
              <w:jc w:val="right"/>
              <w:rPr>
                <w:rFonts w:hint="eastAsia" w:ascii="宋体" w:hAnsi="宋体" w:eastAsia="宋体" w:cs="Times New Roman"/>
                <w:lang w:val="en-US" w:eastAsia="zh-CN"/>
              </w:rPr>
            </w:pPr>
            <w:r>
              <w:rPr>
                <w:rFonts w:hint="eastAsia" w:ascii="宋体" w:hAnsi="宋体" w:eastAsia="宋体" w:cs="Times New Roman"/>
                <w:lang w:val="en-US" w:eastAsia="zh-CN"/>
              </w:rPr>
              <w:t>2</w:t>
            </w:r>
          </w:p>
        </w:tc>
        <w:tc>
          <w:tcPr>
            <w:tcW w:w="948" w:type="dxa"/>
            <w:vAlign w:val="center"/>
          </w:tcPr>
          <w:p>
            <w:pPr>
              <w:spacing w:line="560" w:lineRule="exact"/>
              <w:jc w:val="right"/>
              <w:rPr>
                <w:rFonts w:hint="eastAsia" w:ascii="宋体" w:hAnsi="宋体" w:eastAsia="宋体" w:cs="Times New Roman"/>
                <w:lang w:val="en-US" w:eastAsia="zh-CN"/>
              </w:rPr>
            </w:pPr>
            <w:r>
              <w:rPr>
                <w:rFonts w:hint="eastAsia" w:ascii="宋体" w:hAnsi="宋体" w:eastAsia="宋体" w:cs="Times New Roman"/>
                <w:lang w:val="en-US" w:eastAsia="zh-CN"/>
              </w:rPr>
              <w:t>0.2</w:t>
            </w:r>
          </w:p>
        </w:tc>
        <w:tc>
          <w:tcPr>
            <w:tcW w:w="851" w:type="dxa"/>
            <w:vAlign w:val="center"/>
          </w:tcPr>
          <w:p>
            <w:pPr>
              <w:spacing w:line="560" w:lineRule="exact"/>
              <w:ind w:right="-84" w:rightChars="-40"/>
              <w:jc w:val="center"/>
              <w:rPr>
                <w:rFonts w:hint="eastAsia" w:ascii="宋体" w:hAnsi="宋体" w:eastAsia="宋体" w:cs="Times New Roman"/>
                <w:lang w:val="en-US" w:eastAsia="zh-CN"/>
              </w:rPr>
            </w:pPr>
            <w:r>
              <w:rPr>
                <w:rFonts w:hint="eastAsia" w:ascii="宋体" w:hAnsi="宋体" w:eastAsia="宋体" w:cs="Times New Roman"/>
                <w:lang w:val="en-US" w:eastAsia="zh-CN"/>
              </w:rPr>
              <w:t>04</w:t>
            </w:r>
          </w:p>
        </w:tc>
        <w:tc>
          <w:tcPr>
            <w:tcW w:w="992" w:type="dxa"/>
            <w:vAlign w:val="center"/>
          </w:tcPr>
          <w:p>
            <w:pPr>
              <w:spacing w:line="560" w:lineRule="exact"/>
              <w:ind w:right="-84" w:rightChars="-40"/>
              <w:jc w:val="center"/>
              <w:rPr>
                <w:rFonts w:hint="eastAsia" w:ascii="宋体" w:hAnsi="宋体" w:eastAsia="宋体" w:cs="Times New Roman"/>
                <w:lang w:val="en-US" w:eastAsia="zh-CN"/>
              </w:rPr>
            </w:pPr>
            <w:r>
              <w:rPr>
                <w:rFonts w:hint="eastAsia" w:ascii="宋体" w:hAnsi="宋体" w:eastAsia="宋体" w:cs="Times New Roman"/>
                <w:lang w:val="en-US" w:eastAsia="zh-CN"/>
              </w:rPr>
              <w:t>0.4</w:t>
            </w:r>
          </w:p>
        </w:tc>
        <w:tc>
          <w:tcPr>
            <w:tcW w:w="992" w:type="dxa"/>
            <w:vAlign w:val="center"/>
          </w:tcPr>
          <w:p>
            <w:pPr>
              <w:spacing w:line="560" w:lineRule="exact"/>
              <w:ind w:right="-84" w:rightChars="-40"/>
              <w:jc w:val="center"/>
              <w:rPr>
                <w:rFonts w:hint="eastAsia" w:ascii="宋体" w:hAnsi="宋体" w:eastAsia="宋体" w:cs="Times New Roman"/>
                <w:lang w:val="en-US" w:eastAsia="zh-CN"/>
              </w:rPr>
            </w:pPr>
            <w:r>
              <w:rPr>
                <w:rFonts w:hint="eastAsia" w:ascii="宋体" w:hAnsi="宋体" w:eastAsia="宋体" w:cs="Times New Roman"/>
                <w:lang w:val="en-US" w:eastAsia="zh-CN"/>
              </w:rPr>
              <w:t>0.4</w:t>
            </w:r>
          </w:p>
        </w:tc>
        <w:tc>
          <w:tcPr>
            <w:tcW w:w="709" w:type="dxa"/>
            <w:vAlign w:val="center"/>
          </w:tcPr>
          <w:p>
            <w:pPr>
              <w:spacing w:line="560" w:lineRule="exact"/>
              <w:jc w:val="right"/>
              <w:rPr>
                <w:rFonts w:ascii="宋体" w:hAnsi="宋体" w:eastAsia="宋体" w:cs="Times New Roman"/>
              </w:rPr>
            </w:pPr>
          </w:p>
        </w:tc>
        <w:tc>
          <w:tcPr>
            <w:tcW w:w="709" w:type="dxa"/>
            <w:vAlign w:val="center"/>
          </w:tcPr>
          <w:p>
            <w:pPr>
              <w:spacing w:line="560" w:lineRule="exact"/>
              <w:jc w:val="right"/>
              <w:rPr>
                <w:rFonts w:ascii="宋体" w:hAnsi="宋体" w:eastAsia="宋体" w:cs="Times New Roman"/>
              </w:rPr>
            </w:pPr>
          </w:p>
        </w:tc>
        <w:tc>
          <w:tcPr>
            <w:tcW w:w="850" w:type="dxa"/>
            <w:vAlign w:val="center"/>
          </w:tcPr>
          <w:p>
            <w:pPr>
              <w:spacing w:line="560" w:lineRule="exact"/>
              <w:jc w:val="right"/>
              <w:rPr>
                <w:rFonts w:ascii="宋体" w:hAnsi="宋体" w:eastAsia="宋体" w:cs="Times New Roman"/>
              </w:rPr>
            </w:pPr>
          </w:p>
        </w:tc>
        <w:tc>
          <w:tcPr>
            <w:tcW w:w="851" w:type="dxa"/>
            <w:vAlign w:val="center"/>
          </w:tcPr>
          <w:p>
            <w:pPr>
              <w:spacing w:line="560" w:lineRule="exact"/>
              <w:jc w:val="right"/>
              <w:rPr>
                <w:rFonts w:ascii="宋体" w:hAnsi="宋体" w:eastAsia="宋体" w:cs="Times New Roman"/>
              </w:rPr>
            </w:pPr>
          </w:p>
        </w:tc>
      </w:tr>
    </w:tbl>
    <w:p>
      <w:pPr>
        <w:autoSpaceDE w:val="0"/>
        <w:autoSpaceDN w:val="0"/>
        <w:adjustRightInd w:val="0"/>
        <w:spacing w:line="560" w:lineRule="exact"/>
        <w:ind w:left="198" w:firstLine="640" w:firstLineChars="200"/>
        <w:jc w:val="left"/>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sz w:val="32"/>
          <w:szCs w:val="32"/>
        </w:rPr>
        <w:t>七、国有资产信息</w:t>
      </w:r>
    </w:p>
    <w:p>
      <w:pPr>
        <w:spacing w:line="560" w:lineRule="exact"/>
        <w:ind w:firstLine="64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_GB2312"/>
          <w:color w:val="000000" w:themeColor="text1"/>
          <w:sz w:val="32"/>
          <w:szCs w:val="32"/>
          <w14:textFill>
            <w14:solidFill>
              <w14:schemeClr w14:val="tx1"/>
            </w14:solidFill>
          </w14:textFill>
        </w:rPr>
        <w:t>民政</w:t>
      </w:r>
      <w:r>
        <w:rPr>
          <w:rFonts w:ascii="仿宋" w:hAnsi="仿宋" w:eastAsia="仿宋" w:cs="??_GB2312"/>
          <w:color w:val="000000" w:themeColor="text1"/>
          <w:sz w:val="32"/>
          <w:szCs w:val="32"/>
          <w14:textFill>
            <w14:solidFill>
              <w14:schemeClr w14:val="tx1"/>
            </w14:solidFill>
          </w14:textFill>
        </w:rPr>
        <w:t>部门（含所属单位）上年末固定资产金额为</w:t>
      </w:r>
      <w:bookmarkStart w:id="2" w:name="_GoBack"/>
      <w:bookmarkEnd w:id="2"/>
      <w:r>
        <w:rPr>
          <w:rFonts w:hint="eastAsia" w:ascii="仿宋" w:hAnsi="仿宋" w:eastAsia="仿宋" w:cs="??_GB2312"/>
          <w:color w:val="000000" w:themeColor="text1"/>
          <w:sz w:val="32"/>
          <w:szCs w:val="32"/>
          <w14:textFill>
            <w14:solidFill>
              <w14:schemeClr w14:val="tx1"/>
            </w14:solidFill>
          </w14:textFill>
        </w:rPr>
        <w:t>939.48</w:t>
      </w:r>
      <w:r>
        <w:rPr>
          <w:rFonts w:ascii="仿宋" w:hAnsi="仿宋" w:eastAsia="仿宋" w:cs="??_GB2312"/>
          <w:color w:val="000000" w:themeColor="text1"/>
          <w:sz w:val="32"/>
          <w:szCs w:val="32"/>
          <w14:textFill>
            <w14:solidFill>
              <w14:schemeClr w14:val="tx1"/>
            </w14:solidFill>
          </w14:textFill>
        </w:rPr>
        <w:t>万元，本年度拟购置固定资产主要为</w:t>
      </w:r>
      <w:r>
        <w:rPr>
          <w:rFonts w:hint="eastAsia" w:ascii="仿宋" w:hAnsi="仿宋" w:eastAsia="仿宋" w:cs="??_GB2312"/>
          <w:color w:val="000000" w:themeColor="text1"/>
          <w:sz w:val="32"/>
          <w:szCs w:val="32"/>
          <w14:textFill>
            <w14:solidFill>
              <w14:schemeClr w14:val="tx1"/>
            </w14:solidFill>
          </w14:textFill>
        </w:rPr>
        <w:t>4万元，主要为电脑、打印机</w:t>
      </w:r>
      <w:r>
        <w:rPr>
          <w:rFonts w:ascii="仿宋" w:hAnsi="仿宋" w:eastAsia="仿宋" w:cs="??_GB2312"/>
          <w:color w:val="000000" w:themeColor="text1"/>
          <w:sz w:val="32"/>
          <w:szCs w:val="32"/>
          <w14:textFill>
            <w14:solidFill>
              <w14:schemeClr w14:val="tx1"/>
            </w14:solidFill>
          </w14:textFill>
        </w:rPr>
        <w:t>等</w:t>
      </w:r>
      <w:r>
        <w:rPr>
          <w:rFonts w:hint="eastAsia" w:ascii="仿宋" w:hAnsi="仿宋" w:eastAsia="仿宋" w:cs="??_GB2312"/>
          <w:color w:val="000000" w:themeColor="text1"/>
          <w:sz w:val="32"/>
          <w:szCs w:val="32"/>
          <w14:textFill>
            <w14:solidFill>
              <w14:schemeClr w14:val="tx1"/>
            </w14:solidFill>
          </w14:textFill>
        </w:rPr>
        <w:t>通用设备</w:t>
      </w:r>
      <w:r>
        <w:rPr>
          <w:rFonts w:ascii="仿宋" w:hAnsi="仿宋" w:eastAsia="仿宋" w:cs="??_GB2312"/>
          <w:color w:val="000000" w:themeColor="text1"/>
          <w:sz w:val="32"/>
          <w:szCs w:val="32"/>
          <w14:textFill>
            <w14:solidFill>
              <w14:schemeClr w14:val="tx1"/>
            </w14:solidFill>
          </w14:textFill>
        </w:rPr>
        <w:t>，已列入政府采购预算。</w:t>
      </w:r>
      <w:r>
        <w:rPr>
          <w:rFonts w:hint="eastAsia" w:ascii="仿宋" w:hAnsi="仿宋" w:eastAsia="仿宋" w:cs="??_GB2312"/>
          <w:color w:val="000000" w:themeColor="text1"/>
          <w:sz w:val="32"/>
          <w:szCs w:val="32"/>
          <w14:textFill>
            <w14:solidFill>
              <w14:schemeClr w14:val="tx1"/>
            </w14:solidFill>
          </w14:textFill>
        </w:rPr>
        <w:t>固定资产</w:t>
      </w:r>
      <w:r>
        <w:rPr>
          <w:rFonts w:ascii="仿宋" w:hAnsi="仿宋" w:eastAsia="仿宋" w:cs="??_GB2312"/>
          <w:color w:val="000000" w:themeColor="text1"/>
          <w:sz w:val="32"/>
          <w:szCs w:val="32"/>
          <w14:textFill>
            <w14:solidFill>
              <w14:schemeClr w14:val="tx1"/>
            </w14:solidFill>
          </w14:textFill>
        </w:rPr>
        <w:t>详见下表。</w:t>
      </w:r>
    </w:p>
    <w:tbl>
      <w:tblPr>
        <w:tblStyle w:val="4"/>
        <w:tblW w:w="8700" w:type="dxa"/>
        <w:tblInd w:w="1547" w:type="dxa"/>
        <w:tblLayout w:type="fixed"/>
        <w:tblCellMar>
          <w:top w:w="0" w:type="dxa"/>
          <w:left w:w="108" w:type="dxa"/>
          <w:bottom w:w="0" w:type="dxa"/>
          <w:right w:w="108" w:type="dxa"/>
        </w:tblCellMar>
      </w:tblPr>
      <w:tblGrid>
        <w:gridCol w:w="3255"/>
        <w:gridCol w:w="2190"/>
        <w:gridCol w:w="3255"/>
      </w:tblGrid>
      <w:tr>
        <w:tblPrEx>
          <w:tblCellMar>
            <w:top w:w="0" w:type="dxa"/>
            <w:left w:w="108" w:type="dxa"/>
            <w:bottom w:w="0" w:type="dxa"/>
            <w:right w:w="108" w:type="dxa"/>
          </w:tblCellMar>
        </w:tblPrEx>
        <w:trPr>
          <w:trHeight w:val="705" w:hRule="atLeast"/>
        </w:trPr>
        <w:tc>
          <w:tcPr>
            <w:tcW w:w="8700" w:type="dxa"/>
            <w:gridSpan w:val="3"/>
            <w:tcBorders>
              <w:top w:val="nil"/>
              <w:left w:val="nil"/>
              <w:bottom w:val="nil"/>
              <w:right w:val="nil"/>
            </w:tcBorders>
            <w:vAlign w:val="center"/>
          </w:tcPr>
          <w:p>
            <w:pPr>
              <w:widowControl/>
              <w:jc w:val="center"/>
              <w:rPr>
                <w:rFonts w:ascii="宋体" w:hAnsi="宋体" w:eastAsia="宋体" w:cs="宋体"/>
                <w:b/>
                <w:bCs/>
                <w:color w:val="000000" w:themeColor="text1"/>
                <w:kern w:val="0"/>
                <w:sz w:val="32"/>
                <w:szCs w:val="32"/>
                <w14:textFill>
                  <w14:solidFill>
                    <w14:schemeClr w14:val="tx1"/>
                  </w14:solidFill>
                </w14:textFill>
              </w:rPr>
            </w:pPr>
          </w:p>
          <w:p>
            <w:pPr>
              <w:widowControl/>
              <w:jc w:val="center"/>
              <w:rPr>
                <w:rFonts w:ascii="宋体" w:hAnsi="宋体" w:eastAsia="宋体" w:cs="Times New Roman"/>
                <w:b/>
                <w:bCs/>
                <w:color w:val="000000" w:themeColor="text1"/>
                <w:kern w:val="0"/>
                <w:sz w:val="32"/>
                <w:szCs w:val="32"/>
                <w14:textFill>
                  <w14:solidFill>
                    <w14:schemeClr w14:val="tx1"/>
                  </w14:solidFill>
                </w14:textFill>
              </w:rPr>
            </w:pPr>
            <w:r>
              <w:rPr>
                <w:rFonts w:hint="eastAsia" w:ascii="宋体" w:hAnsi="宋体" w:eastAsia="宋体" w:cs="宋体"/>
                <w:b/>
                <w:bCs/>
                <w:color w:val="000000" w:themeColor="text1"/>
                <w:kern w:val="0"/>
                <w:sz w:val="32"/>
                <w:szCs w:val="32"/>
                <w14:textFill>
                  <w14:solidFill>
                    <w14:schemeClr w14:val="tx1"/>
                  </w14:solidFill>
                </w14:textFill>
              </w:rPr>
              <w:t>部门固定资产占用情况表</w:t>
            </w:r>
          </w:p>
        </w:tc>
      </w:tr>
      <w:tr>
        <w:tblPrEx>
          <w:tblCellMar>
            <w:top w:w="0" w:type="dxa"/>
            <w:left w:w="108" w:type="dxa"/>
            <w:bottom w:w="0" w:type="dxa"/>
            <w:right w:w="108" w:type="dxa"/>
          </w:tblCellMar>
        </w:tblPrEx>
        <w:trPr>
          <w:trHeight w:val="510" w:hRule="atLeast"/>
        </w:trPr>
        <w:tc>
          <w:tcPr>
            <w:tcW w:w="5445" w:type="dxa"/>
            <w:gridSpan w:val="2"/>
            <w:tcBorders>
              <w:top w:val="nil"/>
              <w:left w:val="nil"/>
              <w:bottom w:val="nil"/>
              <w:right w:val="nil"/>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szCs w:val="22"/>
              </w:rPr>
              <w:t>编制部门：314成安县民政局</w:t>
            </w:r>
          </w:p>
        </w:tc>
        <w:tc>
          <w:tcPr>
            <w:tcW w:w="3255" w:type="dxa"/>
            <w:tcBorders>
              <w:top w:val="nil"/>
              <w:left w:val="nil"/>
              <w:bottom w:val="nil"/>
              <w:right w:val="nil"/>
            </w:tcBorders>
            <w:vAlign w:val="center"/>
          </w:tcPr>
          <w:p>
            <w:pPr>
              <w:widowControl/>
              <w:jc w:val="left"/>
              <w:rPr>
                <w:rFonts w:ascii="宋体" w:hAnsi="宋体" w:eastAsia="宋体" w:cs="宋体"/>
                <w:kern w:val="0"/>
                <w:sz w:val="22"/>
              </w:rPr>
            </w:pPr>
            <w:r>
              <w:rPr>
                <w:rFonts w:hint="eastAsia" w:ascii="宋体" w:hAnsi="宋体" w:eastAsia="宋体" w:cs="宋体"/>
                <w:kern w:val="0"/>
                <w:sz w:val="22"/>
                <w:szCs w:val="22"/>
              </w:rPr>
              <w:t>截止时间：</w:t>
            </w:r>
            <w:r>
              <w:rPr>
                <w:rFonts w:ascii="宋体" w:hAnsi="宋体" w:eastAsia="宋体" w:cs="宋体"/>
                <w:kern w:val="0"/>
                <w:sz w:val="22"/>
                <w:szCs w:val="22"/>
              </w:rPr>
              <w:t>20</w:t>
            </w:r>
            <w:r>
              <w:rPr>
                <w:rFonts w:hint="eastAsia" w:ascii="宋体" w:hAnsi="宋体" w:eastAsia="宋体" w:cs="宋体"/>
                <w:kern w:val="0"/>
                <w:sz w:val="22"/>
                <w:szCs w:val="22"/>
              </w:rPr>
              <w:t>20年</w:t>
            </w:r>
            <w:r>
              <w:rPr>
                <w:rFonts w:ascii="宋体" w:hAnsi="宋体" w:eastAsia="宋体" w:cs="宋体"/>
                <w:kern w:val="0"/>
                <w:sz w:val="22"/>
                <w:szCs w:val="22"/>
              </w:rPr>
              <w:t>12</w:t>
            </w:r>
            <w:r>
              <w:rPr>
                <w:rFonts w:hint="eastAsia" w:ascii="宋体" w:hAnsi="宋体" w:eastAsia="宋体" w:cs="宋体"/>
                <w:kern w:val="0"/>
                <w:sz w:val="22"/>
                <w:szCs w:val="22"/>
              </w:rPr>
              <w:t>月</w:t>
            </w:r>
            <w:r>
              <w:rPr>
                <w:rFonts w:ascii="宋体" w:hAnsi="宋体" w:eastAsia="宋体" w:cs="宋体"/>
                <w:kern w:val="0"/>
                <w:sz w:val="22"/>
                <w:szCs w:val="22"/>
              </w:rPr>
              <w:t>31</w:t>
            </w:r>
            <w:r>
              <w:rPr>
                <w:rFonts w:hint="eastAsia" w:ascii="宋体" w:hAnsi="宋体" w:eastAsia="宋体" w:cs="宋体"/>
                <w:kern w:val="0"/>
                <w:sz w:val="22"/>
                <w:szCs w:val="22"/>
              </w:rPr>
              <w:t>日</w:t>
            </w:r>
          </w:p>
        </w:tc>
      </w:tr>
      <w:tr>
        <w:tblPrEx>
          <w:tblCellMar>
            <w:top w:w="0" w:type="dxa"/>
            <w:left w:w="108" w:type="dxa"/>
            <w:bottom w:w="0" w:type="dxa"/>
            <w:right w:w="108" w:type="dxa"/>
          </w:tblCellMar>
        </w:tblPrEx>
        <w:trPr>
          <w:trHeight w:val="645" w:hRule="atLeast"/>
        </w:trPr>
        <w:tc>
          <w:tcPr>
            <w:tcW w:w="3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项目</w:t>
            </w:r>
          </w:p>
        </w:tc>
        <w:tc>
          <w:tcPr>
            <w:tcW w:w="219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数量</w:t>
            </w:r>
          </w:p>
        </w:tc>
        <w:tc>
          <w:tcPr>
            <w:tcW w:w="325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价值（金额单位：万元）</w:t>
            </w:r>
          </w:p>
        </w:tc>
      </w:tr>
      <w:tr>
        <w:tblPrEx>
          <w:tblCellMar>
            <w:top w:w="0" w:type="dxa"/>
            <w:left w:w="108" w:type="dxa"/>
            <w:bottom w:w="0" w:type="dxa"/>
            <w:right w:w="108" w:type="dxa"/>
          </w:tblCellMar>
        </w:tblPrEx>
        <w:trPr>
          <w:trHeight w:val="645" w:hRule="atLeast"/>
        </w:trPr>
        <w:tc>
          <w:tcPr>
            <w:tcW w:w="325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资产总额</w:t>
            </w:r>
          </w:p>
        </w:tc>
        <w:tc>
          <w:tcPr>
            <w:tcW w:w="219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szCs w:val="22"/>
                <w14:textFill>
                  <w14:solidFill>
                    <w14:schemeClr w14:val="tx1"/>
                  </w14:solidFill>
                </w14:textFill>
              </w:rPr>
              <w:t>——</w:t>
            </w:r>
          </w:p>
        </w:tc>
        <w:tc>
          <w:tcPr>
            <w:tcW w:w="3255" w:type="dxa"/>
            <w:tcBorders>
              <w:top w:val="nil"/>
              <w:left w:val="nil"/>
              <w:bottom w:val="single" w:color="auto" w:sz="4" w:space="0"/>
              <w:right w:val="single" w:color="auto" w:sz="4" w:space="0"/>
            </w:tcBorders>
            <w:vAlign w:val="center"/>
          </w:tcPr>
          <w:p>
            <w:pPr>
              <w:widowControl/>
              <w:jc w:val="center"/>
              <w:rPr>
                <w:rFonts w:ascii="仿宋" w:hAnsi="仿宋" w:eastAsia="仿宋" w:cs="??_GB2312"/>
                <w:color w:val="000000" w:themeColor="text1"/>
                <w:sz w:val="24"/>
                <w:szCs w:val="24"/>
                <w14:textFill>
                  <w14:solidFill>
                    <w14:schemeClr w14:val="tx1"/>
                  </w14:solidFill>
                </w14:textFill>
              </w:rPr>
            </w:pPr>
            <w:r>
              <w:rPr>
                <w:rFonts w:hint="eastAsia" w:ascii="仿宋" w:hAnsi="仿宋" w:eastAsia="仿宋" w:cs="??_GB2312"/>
                <w:color w:val="000000" w:themeColor="text1"/>
                <w:sz w:val="24"/>
                <w:szCs w:val="24"/>
                <w14:textFill>
                  <w14:solidFill>
                    <w14:schemeClr w14:val="tx1"/>
                  </w14:solidFill>
                </w14:textFill>
              </w:rPr>
              <w:t>939.48</w:t>
            </w:r>
          </w:p>
        </w:tc>
      </w:tr>
      <w:tr>
        <w:tblPrEx>
          <w:tblCellMar>
            <w:top w:w="0" w:type="dxa"/>
            <w:left w:w="108" w:type="dxa"/>
            <w:bottom w:w="0" w:type="dxa"/>
            <w:right w:w="108" w:type="dxa"/>
          </w:tblCellMar>
        </w:tblPrEx>
        <w:trPr>
          <w:trHeight w:val="645" w:hRule="atLeast"/>
        </w:trPr>
        <w:tc>
          <w:tcPr>
            <w:tcW w:w="325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kern w:val="0"/>
                <w:sz w:val="22"/>
                <w14:textFill>
                  <w14:solidFill>
                    <w14:schemeClr w14:val="tx1"/>
                  </w14:solidFill>
                </w14:textFill>
              </w:rPr>
            </w:pPr>
            <w:r>
              <w:rPr>
                <w:rFonts w:ascii="宋体" w:hAnsi="宋体" w:eastAsia="宋体" w:cs="宋体"/>
                <w:color w:val="000000" w:themeColor="text1"/>
                <w:kern w:val="0"/>
                <w:sz w:val="22"/>
                <w:szCs w:val="22"/>
                <w14:textFill>
                  <w14:solidFill>
                    <w14:schemeClr w14:val="tx1"/>
                  </w14:solidFill>
                </w14:textFill>
              </w:rPr>
              <w:t>1</w:t>
            </w:r>
            <w:r>
              <w:rPr>
                <w:rFonts w:hint="eastAsia" w:ascii="宋体" w:hAnsi="宋体" w:eastAsia="宋体" w:cs="宋体"/>
                <w:color w:val="000000" w:themeColor="text1"/>
                <w:kern w:val="0"/>
                <w:sz w:val="22"/>
                <w:szCs w:val="22"/>
                <w14:textFill>
                  <w14:solidFill>
                    <w14:schemeClr w14:val="tx1"/>
                  </w14:solidFill>
                </w14:textFill>
              </w:rPr>
              <w:t>、房屋（平方米）</w:t>
            </w:r>
          </w:p>
        </w:tc>
        <w:tc>
          <w:tcPr>
            <w:tcW w:w="219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 w:val="22"/>
                <w14:textFill>
                  <w14:solidFill>
                    <w14:schemeClr w14:val="tx1"/>
                  </w14:solidFill>
                </w14:textFill>
              </w:rPr>
            </w:pPr>
            <w:r>
              <w:rPr>
                <w:rFonts w:hint="eastAsia" w:ascii="宋体" w:hAnsi="宋体" w:eastAsia="宋体" w:cs="Times New Roman"/>
                <w:color w:val="000000" w:themeColor="text1"/>
                <w:kern w:val="0"/>
                <w:sz w:val="22"/>
                <w14:textFill>
                  <w14:solidFill>
                    <w14:schemeClr w14:val="tx1"/>
                  </w14:solidFill>
                </w14:textFill>
              </w:rPr>
              <w:t>203</w:t>
            </w:r>
          </w:p>
        </w:tc>
        <w:tc>
          <w:tcPr>
            <w:tcW w:w="32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 w:val="22"/>
                <w14:textFill>
                  <w14:solidFill>
                    <w14:schemeClr w14:val="tx1"/>
                  </w14:solidFill>
                </w14:textFill>
              </w:rPr>
            </w:pPr>
            <w:r>
              <w:rPr>
                <w:rFonts w:hint="eastAsia" w:ascii="宋体" w:hAnsi="宋体" w:eastAsia="宋体" w:cs="Times New Roman"/>
                <w:color w:val="000000" w:themeColor="text1"/>
                <w:kern w:val="0"/>
                <w:sz w:val="22"/>
                <w14:textFill>
                  <w14:solidFill>
                    <w14:schemeClr w14:val="tx1"/>
                  </w14:solidFill>
                </w14:textFill>
              </w:rPr>
              <w:t>390.73</w:t>
            </w:r>
          </w:p>
        </w:tc>
      </w:tr>
      <w:tr>
        <w:tblPrEx>
          <w:tblCellMar>
            <w:top w:w="0" w:type="dxa"/>
            <w:left w:w="108" w:type="dxa"/>
            <w:bottom w:w="0" w:type="dxa"/>
            <w:right w:w="108" w:type="dxa"/>
          </w:tblCellMar>
        </w:tblPrEx>
        <w:trPr>
          <w:trHeight w:val="645" w:hRule="atLeast"/>
        </w:trPr>
        <w:tc>
          <w:tcPr>
            <w:tcW w:w="325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其中：业务用房（平方米）</w:t>
            </w:r>
          </w:p>
        </w:tc>
        <w:tc>
          <w:tcPr>
            <w:tcW w:w="219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 w:val="22"/>
                <w14:textFill>
                  <w14:solidFill>
                    <w14:schemeClr w14:val="tx1"/>
                  </w14:solidFill>
                </w14:textFill>
              </w:rPr>
            </w:pPr>
            <w:r>
              <w:rPr>
                <w:rFonts w:hint="eastAsia" w:ascii="宋体" w:hAnsi="宋体" w:eastAsia="宋体" w:cs="Times New Roman"/>
                <w:color w:val="000000" w:themeColor="text1"/>
                <w:kern w:val="0"/>
                <w:sz w:val="22"/>
                <w14:textFill>
                  <w14:solidFill>
                    <w14:schemeClr w14:val="tx1"/>
                  </w14:solidFill>
                </w14:textFill>
              </w:rPr>
              <w:t>203</w:t>
            </w:r>
          </w:p>
        </w:tc>
        <w:tc>
          <w:tcPr>
            <w:tcW w:w="32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 w:val="22"/>
                <w14:textFill>
                  <w14:solidFill>
                    <w14:schemeClr w14:val="tx1"/>
                  </w14:solidFill>
                </w14:textFill>
              </w:rPr>
            </w:pPr>
            <w:r>
              <w:rPr>
                <w:rFonts w:hint="eastAsia" w:ascii="宋体" w:hAnsi="宋体" w:eastAsia="宋体" w:cs="Times New Roman"/>
                <w:color w:val="000000" w:themeColor="text1"/>
                <w:kern w:val="0"/>
                <w:sz w:val="22"/>
                <w14:textFill>
                  <w14:solidFill>
                    <w14:schemeClr w14:val="tx1"/>
                  </w14:solidFill>
                </w14:textFill>
              </w:rPr>
              <w:t>390.73</w:t>
            </w:r>
          </w:p>
        </w:tc>
      </w:tr>
      <w:tr>
        <w:tblPrEx>
          <w:tblCellMar>
            <w:top w:w="0" w:type="dxa"/>
            <w:left w:w="108" w:type="dxa"/>
            <w:bottom w:w="0" w:type="dxa"/>
            <w:right w:w="108" w:type="dxa"/>
          </w:tblCellMar>
        </w:tblPrEx>
        <w:trPr>
          <w:trHeight w:val="645" w:hRule="atLeast"/>
        </w:trPr>
        <w:tc>
          <w:tcPr>
            <w:tcW w:w="325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kern w:val="0"/>
                <w:sz w:val="22"/>
                <w14:textFill>
                  <w14:solidFill>
                    <w14:schemeClr w14:val="tx1"/>
                  </w14:solidFill>
                </w14:textFill>
              </w:rPr>
            </w:pPr>
            <w:r>
              <w:rPr>
                <w:rFonts w:ascii="宋体" w:hAnsi="宋体" w:eastAsia="宋体" w:cs="宋体"/>
                <w:color w:val="000000" w:themeColor="text1"/>
                <w:kern w:val="0"/>
                <w:sz w:val="22"/>
                <w:szCs w:val="22"/>
                <w14:textFill>
                  <w14:solidFill>
                    <w14:schemeClr w14:val="tx1"/>
                  </w14:solidFill>
                </w14:textFill>
              </w:rPr>
              <w:t>2</w:t>
            </w:r>
            <w:r>
              <w:rPr>
                <w:rFonts w:hint="eastAsia" w:ascii="宋体" w:hAnsi="宋体" w:eastAsia="宋体" w:cs="宋体"/>
                <w:color w:val="000000" w:themeColor="text1"/>
                <w:kern w:val="0"/>
                <w:sz w:val="22"/>
                <w:szCs w:val="22"/>
                <w14:textFill>
                  <w14:solidFill>
                    <w14:schemeClr w14:val="tx1"/>
                  </w14:solidFill>
                </w14:textFill>
              </w:rPr>
              <w:t>、车辆（台、辆）</w:t>
            </w:r>
          </w:p>
        </w:tc>
        <w:tc>
          <w:tcPr>
            <w:tcW w:w="219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 w:val="22"/>
                <w14:textFill>
                  <w14:solidFill>
                    <w14:schemeClr w14:val="tx1"/>
                  </w14:solidFill>
                </w14:textFill>
              </w:rPr>
            </w:pPr>
            <w:r>
              <w:rPr>
                <w:rFonts w:ascii="宋体" w:hAnsi="宋体" w:eastAsia="宋体" w:cs="Times New Roman"/>
                <w:color w:val="000000" w:themeColor="text1"/>
                <w:kern w:val="0"/>
                <w:sz w:val="22"/>
                <w14:textFill>
                  <w14:solidFill>
                    <w14:schemeClr w14:val="tx1"/>
                  </w14:solidFill>
                </w14:textFill>
              </w:rPr>
              <w:t>2</w:t>
            </w:r>
          </w:p>
        </w:tc>
        <w:tc>
          <w:tcPr>
            <w:tcW w:w="32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 w:val="22"/>
                <w14:textFill>
                  <w14:solidFill>
                    <w14:schemeClr w14:val="tx1"/>
                  </w14:solidFill>
                </w14:textFill>
              </w:rPr>
            </w:pPr>
            <w:r>
              <w:rPr>
                <w:rFonts w:ascii="宋体" w:hAnsi="宋体" w:eastAsia="宋体" w:cs="Times New Roman"/>
                <w:color w:val="000000" w:themeColor="text1"/>
                <w:kern w:val="0"/>
                <w:sz w:val="22"/>
                <w14:textFill>
                  <w14:solidFill>
                    <w14:schemeClr w14:val="tx1"/>
                  </w14:solidFill>
                </w14:textFill>
              </w:rPr>
              <w:t>56.6</w:t>
            </w:r>
          </w:p>
        </w:tc>
      </w:tr>
      <w:tr>
        <w:tblPrEx>
          <w:tblCellMar>
            <w:top w:w="0" w:type="dxa"/>
            <w:left w:w="108" w:type="dxa"/>
            <w:bottom w:w="0" w:type="dxa"/>
            <w:right w:w="108" w:type="dxa"/>
          </w:tblCellMar>
        </w:tblPrEx>
        <w:trPr>
          <w:trHeight w:val="645" w:hRule="atLeast"/>
        </w:trPr>
        <w:tc>
          <w:tcPr>
            <w:tcW w:w="325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kern w:val="0"/>
                <w:sz w:val="22"/>
                <w14:textFill>
                  <w14:solidFill>
                    <w14:schemeClr w14:val="tx1"/>
                  </w14:solidFill>
                </w14:textFill>
              </w:rPr>
            </w:pPr>
            <w:r>
              <w:rPr>
                <w:rFonts w:ascii="宋体" w:hAnsi="宋体" w:eastAsia="宋体" w:cs="宋体"/>
                <w:color w:val="000000" w:themeColor="text1"/>
                <w:kern w:val="0"/>
                <w:sz w:val="22"/>
                <w:szCs w:val="22"/>
                <w14:textFill>
                  <w14:solidFill>
                    <w14:schemeClr w14:val="tx1"/>
                  </w14:solidFill>
                </w14:textFill>
              </w:rPr>
              <w:t>3</w:t>
            </w:r>
            <w:r>
              <w:rPr>
                <w:rFonts w:hint="eastAsia" w:ascii="宋体" w:hAnsi="宋体" w:eastAsia="宋体" w:cs="宋体"/>
                <w:color w:val="000000" w:themeColor="text1"/>
                <w:kern w:val="0"/>
                <w:sz w:val="22"/>
                <w:szCs w:val="22"/>
                <w14:textFill>
                  <w14:solidFill>
                    <w14:schemeClr w14:val="tx1"/>
                  </w14:solidFill>
                </w14:textFill>
              </w:rPr>
              <w:t>、单价在</w:t>
            </w:r>
            <w:r>
              <w:rPr>
                <w:rFonts w:ascii="宋体" w:hAnsi="宋体" w:eastAsia="宋体" w:cs="宋体"/>
                <w:color w:val="000000" w:themeColor="text1"/>
                <w:kern w:val="0"/>
                <w:sz w:val="22"/>
                <w:szCs w:val="22"/>
                <w14:textFill>
                  <w14:solidFill>
                    <w14:schemeClr w14:val="tx1"/>
                  </w14:solidFill>
                </w14:textFill>
              </w:rPr>
              <w:t>50</w:t>
            </w:r>
            <w:r>
              <w:rPr>
                <w:rFonts w:hint="eastAsia" w:ascii="宋体" w:hAnsi="宋体" w:eastAsia="宋体" w:cs="宋体"/>
                <w:color w:val="000000" w:themeColor="text1"/>
                <w:kern w:val="0"/>
                <w:sz w:val="22"/>
                <w:szCs w:val="22"/>
                <w14:textFill>
                  <w14:solidFill>
                    <w14:schemeClr w14:val="tx1"/>
                  </w14:solidFill>
                </w14:textFill>
              </w:rPr>
              <w:t>万元以上的设备</w:t>
            </w:r>
          </w:p>
        </w:tc>
        <w:tc>
          <w:tcPr>
            <w:tcW w:w="219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 w:val="22"/>
                <w14:textFill>
                  <w14:solidFill>
                    <w14:schemeClr w14:val="tx1"/>
                  </w14:solidFill>
                </w14:textFill>
              </w:rPr>
            </w:pPr>
            <w:r>
              <w:rPr>
                <w:rFonts w:hint="eastAsia" w:ascii="宋体" w:hAnsi="宋体" w:eastAsia="宋体" w:cs="Times New Roman"/>
                <w:color w:val="000000" w:themeColor="text1"/>
                <w:kern w:val="0"/>
                <w:sz w:val="22"/>
                <w14:textFill>
                  <w14:solidFill>
                    <w14:schemeClr w14:val="tx1"/>
                  </w14:solidFill>
                </w14:textFill>
              </w:rPr>
              <w:t>3</w:t>
            </w:r>
          </w:p>
        </w:tc>
        <w:tc>
          <w:tcPr>
            <w:tcW w:w="32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 w:val="22"/>
                <w14:textFill>
                  <w14:solidFill>
                    <w14:schemeClr w14:val="tx1"/>
                  </w14:solidFill>
                </w14:textFill>
              </w:rPr>
            </w:pPr>
            <w:r>
              <w:rPr>
                <w:rFonts w:hint="eastAsia" w:ascii="宋体" w:hAnsi="宋体" w:eastAsia="宋体" w:cs="Times New Roman"/>
                <w:color w:val="000000" w:themeColor="text1"/>
                <w:kern w:val="0"/>
                <w:sz w:val="22"/>
                <w14:textFill>
                  <w14:solidFill>
                    <w14:schemeClr w14:val="tx1"/>
                  </w14:solidFill>
                </w14:textFill>
              </w:rPr>
              <w:t>304.76</w:t>
            </w:r>
          </w:p>
        </w:tc>
      </w:tr>
      <w:tr>
        <w:tblPrEx>
          <w:tblCellMar>
            <w:top w:w="0" w:type="dxa"/>
            <w:left w:w="108" w:type="dxa"/>
            <w:bottom w:w="0" w:type="dxa"/>
            <w:right w:w="108" w:type="dxa"/>
          </w:tblCellMar>
        </w:tblPrEx>
        <w:trPr>
          <w:trHeight w:val="645" w:hRule="atLeast"/>
        </w:trPr>
        <w:tc>
          <w:tcPr>
            <w:tcW w:w="3255"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kern w:val="0"/>
                <w:sz w:val="22"/>
                <w14:textFill>
                  <w14:solidFill>
                    <w14:schemeClr w14:val="tx1"/>
                  </w14:solidFill>
                </w14:textFill>
              </w:rPr>
            </w:pPr>
            <w:r>
              <w:rPr>
                <w:rFonts w:ascii="宋体" w:hAnsi="宋体" w:eastAsia="宋体" w:cs="宋体"/>
                <w:color w:val="000000" w:themeColor="text1"/>
                <w:kern w:val="0"/>
                <w:sz w:val="22"/>
                <w:szCs w:val="22"/>
                <w14:textFill>
                  <w14:solidFill>
                    <w14:schemeClr w14:val="tx1"/>
                  </w14:solidFill>
                </w14:textFill>
              </w:rPr>
              <w:t>4</w:t>
            </w:r>
            <w:r>
              <w:rPr>
                <w:rFonts w:hint="eastAsia" w:ascii="宋体" w:hAnsi="宋体" w:eastAsia="宋体" w:cs="宋体"/>
                <w:color w:val="000000" w:themeColor="text1"/>
                <w:kern w:val="0"/>
                <w:sz w:val="22"/>
                <w:szCs w:val="22"/>
                <w14:textFill>
                  <w14:solidFill>
                    <w14:schemeClr w14:val="tx1"/>
                  </w14:solidFill>
                </w14:textFill>
              </w:rPr>
              <w:t>、其他固定资产</w:t>
            </w:r>
          </w:p>
        </w:tc>
        <w:tc>
          <w:tcPr>
            <w:tcW w:w="2190" w:type="dxa"/>
            <w:tcBorders>
              <w:top w:val="nil"/>
              <w:left w:val="nil"/>
              <w:bottom w:val="single" w:color="auto" w:sz="4" w:space="0"/>
              <w:right w:val="single" w:color="auto" w:sz="4" w:space="0"/>
            </w:tcBorders>
            <w:vAlign w:val="center"/>
          </w:tcPr>
          <w:p>
            <w:pPr>
              <w:widowControl/>
              <w:rPr>
                <w:rFonts w:ascii="宋体" w:hAnsi="宋体" w:eastAsia="宋体" w:cs="Times New Roman"/>
                <w:color w:val="000000" w:themeColor="text1"/>
                <w:kern w:val="0"/>
                <w:sz w:val="22"/>
                <w14:textFill>
                  <w14:solidFill>
                    <w14:schemeClr w14:val="tx1"/>
                  </w14:solidFill>
                </w14:textFill>
              </w:rPr>
            </w:pPr>
          </w:p>
        </w:tc>
        <w:tc>
          <w:tcPr>
            <w:tcW w:w="32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 w:val="22"/>
                <w14:textFill>
                  <w14:solidFill>
                    <w14:schemeClr w14:val="tx1"/>
                  </w14:solidFill>
                </w14:textFill>
              </w:rPr>
            </w:pPr>
            <w:r>
              <w:rPr>
                <w:rFonts w:hint="eastAsia" w:ascii="宋体" w:hAnsi="宋体" w:eastAsia="宋体" w:cs="Times New Roman"/>
                <w:color w:val="000000" w:themeColor="text1"/>
                <w:kern w:val="0"/>
                <w:sz w:val="22"/>
                <w14:textFill>
                  <w14:solidFill>
                    <w14:schemeClr w14:val="tx1"/>
                  </w14:solidFill>
                </w14:textFill>
              </w:rPr>
              <w:t>187.39</w:t>
            </w:r>
          </w:p>
        </w:tc>
      </w:tr>
    </w:tbl>
    <w:p>
      <w:pPr>
        <w:autoSpaceDE w:val="0"/>
        <w:autoSpaceDN w:val="0"/>
        <w:adjustRightInd w:val="0"/>
        <w:jc w:val="left"/>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八、名词解释</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bCs/>
          <w:kern w:val="0"/>
          <w:sz w:val="32"/>
          <w:szCs w:val="32"/>
        </w:rPr>
        <w:t>1、财政拨款收入：指</w:t>
      </w:r>
      <w:r>
        <w:rPr>
          <w:rFonts w:hint="eastAsia" w:ascii="仿宋" w:hAnsi="仿宋" w:eastAsia="仿宋" w:cs="仿宋"/>
          <w:kern w:val="0"/>
          <w:sz w:val="32"/>
          <w:szCs w:val="32"/>
        </w:rPr>
        <w:t>财政当年拨付的资金。</w:t>
      </w:r>
    </w:p>
    <w:p>
      <w:pPr>
        <w:widowControl/>
        <w:spacing w:line="360" w:lineRule="auto"/>
        <w:ind w:firstLine="640" w:firstLineChars="200"/>
        <w:jc w:val="left"/>
        <w:rPr>
          <w:rFonts w:ascii="微软雅黑" w:hAnsi="微软雅黑" w:eastAsia="微软雅黑" w:cs="微软雅黑"/>
          <w:kern w:val="0"/>
          <w:sz w:val="24"/>
          <w:szCs w:val="24"/>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spacing w:line="360" w:lineRule="auto"/>
        <w:ind w:firstLine="600" w:firstLineChars="250"/>
        <w:jc w:val="left"/>
        <w:rPr>
          <w:rFonts w:ascii="仿宋" w:hAnsi="仿宋" w:eastAsia="仿宋" w:cs="仿宋"/>
          <w:b/>
          <w:kern w:val="0"/>
          <w:sz w:val="32"/>
          <w:szCs w:val="32"/>
        </w:rPr>
      </w:pPr>
      <w:r>
        <w:rPr>
          <w:rFonts w:hint="eastAsia" w:ascii="微软雅黑" w:hAnsi="微软雅黑" w:eastAsia="微软雅黑" w:cs="微软雅黑"/>
          <w:kern w:val="0"/>
          <w:sz w:val="24"/>
          <w:szCs w:val="24"/>
        </w:rPr>
        <w:t>3</w:t>
      </w:r>
      <w:r>
        <w:rPr>
          <w:rFonts w:hint="eastAsia" w:ascii="仿宋" w:hAnsi="仿宋" w:eastAsia="仿宋" w:cs="仿宋"/>
          <w:b/>
          <w:kern w:val="0"/>
          <w:sz w:val="32"/>
          <w:szCs w:val="32"/>
        </w:rPr>
        <w:t>、年初结转和结余</w:t>
      </w:r>
      <w:r>
        <w:rPr>
          <w:rFonts w:hint="eastAsia" w:ascii="仿宋" w:hAnsi="仿宋" w:eastAsia="仿宋" w:cs="仿宋"/>
          <w:kern w:val="0"/>
          <w:sz w:val="32"/>
          <w:szCs w:val="32"/>
        </w:rPr>
        <w:t>：指以前年度尚未完成，结转到本年仍按照原规定用途继续使用的资金，或项目已完成等产生的结余资金。</w:t>
      </w:r>
      <w:r>
        <w:rPr>
          <w:rFonts w:hint="eastAsia" w:ascii="仿宋" w:hAnsi="仿宋" w:eastAsia="仿宋" w:cs="仿宋"/>
          <w:b/>
          <w:kern w:val="0"/>
          <w:sz w:val="32"/>
          <w:szCs w:val="32"/>
        </w:rPr>
        <w:t> </w:t>
      </w:r>
    </w:p>
    <w:p>
      <w:pPr>
        <w:widowControl/>
        <w:spacing w:line="360" w:lineRule="auto"/>
        <w:ind w:firstLine="643" w:firstLineChars="200"/>
        <w:jc w:val="left"/>
        <w:rPr>
          <w:rFonts w:ascii="仿宋" w:hAnsi="仿宋" w:eastAsia="仿宋" w:cs="仿宋"/>
          <w:b/>
          <w:kern w:val="0"/>
          <w:sz w:val="32"/>
          <w:szCs w:val="32"/>
        </w:rPr>
      </w:pPr>
      <w:r>
        <w:rPr>
          <w:rFonts w:hint="eastAsia" w:ascii="仿宋" w:hAnsi="仿宋" w:eastAsia="仿宋" w:cs="仿宋"/>
          <w:b/>
          <w:kern w:val="0"/>
          <w:sz w:val="32"/>
          <w:szCs w:val="32"/>
        </w:rPr>
        <w:t>4、基本支出</w:t>
      </w:r>
      <w:r>
        <w:rPr>
          <w:rFonts w:hint="eastAsia" w:ascii="仿宋" w:hAnsi="仿宋" w:eastAsia="仿宋" w:cs="仿宋"/>
          <w:kern w:val="0"/>
          <w:sz w:val="32"/>
          <w:szCs w:val="32"/>
        </w:rPr>
        <w:t>：指单位为了保障其正常运转、完成日常工作任务而发生的人员支出和公用支出。</w:t>
      </w:r>
      <w:r>
        <w:rPr>
          <w:rFonts w:hint="eastAsia" w:ascii="仿宋" w:hAnsi="仿宋" w:eastAsia="仿宋" w:cs="仿宋"/>
          <w:b/>
          <w:kern w:val="0"/>
          <w:sz w:val="32"/>
          <w:szCs w:val="32"/>
        </w:rPr>
        <w:t> </w:t>
      </w:r>
    </w:p>
    <w:p>
      <w:pPr>
        <w:widowControl/>
        <w:spacing w:line="360" w:lineRule="auto"/>
        <w:ind w:firstLine="643" w:firstLineChars="200"/>
        <w:jc w:val="left"/>
        <w:rPr>
          <w:rFonts w:ascii="仿宋" w:hAnsi="仿宋" w:eastAsia="仿宋" w:cs="仿宋"/>
          <w:kern w:val="0"/>
          <w:sz w:val="32"/>
          <w:szCs w:val="32"/>
        </w:rPr>
      </w:pPr>
      <w:r>
        <w:rPr>
          <w:rFonts w:hint="eastAsia" w:ascii="仿宋" w:hAnsi="仿宋" w:eastAsia="仿宋" w:cs="仿宋"/>
          <w:b/>
          <w:kern w:val="0"/>
          <w:sz w:val="32"/>
          <w:szCs w:val="32"/>
        </w:rPr>
        <w:t>5、项目支出：</w:t>
      </w:r>
      <w:r>
        <w:rPr>
          <w:rFonts w:hint="eastAsia" w:ascii="仿宋" w:hAnsi="仿宋" w:eastAsia="仿宋" w:cs="仿宋"/>
          <w:kern w:val="0"/>
          <w:sz w:val="32"/>
          <w:szCs w:val="32"/>
        </w:rPr>
        <w:t>指单位为了特定的工作任务和事业发展目标，在基本支出之外所发生的支出。</w:t>
      </w:r>
    </w:p>
    <w:p>
      <w:pPr>
        <w:tabs>
          <w:tab w:val="left" w:pos="11490"/>
        </w:tabs>
        <w:ind w:firstLine="800" w:firstLineChars="250"/>
        <w:rPr>
          <w:rFonts w:ascii="黑体" w:hAnsi="黑体" w:eastAsia="黑体" w:cs="Times New Roman"/>
          <w:sz w:val="32"/>
          <w:szCs w:val="32"/>
        </w:rPr>
      </w:pPr>
      <w:r>
        <w:rPr>
          <w:rFonts w:hint="eastAsia" w:ascii="黑体" w:hAnsi="黑体" w:eastAsia="黑体" w:cs="黑体"/>
          <w:sz w:val="32"/>
          <w:szCs w:val="32"/>
        </w:rPr>
        <w:t>九、其它需要说明的事项</w:t>
      </w:r>
    </w:p>
    <w:p>
      <w:pPr>
        <w:tabs>
          <w:tab w:val="left" w:pos="11490"/>
        </w:tabs>
        <w:ind w:firstLine="800" w:firstLineChars="250"/>
        <w:rPr>
          <w:rFonts w:ascii="仿宋" w:hAnsi="仿宋" w:eastAsia="仿宋" w:cs="仿宋"/>
          <w:kern w:val="0"/>
          <w:sz w:val="32"/>
          <w:szCs w:val="32"/>
        </w:rPr>
      </w:pPr>
      <w:r>
        <w:rPr>
          <w:rFonts w:hint="eastAsia" w:ascii="仿宋" w:hAnsi="仿宋" w:eastAsia="仿宋" w:cs="仿宋"/>
          <w:kern w:val="0"/>
          <w:sz w:val="32"/>
          <w:szCs w:val="32"/>
        </w:rPr>
        <w:t>无其它需要说明的事项。</w:t>
      </w:r>
    </w:p>
    <w:sectPr>
      <w:footerReference r:id="rId3" w:type="default"/>
      <w:pgSz w:w="16838" w:h="11906" w:orient="landscape"/>
      <w:pgMar w:top="1474" w:right="1985" w:bottom="1588"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cs="Times New Roman"/>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PAGE   \* MERGEFORMAT</w:instrText>
    </w:r>
    <w:r>
      <w:rPr>
        <w:rFonts w:ascii="仿宋" w:hAnsi="仿宋" w:eastAsia="仿宋" w:cs="仿宋"/>
        <w:sz w:val="32"/>
        <w:szCs w:val="32"/>
      </w:rPr>
      <w:fldChar w:fldCharType="separate"/>
    </w:r>
    <w:r>
      <w:rPr>
        <w:rFonts w:ascii="仿宋" w:hAnsi="仿宋" w:eastAsia="仿宋" w:cs="仿宋"/>
        <w:sz w:val="32"/>
        <w:szCs w:val="32"/>
        <w:lang w:val="zh-CN"/>
      </w:rPr>
      <w:t>13</w:t>
    </w:r>
    <w:r>
      <w:rPr>
        <w:rFonts w:ascii="仿宋" w:hAnsi="仿宋" w:eastAsia="仿宋" w:cs="仿宋"/>
        <w:sz w:val="32"/>
        <w:szCs w:val="32"/>
      </w:rPr>
      <w:fldChar w:fldCharType="end"/>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AAA"/>
    <w:rsid w:val="00025743"/>
    <w:rsid w:val="000274B0"/>
    <w:rsid w:val="000577BB"/>
    <w:rsid w:val="00073587"/>
    <w:rsid w:val="00087B3E"/>
    <w:rsid w:val="000A796E"/>
    <w:rsid w:val="000A7BD4"/>
    <w:rsid w:val="000B3E20"/>
    <w:rsid w:val="000E2CF2"/>
    <w:rsid w:val="00101C7A"/>
    <w:rsid w:val="00122DD6"/>
    <w:rsid w:val="001278EA"/>
    <w:rsid w:val="00131928"/>
    <w:rsid w:val="0015167C"/>
    <w:rsid w:val="0019644C"/>
    <w:rsid w:val="001A3CB4"/>
    <w:rsid w:val="001C301A"/>
    <w:rsid w:val="001D7C52"/>
    <w:rsid w:val="001E0232"/>
    <w:rsid w:val="001F3D67"/>
    <w:rsid w:val="00206B22"/>
    <w:rsid w:val="002307B5"/>
    <w:rsid w:val="00276364"/>
    <w:rsid w:val="00293834"/>
    <w:rsid w:val="00295F55"/>
    <w:rsid w:val="002C0317"/>
    <w:rsid w:val="002D41E2"/>
    <w:rsid w:val="002D43D3"/>
    <w:rsid w:val="002E5F1A"/>
    <w:rsid w:val="002F458C"/>
    <w:rsid w:val="00325594"/>
    <w:rsid w:val="0033131F"/>
    <w:rsid w:val="003321F3"/>
    <w:rsid w:val="00335E0B"/>
    <w:rsid w:val="0033741A"/>
    <w:rsid w:val="003671FA"/>
    <w:rsid w:val="0037750D"/>
    <w:rsid w:val="00380B28"/>
    <w:rsid w:val="0039371C"/>
    <w:rsid w:val="003B77F6"/>
    <w:rsid w:val="003C4C5D"/>
    <w:rsid w:val="003D1126"/>
    <w:rsid w:val="003D1369"/>
    <w:rsid w:val="003D22B1"/>
    <w:rsid w:val="00407609"/>
    <w:rsid w:val="004107BC"/>
    <w:rsid w:val="004254D7"/>
    <w:rsid w:val="00426D7A"/>
    <w:rsid w:val="00431B5D"/>
    <w:rsid w:val="00453A06"/>
    <w:rsid w:val="0048548B"/>
    <w:rsid w:val="004A0B37"/>
    <w:rsid w:val="004A4279"/>
    <w:rsid w:val="004C2961"/>
    <w:rsid w:val="004C6BE0"/>
    <w:rsid w:val="004D22F5"/>
    <w:rsid w:val="00512068"/>
    <w:rsid w:val="00516F61"/>
    <w:rsid w:val="00524AAA"/>
    <w:rsid w:val="005412A2"/>
    <w:rsid w:val="005730D6"/>
    <w:rsid w:val="005A36C5"/>
    <w:rsid w:val="005A60A9"/>
    <w:rsid w:val="005B7EE9"/>
    <w:rsid w:val="005C0F58"/>
    <w:rsid w:val="005D4E99"/>
    <w:rsid w:val="005D6A17"/>
    <w:rsid w:val="005F4345"/>
    <w:rsid w:val="0068144F"/>
    <w:rsid w:val="00686533"/>
    <w:rsid w:val="00691C37"/>
    <w:rsid w:val="006B4730"/>
    <w:rsid w:val="006C40A7"/>
    <w:rsid w:val="006F1BE3"/>
    <w:rsid w:val="006F748F"/>
    <w:rsid w:val="00704A26"/>
    <w:rsid w:val="00710A85"/>
    <w:rsid w:val="00730E9C"/>
    <w:rsid w:val="00742C0B"/>
    <w:rsid w:val="00747D9E"/>
    <w:rsid w:val="00753334"/>
    <w:rsid w:val="007667CF"/>
    <w:rsid w:val="007671C4"/>
    <w:rsid w:val="00775088"/>
    <w:rsid w:val="007775CB"/>
    <w:rsid w:val="00792F84"/>
    <w:rsid w:val="007B4EB3"/>
    <w:rsid w:val="007C20A9"/>
    <w:rsid w:val="007C2222"/>
    <w:rsid w:val="007C484E"/>
    <w:rsid w:val="007D301F"/>
    <w:rsid w:val="007E45A8"/>
    <w:rsid w:val="007F0D2E"/>
    <w:rsid w:val="007F4D20"/>
    <w:rsid w:val="00824244"/>
    <w:rsid w:val="00825F97"/>
    <w:rsid w:val="008327A0"/>
    <w:rsid w:val="00844B65"/>
    <w:rsid w:val="00856069"/>
    <w:rsid w:val="008574DC"/>
    <w:rsid w:val="00861662"/>
    <w:rsid w:val="008C1E65"/>
    <w:rsid w:val="008C55CF"/>
    <w:rsid w:val="008C641F"/>
    <w:rsid w:val="008F0D12"/>
    <w:rsid w:val="00912C96"/>
    <w:rsid w:val="00926801"/>
    <w:rsid w:val="00933068"/>
    <w:rsid w:val="00950F28"/>
    <w:rsid w:val="0095150A"/>
    <w:rsid w:val="00973104"/>
    <w:rsid w:val="00990CB9"/>
    <w:rsid w:val="009B2D48"/>
    <w:rsid w:val="009C264C"/>
    <w:rsid w:val="009D232C"/>
    <w:rsid w:val="009F0612"/>
    <w:rsid w:val="009F1104"/>
    <w:rsid w:val="00A07F3F"/>
    <w:rsid w:val="00A12AE7"/>
    <w:rsid w:val="00A15ADE"/>
    <w:rsid w:val="00A42013"/>
    <w:rsid w:val="00A46CD8"/>
    <w:rsid w:val="00A6455D"/>
    <w:rsid w:val="00A775DC"/>
    <w:rsid w:val="00A94A1B"/>
    <w:rsid w:val="00A95F51"/>
    <w:rsid w:val="00A97083"/>
    <w:rsid w:val="00AA0233"/>
    <w:rsid w:val="00AB5098"/>
    <w:rsid w:val="00AC6968"/>
    <w:rsid w:val="00AC69C5"/>
    <w:rsid w:val="00AE755A"/>
    <w:rsid w:val="00B048E1"/>
    <w:rsid w:val="00B13EFE"/>
    <w:rsid w:val="00B148B5"/>
    <w:rsid w:val="00B50088"/>
    <w:rsid w:val="00B500A4"/>
    <w:rsid w:val="00B509F7"/>
    <w:rsid w:val="00B5224B"/>
    <w:rsid w:val="00B74AE0"/>
    <w:rsid w:val="00B76037"/>
    <w:rsid w:val="00BA40C6"/>
    <w:rsid w:val="00BA6B82"/>
    <w:rsid w:val="00BC3FFF"/>
    <w:rsid w:val="00BC54EC"/>
    <w:rsid w:val="00BF15C3"/>
    <w:rsid w:val="00BF2A17"/>
    <w:rsid w:val="00C447F8"/>
    <w:rsid w:val="00C468D7"/>
    <w:rsid w:val="00C52DAF"/>
    <w:rsid w:val="00C63DBF"/>
    <w:rsid w:val="00C734CB"/>
    <w:rsid w:val="00C76CE4"/>
    <w:rsid w:val="00C76DA9"/>
    <w:rsid w:val="00C8122D"/>
    <w:rsid w:val="00C84FDB"/>
    <w:rsid w:val="00C94E61"/>
    <w:rsid w:val="00CC5220"/>
    <w:rsid w:val="00CD0F72"/>
    <w:rsid w:val="00CE1963"/>
    <w:rsid w:val="00CE3008"/>
    <w:rsid w:val="00CE6324"/>
    <w:rsid w:val="00D06882"/>
    <w:rsid w:val="00D26DE1"/>
    <w:rsid w:val="00D27A25"/>
    <w:rsid w:val="00D312BA"/>
    <w:rsid w:val="00D349F9"/>
    <w:rsid w:val="00D34F10"/>
    <w:rsid w:val="00D4165A"/>
    <w:rsid w:val="00D61B15"/>
    <w:rsid w:val="00D71FA9"/>
    <w:rsid w:val="00D73351"/>
    <w:rsid w:val="00D941C1"/>
    <w:rsid w:val="00DC6294"/>
    <w:rsid w:val="00DF6781"/>
    <w:rsid w:val="00E000C9"/>
    <w:rsid w:val="00E065D0"/>
    <w:rsid w:val="00E15C61"/>
    <w:rsid w:val="00E24B37"/>
    <w:rsid w:val="00E474B2"/>
    <w:rsid w:val="00E479D2"/>
    <w:rsid w:val="00E87B0C"/>
    <w:rsid w:val="00E91C36"/>
    <w:rsid w:val="00E95567"/>
    <w:rsid w:val="00EC2077"/>
    <w:rsid w:val="00ED1820"/>
    <w:rsid w:val="00ED51A8"/>
    <w:rsid w:val="00ED7B72"/>
    <w:rsid w:val="00F0034F"/>
    <w:rsid w:val="00F14752"/>
    <w:rsid w:val="00F24FB2"/>
    <w:rsid w:val="00F311AF"/>
    <w:rsid w:val="00F414C0"/>
    <w:rsid w:val="00F62032"/>
    <w:rsid w:val="00F66032"/>
    <w:rsid w:val="00F91924"/>
    <w:rsid w:val="00F934F9"/>
    <w:rsid w:val="00FA0FF9"/>
    <w:rsid w:val="00FA47F1"/>
    <w:rsid w:val="00FB337F"/>
    <w:rsid w:val="00FB475F"/>
    <w:rsid w:val="00FB5EA2"/>
    <w:rsid w:val="00FD2131"/>
    <w:rsid w:val="023C1B96"/>
    <w:rsid w:val="03922540"/>
    <w:rsid w:val="05DD288F"/>
    <w:rsid w:val="0AA97691"/>
    <w:rsid w:val="0FEF391C"/>
    <w:rsid w:val="117E1EF6"/>
    <w:rsid w:val="125B6575"/>
    <w:rsid w:val="13701E42"/>
    <w:rsid w:val="157320F6"/>
    <w:rsid w:val="17F5602E"/>
    <w:rsid w:val="1DBB0132"/>
    <w:rsid w:val="2E4461EA"/>
    <w:rsid w:val="2E83425F"/>
    <w:rsid w:val="3032613C"/>
    <w:rsid w:val="312646DD"/>
    <w:rsid w:val="35147262"/>
    <w:rsid w:val="37C903A5"/>
    <w:rsid w:val="38ED2412"/>
    <w:rsid w:val="3CE542DC"/>
    <w:rsid w:val="3E2F3BCE"/>
    <w:rsid w:val="3E8C4FC2"/>
    <w:rsid w:val="411327EE"/>
    <w:rsid w:val="41DE645F"/>
    <w:rsid w:val="4B810356"/>
    <w:rsid w:val="4D3C1FAF"/>
    <w:rsid w:val="516820CA"/>
    <w:rsid w:val="51ED7477"/>
    <w:rsid w:val="55130B22"/>
    <w:rsid w:val="58F14E6B"/>
    <w:rsid w:val="594B5DAE"/>
    <w:rsid w:val="5A570499"/>
    <w:rsid w:val="5ADF6AC1"/>
    <w:rsid w:val="60D042F1"/>
    <w:rsid w:val="66BA74E3"/>
    <w:rsid w:val="6B683F2A"/>
    <w:rsid w:val="728E0796"/>
    <w:rsid w:val="79544DF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Char"/>
    <w:link w:val="2"/>
    <w:qFormat/>
    <w:locked/>
    <w:uiPriority w:val="99"/>
    <w:rPr>
      <w:rFonts w:cs="Times New Roman"/>
      <w:sz w:val="18"/>
      <w:szCs w:val="18"/>
    </w:rPr>
  </w:style>
  <w:style w:type="character" w:customStyle="1" w:styleId="8">
    <w:name w:val="页眉 Char"/>
    <w:link w:val="3"/>
    <w:qFormat/>
    <w:locked/>
    <w:uiPriority w:val="99"/>
    <w:rPr>
      <w:rFonts w:cs="Times New Roman"/>
      <w:sz w:val="18"/>
      <w:szCs w:val="18"/>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E02648-2567-4FCE-8617-4791779F997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803</Words>
  <Characters>4583</Characters>
  <Lines>38</Lines>
  <Paragraphs>10</Paragraphs>
  <TotalTime>0</TotalTime>
  <ScaleCrop>false</ScaleCrop>
  <LinksUpToDate>false</LinksUpToDate>
  <CharactersWithSpaces>5376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2017-11-10T09:22:00Z</dcterms:created>
  <dc:creator>旭东</dc:creator>
  <cp:lastModifiedBy>Administrator</cp:lastModifiedBy>
  <cp:lastPrinted>2021-05-18T03:22:00Z</cp:lastPrinted>
  <dcterms:modified xsi:type="dcterms:W3CDTF">2021-05-24T01:57:57Z</dcterms:modified>
  <dc:title>2017年部门预算公开督导整改要求</dc:title>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9518820D644D4E6F8F5C9B421604EA06</vt:lpwstr>
  </property>
</Properties>
</file>