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sz w:val="44"/>
          <w:szCs w:val="44"/>
        </w:rPr>
      </w:pPr>
    </w:p>
    <w:p>
      <w:pPr>
        <w:ind w:firstLine="5742" w:firstLineChars="1300"/>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成安县人民检察院</w:t>
      </w:r>
    </w:p>
    <w:p>
      <w:pPr>
        <w:jc w:val="center"/>
        <w:rPr>
          <w:rFonts w:cs="黑体" w:asciiTheme="majorEastAsia" w:hAnsiTheme="majorEastAsia" w:eastAsiaTheme="majorEastAsia"/>
          <w:b/>
          <w:sz w:val="44"/>
          <w:szCs w:val="44"/>
        </w:rPr>
      </w:pPr>
      <w:r>
        <w:rPr>
          <w:rFonts w:hint="eastAsia" w:asciiTheme="majorEastAsia" w:hAnsiTheme="majorEastAsia" w:eastAsiaTheme="majorEastAsia"/>
          <w:b/>
          <w:color w:val="000000"/>
          <w:sz w:val="44"/>
          <w:szCs w:val="44"/>
        </w:rPr>
        <w:t>2021年部门预算公开情况说明</w:t>
      </w:r>
    </w:p>
    <w:p>
      <w:pPr>
        <w:ind w:firstLine="640" w:firstLineChars="200"/>
        <w:rPr>
          <w:rFonts w:ascii="仿宋" w:hAnsi="仿宋" w:eastAsia="仿宋"/>
          <w:color w:val="000000"/>
          <w:sz w:val="32"/>
          <w:szCs w:val="32"/>
        </w:rPr>
      </w:pPr>
    </w:p>
    <w:p>
      <w:pPr>
        <w:ind w:firstLine="640" w:firstLineChars="200"/>
        <w:rPr>
          <w:rFonts w:ascii="仿宋" w:hAnsi="仿宋" w:eastAsia="仿宋" w:cs="黑体"/>
          <w:bCs/>
          <w:sz w:val="32"/>
          <w:szCs w:val="32"/>
        </w:rPr>
      </w:pPr>
      <w:r>
        <w:rPr>
          <w:rFonts w:ascii="仿宋" w:hAnsi="仿宋" w:eastAsia="仿宋"/>
          <w:color w:val="000000"/>
          <w:sz w:val="32"/>
          <w:szCs w:val="32"/>
        </w:rPr>
        <w:t>按照《预算法》有关规定和财政部关于印发《地方预决算公开操作规程》的通知，现将成安县人民检察院</w:t>
      </w:r>
      <w:r>
        <w:rPr>
          <w:rFonts w:hint="eastAsia" w:ascii="仿宋" w:hAnsi="仿宋" w:eastAsia="仿宋"/>
          <w:color w:val="000000"/>
          <w:sz w:val="32"/>
          <w:szCs w:val="32"/>
        </w:rPr>
        <w:t>2021</w:t>
      </w:r>
      <w:r>
        <w:rPr>
          <w:rFonts w:ascii="仿宋" w:hAnsi="仿宋" w:eastAsia="仿宋"/>
          <w:color w:val="000000"/>
          <w:sz w:val="32"/>
          <w:szCs w:val="32"/>
        </w:rPr>
        <w:t>年部门预算公开如下：</w:t>
      </w:r>
    </w:p>
    <w:p>
      <w:pPr>
        <w:ind w:firstLine="640" w:firstLineChars="200"/>
        <w:rPr>
          <w:rFonts w:ascii="仿宋" w:hAnsi="仿宋" w:eastAsia="仿宋" w:cs="仿宋"/>
          <w:b/>
          <w:kern w:val="0"/>
          <w:sz w:val="32"/>
          <w:szCs w:val="32"/>
        </w:rPr>
      </w:pPr>
      <w:r>
        <w:rPr>
          <w:rFonts w:hint="eastAsia" w:ascii="黑体" w:hAnsi="黑体" w:eastAsia="黑体" w:cs="黑体"/>
          <w:bCs/>
          <w:sz w:val="32"/>
          <w:szCs w:val="32"/>
        </w:rPr>
        <w:t>一、部门职责及机构设置情况</w:t>
      </w:r>
    </w:p>
    <w:p>
      <w:pPr>
        <w:ind w:firstLine="630" w:firstLineChars="196"/>
        <w:rPr>
          <w:rFonts w:hint="eastAsia" w:ascii="楷体" w:hAnsi="楷体" w:eastAsia="楷体" w:cs="楷体"/>
          <w:b/>
          <w:kern w:val="0"/>
          <w:sz w:val="32"/>
          <w:szCs w:val="32"/>
          <w:lang w:val="en-US" w:eastAsia="zh-CN"/>
        </w:rPr>
      </w:pPr>
      <w:r>
        <w:rPr>
          <w:rFonts w:hint="eastAsia" w:ascii="楷体" w:hAnsi="楷体" w:eastAsia="楷体" w:cs="楷体"/>
          <w:b/>
          <w:kern w:val="0"/>
          <w:sz w:val="32"/>
          <w:szCs w:val="32"/>
        </w:rPr>
        <w:t>部门职责</w:t>
      </w:r>
      <w:r>
        <w:rPr>
          <w:rFonts w:hint="eastAsia" w:ascii="楷体" w:hAnsi="楷体" w:eastAsia="楷体" w:cs="楷体"/>
          <w:b/>
          <w:kern w:val="0"/>
          <w:sz w:val="32"/>
          <w:szCs w:val="32"/>
          <w:lang w:val="en-US" w:eastAsia="zh-CN"/>
        </w:rPr>
        <w:t>:</w:t>
      </w:r>
    </w:p>
    <w:p>
      <w:pPr>
        <w:widowControl/>
        <w:spacing w:line="360" w:lineRule="auto"/>
        <w:ind w:firstLine="627" w:firstLineChars="196"/>
        <w:jc w:val="left"/>
        <w:rPr>
          <w:rFonts w:ascii="仿宋" w:hAnsi="仿宋" w:eastAsia="仿宋" w:cs="Calibri"/>
          <w:bCs/>
          <w:kern w:val="0"/>
          <w:sz w:val="32"/>
          <w:szCs w:val="32"/>
        </w:rPr>
      </w:pPr>
      <w:r>
        <w:rPr>
          <w:rFonts w:hint="eastAsia" w:ascii="仿宋" w:hAnsi="仿宋" w:eastAsia="仿宋" w:cs="Calibri"/>
          <w:bCs/>
          <w:kern w:val="0"/>
          <w:sz w:val="32"/>
          <w:szCs w:val="32"/>
        </w:rPr>
        <w:t>成安县人民检察院是国家法律监督机关的组成部门，依法开展各项检察工作，履行法律监督职能；对县人民代表大会及其常务委员会负责并报告工作，接受县人民代表大会及其常务委员会的监督；接受市人民检察院的领导。其主要职责是：</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（一）深入贯彻习近平新时代中国特色社会主义思想，深入贯彻党的路线方针和决策部署，坚持党对检察工作的绝对领导，坚决维护习近平总书记的核心地位，坚决维护党中央权威和集中统一领导。</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（二）依法向县人民代表大会及其常务委员会提出议案。</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（三）贯彻落实检察工作方针、总体规划，研究制定检察工作计划并组织实施。</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（四）依照法律规定对直接受理的刑事案件行使侦查权。</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（五）负责对管辖的各类刑事案件依法审查批准逮捕、决定逮捕、提起公诉。</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（六）负责应由本院承办的刑事、民事、行政诉讼活动及刑事、民事、行政判决和裁定等生效法律文书执行的法律监督工作。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（七）负责应由本院承办的提起公益诉讼工作。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（八）依法受理核准追诉案件，审查是否上报。</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（九）负责应由本院承办的对看守所、社区矫正等执法活动的法律监督工作。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（十）受理向本院的控告申诉。</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（十一）组织检察工作中法律政策具体应用问题的研究；组织开展检察理论研究工作。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（十二）负责检察人员思想政治教育和业务培训工作；按照权限管理检察官和其他工作人员。</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（十三）负责本院检务督察工作。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（十四）负责本院检务保障以及检察技术、信息化建设工作。</w:t>
      </w:r>
    </w:p>
    <w:p>
      <w:pPr>
        <w:spacing w:line="640" w:lineRule="exact"/>
        <w:ind w:firstLine="640" w:firstLineChars="200"/>
        <w:rPr>
          <w:rFonts w:ascii="仿宋" w:hAnsi="仿宋" w:eastAsia="仿宋" w:cs="Calibri"/>
          <w:bCs/>
          <w:kern w:val="0"/>
          <w:sz w:val="32"/>
          <w:szCs w:val="32"/>
        </w:rPr>
      </w:pPr>
      <w:r>
        <w:rPr>
          <w:rFonts w:hint="eastAsia" w:ascii="仿宋" w:hAnsi="仿宋" w:eastAsia="仿宋" w:cs="仿宋"/>
          <w:bCs/>
          <w:sz w:val="32"/>
          <w:szCs w:val="32"/>
        </w:rPr>
        <w:t>（十五）完成其他应当由本院负责的工作。</w:t>
      </w:r>
    </w:p>
    <w:p>
      <w:pPr>
        <w:widowControl/>
        <w:spacing w:line="360" w:lineRule="auto"/>
        <w:ind w:firstLine="630" w:firstLineChars="196"/>
        <w:jc w:val="left"/>
        <w:rPr>
          <w:rFonts w:hint="eastAsia" w:ascii="楷体" w:hAnsi="楷体" w:eastAsia="楷体" w:cs="楷体"/>
          <w:b/>
          <w:bCs/>
          <w:kern w:val="0"/>
          <w:sz w:val="32"/>
          <w:szCs w:val="32"/>
        </w:rPr>
      </w:pPr>
      <w:r>
        <w:rPr>
          <w:rFonts w:hint="eastAsia" w:ascii="楷体" w:hAnsi="楷体" w:eastAsia="楷体" w:cs="楷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人员编制36名，其中领导职数7名。</w:t>
      </w:r>
    </w:p>
    <w:p>
      <w:pPr>
        <w:numPr>
          <w:ilvl w:val="0"/>
          <w:numId w:val="1"/>
        </w:num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办公室</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日常政务、办理文电、会务、机要、文秘、档案、保密、检务公开等工作；协调督办上级重要工作、批办事项；负责人大代表联络及管理检务协作、经费资产、基础建设、科技装备、交通工具、接待、后勤服务、检察技术、信息化建设等工作。</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（二）第一检察部</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刑事犯罪及涉未成年人犯罪案件的审查逮捕、审查起诉，开展相关立案监督、侦查监督、审判监督及相关案件的补充侦查，办理相关刑事诉讼案件；负责检察机关社会治安综合治理工作；开展未成年人司法保护和预防未成年人犯罪工作。</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（三）第二检察部</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对申请监督和提请抗诉的民事、行政案件的审查、抗诉，对县人民法院民事、行政诉讼活动进行监督，对审判监督程序以外的其他民事、行政审判程序中审判人员的违法行为提出检察建议，对民事、行政执行活动实行法律监督。开展民事、行政支持起诉工作，办理民事、行政申诉案件；负责办理生态环境和资源保护、食品药品安全、国有财产保护、国有土地使用权出让等领域的行政公益诉讼案件；侵害英雄烈士姓名、肖像、名誉、荣誉的公益诉讼案件；负责对县人民法院开庭审理的公益诉讼案件派员出席法庭，依照有关规定提出检察建议。办理公益诉讼申诉案件。</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（四）第三检察部</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对看守所和社区矫正等执法活动监督，对法律规定的司法工作人员利用职权实施的非法拘禁、刑讯逼供、非法搜查等侵犯公民权利、损害司法公正犯罪的侦查。负责案件受理流转、办案流程监控、涉案财物监管、法律文书监管、案件信息公开、案件质量评查、业务考评和统计分析；负责人民监督员工作及业务应用系统的应用。负责检察调研及理论研究，司法体制改革综合协调工作；承办本院检察委员会日常工作。受理控告、申诉、信访；承办国家赔偿案件和国家司法救助案件；负责接待群众来访、处理群众来信（含电、网等）事项。</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（五）政治部（司法警察大队）</w:t>
      </w:r>
    </w:p>
    <w:p>
      <w:pPr>
        <w:spacing w:line="640" w:lineRule="exact"/>
        <w:ind w:firstLine="640" w:firstLineChars="200"/>
        <w:rPr>
          <w:rFonts w:ascii="仿宋" w:hAnsi="仿宋" w:eastAsia="仿宋" w:cs="仿宋"/>
          <w:bCs/>
          <w:kern w:val="0"/>
          <w:sz w:val="32"/>
          <w:szCs w:val="32"/>
        </w:rPr>
      </w:pPr>
      <w:r>
        <w:rPr>
          <w:rFonts w:hint="eastAsia" w:ascii="仿宋" w:hAnsi="仿宋" w:eastAsia="仿宋" w:cs="仿宋"/>
          <w:bCs/>
          <w:sz w:val="32"/>
          <w:szCs w:val="32"/>
        </w:rPr>
        <w:t>负责干部人事、教育培训、检察宣传、表彰奖励、舆情应对、党建群团、党风廉政、检务督察、离退休等工作。负责司法警务工作；负责提押、看管、送达等工作，配合检察监督事项。</w:t>
      </w:r>
    </w:p>
    <w:p>
      <w:pPr>
        <w:spacing w:line="64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机构</w:t>
      </w:r>
      <w:r>
        <w:rPr>
          <w:rFonts w:hint="eastAsia" w:ascii="仿宋" w:hAnsi="仿宋" w:eastAsia="仿宋" w:cs="仿宋"/>
          <w:b/>
          <w:kern w:val="0"/>
          <w:sz w:val="32"/>
          <w:szCs w:val="32"/>
          <w:lang w:eastAsia="zh-CN"/>
        </w:rPr>
        <w:t>设置</w:t>
      </w:r>
      <w:r>
        <w:rPr>
          <w:rFonts w:hint="eastAsia" w:ascii="仿宋" w:hAnsi="仿宋" w:eastAsia="仿宋" w:cs="仿宋"/>
          <w:b/>
          <w:kern w:val="0"/>
          <w:sz w:val="32"/>
          <w:szCs w:val="32"/>
        </w:rPr>
        <w:t>：</w:t>
      </w:r>
    </w:p>
    <w:p>
      <w:pPr>
        <w:jc w:val="center"/>
        <w:outlineLvl w:val="0"/>
        <w:rPr>
          <w:rFonts w:ascii="仿宋" w:hAnsi="仿宋" w:eastAsia="仿宋" w:cs="方正小标宋_GBK"/>
          <w:b/>
          <w:sz w:val="32"/>
          <w:szCs w:val="32"/>
        </w:rPr>
      </w:pPr>
      <w:r>
        <w:rPr>
          <w:rFonts w:hint="eastAsia" w:ascii="仿宋" w:hAnsi="仿宋" w:eastAsia="仿宋" w:cs="方正小标宋_GBK"/>
          <w:b/>
          <w:sz w:val="32"/>
          <w:szCs w:val="32"/>
        </w:rPr>
        <w:t>部门机构设置情况</w:t>
      </w:r>
    </w:p>
    <w:tbl>
      <w:tblPr>
        <w:tblStyle w:val="8"/>
        <w:tblW w:w="85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827" w:type="dxa"/>
            <w:vMerge w:val="restart"/>
            <w:shd w:val="clear" w:color="auto" w:fill="auto"/>
            <w:vAlign w:val="center"/>
          </w:tcPr>
          <w:p>
            <w:pPr>
              <w:spacing w:line="300" w:lineRule="exact"/>
              <w:jc w:val="center"/>
              <w:rPr>
                <w:rFonts w:ascii="仿宋" w:hAnsi="仿宋" w:eastAsia="仿宋"/>
                <w:b/>
                <w:sz w:val="21"/>
                <w:szCs w:val="21"/>
              </w:rPr>
            </w:pPr>
            <w:r>
              <w:rPr>
                <w:rFonts w:hint="eastAsia" w:ascii="仿宋" w:hAnsi="仿宋" w:eastAsia="仿宋"/>
                <w:b/>
                <w:sz w:val="21"/>
                <w:szCs w:val="21"/>
              </w:rPr>
              <w:t>单位名称</w:t>
            </w:r>
          </w:p>
        </w:tc>
        <w:tc>
          <w:tcPr>
            <w:tcW w:w="1134" w:type="dxa"/>
            <w:vMerge w:val="restart"/>
            <w:shd w:val="clear" w:color="auto" w:fill="auto"/>
            <w:vAlign w:val="center"/>
          </w:tcPr>
          <w:p>
            <w:pPr>
              <w:spacing w:line="300" w:lineRule="exact"/>
              <w:jc w:val="center"/>
              <w:rPr>
                <w:rFonts w:ascii="仿宋" w:hAnsi="仿宋" w:eastAsia="仿宋"/>
                <w:b/>
                <w:sz w:val="21"/>
                <w:szCs w:val="21"/>
              </w:rPr>
            </w:pPr>
            <w:r>
              <w:rPr>
                <w:rFonts w:hint="eastAsia" w:ascii="仿宋" w:hAnsi="仿宋" w:eastAsia="仿宋"/>
                <w:b/>
                <w:sz w:val="21"/>
                <w:szCs w:val="21"/>
              </w:rPr>
              <w:t>单位性质</w:t>
            </w:r>
          </w:p>
        </w:tc>
        <w:tc>
          <w:tcPr>
            <w:tcW w:w="1276" w:type="dxa"/>
            <w:vMerge w:val="restart"/>
            <w:shd w:val="clear" w:color="auto" w:fill="auto"/>
            <w:vAlign w:val="center"/>
          </w:tcPr>
          <w:p>
            <w:pPr>
              <w:spacing w:line="300" w:lineRule="exact"/>
              <w:jc w:val="center"/>
              <w:rPr>
                <w:rFonts w:ascii="仿宋" w:hAnsi="仿宋" w:eastAsia="仿宋"/>
                <w:b/>
                <w:sz w:val="21"/>
                <w:szCs w:val="21"/>
              </w:rPr>
            </w:pPr>
            <w:r>
              <w:rPr>
                <w:rFonts w:hint="eastAsia" w:ascii="仿宋" w:hAnsi="仿宋" w:eastAsia="仿宋"/>
                <w:b/>
                <w:sz w:val="21"/>
                <w:szCs w:val="21"/>
              </w:rPr>
              <w:t>单位规格</w:t>
            </w:r>
          </w:p>
        </w:tc>
        <w:tc>
          <w:tcPr>
            <w:tcW w:w="2353" w:type="dxa"/>
            <w:vMerge w:val="restart"/>
            <w:shd w:val="clear" w:color="auto" w:fill="auto"/>
            <w:vAlign w:val="center"/>
          </w:tcPr>
          <w:p>
            <w:pPr>
              <w:spacing w:line="300" w:lineRule="exact"/>
              <w:jc w:val="center"/>
              <w:rPr>
                <w:rFonts w:ascii="仿宋" w:hAnsi="仿宋" w:eastAsia="仿宋"/>
                <w:b/>
                <w:sz w:val="21"/>
                <w:szCs w:val="21"/>
              </w:rPr>
            </w:pPr>
            <w:r>
              <w:rPr>
                <w:rFonts w:hint="eastAsia" w:ascii="仿宋" w:hAnsi="仿宋" w:eastAsia="仿宋"/>
                <w:b/>
                <w:sz w:val="21"/>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3827" w:type="dxa"/>
            <w:vMerge w:val="continue"/>
            <w:shd w:val="clear" w:color="auto" w:fill="auto"/>
            <w:vAlign w:val="center"/>
          </w:tcPr>
          <w:p>
            <w:pPr>
              <w:spacing w:line="300" w:lineRule="exact"/>
              <w:jc w:val="left"/>
              <w:outlineLvl w:val="0"/>
              <w:rPr>
                <w:rFonts w:ascii="仿宋" w:hAnsi="仿宋" w:eastAsia="仿宋"/>
                <w:sz w:val="32"/>
                <w:szCs w:val="32"/>
              </w:rPr>
            </w:pPr>
          </w:p>
        </w:tc>
        <w:tc>
          <w:tcPr>
            <w:tcW w:w="1134" w:type="dxa"/>
            <w:vMerge w:val="continue"/>
            <w:shd w:val="clear" w:color="auto" w:fill="auto"/>
            <w:vAlign w:val="center"/>
          </w:tcPr>
          <w:p>
            <w:pPr>
              <w:spacing w:line="300" w:lineRule="exact"/>
              <w:jc w:val="left"/>
              <w:outlineLvl w:val="0"/>
              <w:rPr>
                <w:rFonts w:ascii="仿宋" w:hAnsi="仿宋" w:eastAsia="仿宋"/>
                <w:sz w:val="32"/>
                <w:szCs w:val="32"/>
              </w:rPr>
            </w:pPr>
          </w:p>
        </w:tc>
        <w:tc>
          <w:tcPr>
            <w:tcW w:w="1276" w:type="dxa"/>
            <w:vMerge w:val="continue"/>
            <w:shd w:val="clear" w:color="auto" w:fill="auto"/>
            <w:vAlign w:val="center"/>
          </w:tcPr>
          <w:p>
            <w:pPr>
              <w:spacing w:line="300" w:lineRule="exact"/>
              <w:jc w:val="left"/>
              <w:outlineLvl w:val="0"/>
              <w:rPr>
                <w:rFonts w:ascii="仿宋" w:hAnsi="仿宋" w:eastAsia="仿宋"/>
                <w:sz w:val="32"/>
                <w:szCs w:val="32"/>
              </w:rPr>
            </w:pPr>
          </w:p>
        </w:tc>
        <w:tc>
          <w:tcPr>
            <w:tcW w:w="2353" w:type="dxa"/>
            <w:vMerge w:val="continue"/>
            <w:shd w:val="clear" w:color="auto" w:fill="auto"/>
            <w:vAlign w:val="center"/>
          </w:tcPr>
          <w:p>
            <w:pPr>
              <w:spacing w:line="300" w:lineRule="exact"/>
              <w:jc w:val="left"/>
              <w:outlineLvl w:val="0"/>
              <w:rPr>
                <w:rFonts w:ascii="仿宋" w:hAnsi="仿宋" w:eastAsia="仿宋"/>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827" w:type="dxa"/>
            <w:shd w:val="clear" w:color="auto" w:fill="auto"/>
            <w:vAlign w:val="center"/>
          </w:tcPr>
          <w:p>
            <w:pPr>
              <w:spacing w:line="300" w:lineRule="exact"/>
              <w:jc w:val="center"/>
              <w:rPr>
                <w:rFonts w:ascii="仿宋" w:hAnsi="仿宋" w:eastAsia="仿宋"/>
                <w:sz w:val="21"/>
                <w:szCs w:val="21"/>
              </w:rPr>
            </w:pPr>
            <w:r>
              <w:rPr>
                <w:rFonts w:hint="eastAsia" w:ascii="仿宋" w:hAnsi="仿宋" w:eastAsia="仿宋"/>
                <w:sz w:val="21"/>
                <w:szCs w:val="21"/>
              </w:rPr>
              <w:t>成安县人民检察院</w:t>
            </w:r>
          </w:p>
        </w:tc>
        <w:tc>
          <w:tcPr>
            <w:tcW w:w="1134" w:type="dxa"/>
            <w:shd w:val="clear" w:color="auto" w:fill="auto"/>
            <w:vAlign w:val="center"/>
          </w:tcPr>
          <w:p>
            <w:pPr>
              <w:spacing w:line="300" w:lineRule="exact"/>
              <w:jc w:val="center"/>
              <w:rPr>
                <w:rFonts w:ascii="仿宋" w:hAnsi="仿宋" w:eastAsia="仿宋"/>
                <w:sz w:val="21"/>
                <w:szCs w:val="21"/>
              </w:rPr>
            </w:pPr>
            <w:r>
              <w:rPr>
                <w:rFonts w:hint="eastAsia" w:ascii="仿宋" w:hAnsi="仿宋" w:eastAsia="仿宋"/>
                <w:sz w:val="21"/>
                <w:szCs w:val="21"/>
              </w:rPr>
              <w:t>行政</w:t>
            </w:r>
          </w:p>
        </w:tc>
        <w:tc>
          <w:tcPr>
            <w:tcW w:w="1276" w:type="dxa"/>
            <w:shd w:val="clear" w:color="auto" w:fill="auto"/>
            <w:vAlign w:val="center"/>
          </w:tcPr>
          <w:p>
            <w:pPr>
              <w:spacing w:line="300" w:lineRule="exact"/>
              <w:jc w:val="center"/>
              <w:rPr>
                <w:rFonts w:ascii="仿宋" w:hAnsi="仿宋" w:eastAsia="仿宋"/>
                <w:sz w:val="21"/>
                <w:szCs w:val="21"/>
              </w:rPr>
            </w:pPr>
            <w:r>
              <w:rPr>
                <w:rFonts w:hint="eastAsia" w:ascii="仿宋" w:hAnsi="仿宋" w:eastAsia="仿宋"/>
                <w:sz w:val="21"/>
                <w:szCs w:val="21"/>
              </w:rPr>
              <w:t>副处级</w:t>
            </w:r>
          </w:p>
        </w:tc>
        <w:tc>
          <w:tcPr>
            <w:tcW w:w="2353" w:type="dxa"/>
            <w:shd w:val="clear" w:color="auto" w:fill="auto"/>
            <w:vAlign w:val="center"/>
          </w:tcPr>
          <w:p>
            <w:pPr>
              <w:spacing w:line="300" w:lineRule="exact"/>
              <w:jc w:val="center"/>
              <w:rPr>
                <w:rFonts w:ascii="仿宋" w:hAnsi="仿宋" w:eastAsia="仿宋"/>
                <w:sz w:val="21"/>
                <w:szCs w:val="21"/>
              </w:rPr>
            </w:pPr>
            <w:r>
              <w:rPr>
                <w:rFonts w:hint="eastAsia" w:ascii="仿宋" w:hAnsi="仿宋" w:eastAsia="仿宋"/>
                <w:sz w:val="21"/>
                <w:szCs w:val="21"/>
              </w:rPr>
              <w:t>财政拨款</w:t>
            </w:r>
          </w:p>
        </w:tc>
      </w:tr>
    </w:tbl>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hint="eastAsia" w:ascii="仿宋" w:hAnsi="仿宋" w:eastAsia="仿宋" w:cs="仿宋"/>
          <w:b/>
          <w:bCs/>
          <w:sz w:val="32"/>
          <w:szCs w:val="32"/>
        </w:rPr>
        <w:t>1、收入说明</w:t>
      </w:r>
    </w:p>
    <w:p>
      <w:pPr>
        <w:spacing w:line="560" w:lineRule="exact"/>
        <w:ind w:firstLine="640"/>
        <w:rPr>
          <w:rFonts w:ascii="仿宋" w:hAnsi="仿宋" w:eastAsia="仿宋" w:cs="方正仿宋_GBK"/>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年预算收入682.15万元，其中：一般公共预算收入682.15万元，政府性基金收入0万元，国有资本经营收入0万元，事业收入0万元，其他收入0万元。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年支出预算682.15万元，其中:基本支出425.21万元，包括人员经费338万元和日常公用经费87.21万元，主要为行政运行、社会保障就业支出；项目支出256.94万元，主要为行政运行、检察监督、一般行政管理事务。</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年预算收支安排682.15万元，较</w:t>
      </w:r>
      <w:r>
        <w:rPr>
          <w:rFonts w:hint="eastAsia" w:ascii="仿宋" w:hAnsi="仿宋" w:eastAsia="仿宋" w:cs="Times New Roman"/>
          <w:sz w:val="32"/>
          <w:szCs w:val="32"/>
        </w:rPr>
        <w:t>2020</w:t>
      </w:r>
      <w:r>
        <w:rPr>
          <w:rFonts w:hint="eastAsia" w:ascii="仿宋" w:hAnsi="仿宋" w:eastAsia="仿宋" w:cs="方正仿宋_GBK"/>
          <w:sz w:val="32"/>
          <w:szCs w:val="32"/>
        </w:rPr>
        <w:t>年预算减少122.13万元，其中：基本支出减少72.4万元，项目支出减少49.72万元。基本支出减少原因主要是人员减少，经费支出预算减少；项目支出减少主要是购买专项设备减少</w:t>
      </w:r>
      <w:r>
        <w:rPr>
          <w:rFonts w:ascii="仿宋" w:hAnsi="仿宋" w:eastAsia="仿宋"/>
          <w:color w:val="000000"/>
          <w:sz w:val="32"/>
          <w:szCs w:val="32"/>
        </w:rPr>
        <w:t>。</w:t>
      </w:r>
    </w:p>
    <w:p>
      <w:pPr>
        <w:widowControl/>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三、机关运行经费情况</w:t>
      </w:r>
    </w:p>
    <w:p>
      <w:pPr>
        <w:autoSpaceDE w:val="0"/>
        <w:autoSpaceDN w:val="0"/>
        <w:adjustRightInd w:val="0"/>
        <w:spacing w:line="560" w:lineRule="exact"/>
        <w:ind w:firstLine="640" w:firstLineChars="200"/>
        <w:jc w:val="left"/>
        <w:rPr>
          <w:rFonts w:ascii="仿宋" w:hAnsi="仿宋" w:eastAsia="仿宋" w:cs="Times New Roman"/>
          <w:sz w:val="32"/>
          <w:szCs w:val="32"/>
        </w:rPr>
      </w:pPr>
      <w:r>
        <w:rPr>
          <w:rFonts w:hint="eastAsia" w:ascii="仿宋" w:hAnsi="仿宋" w:eastAsia="仿宋" w:cs="方正仿宋_GBK"/>
          <w:sz w:val="32"/>
          <w:szCs w:val="32"/>
        </w:rPr>
        <w:t>机关运行经费共计安排87.21万元，主要用于办公费、差旅费、水电费、维修（护）、培训费等日常运行支出。</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firstLine="640" w:firstLineChars="200"/>
        <w:jc w:val="left"/>
        <w:rPr>
          <w:rFonts w:hint="eastAsia" w:ascii="黑体" w:hAnsi="黑体" w:eastAsia="仿宋" w:cs="黑体"/>
          <w:sz w:val="32"/>
          <w:szCs w:val="32"/>
          <w:lang w:eastAsia="zh-CN"/>
        </w:rPr>
      </w:pPr>
      <w:r>
        <w:rPr>
          <w:rFonts w:hint="eastAsia" w:ascii="仿宋" w:hAnsi="仿宋" w:eastAsia="仿宋" w:cs="Times New Roman"/>
          <w:sz w:val="32"/>
          <w:szCs w:val="32"/>
        </w:rPr>
        <w:t>2021</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经费预算安排2万元，其中因公出国（境）费0万元；公务用车购置及运维费2万元（其中：公务用车购置费为0万元，公务用车运行费2万元</w:t>
      </w:r>
      <w:r>
        <w:rPr>
          <w:rFonts w:ascii="仿宋" w:hAnsi="仿宋" w:eastAsia="仿宋" w:cs="Times New Roman"/>
          <w:sz w:val="32"/>
          <w:szCs w:val="32"/>
        </w:rPr>
        <w:t>)</w:t>
      </w:r>
      <w:r>
        <w:rPr>
          <w:rFonts w:hint="eastAsia" w:ascii="仿宋" w:hAnsi="仿宋" w:eastAsia="仿宋" w:cs="方正仿宋_GBK"/>
          <w:sz w:val="32"/>
          <w:szCs w:val="32"/>
        </w:rPr>
        <w:t>；公务接待费0万元,培训费0万元。</w:t>
      </w:r>
      <w:r>
        <w:rPr>
          <w:rFonts w:hint="eastAsia" w:ascii="仿宋" w:hAnsi="仿宋" w:eastAsia="仿宋" w:cs="方正仿宋_GBK"/>
          <w:sz w:val="32"/>
          <w:szCs w:val="32"/>
          <w:lang w:val="en-US" w:eastAsia="zh-CN"/>
        </w:rPr>
        <w:t>2021年</w:t>
      </w:r>
      <w:r>
        <w:rPr>
          <w:rFonts w:hint="eastAsia" w:ascii="仿宋" w:hAnsi="仿宋" w:eastAsia="仿宋" w:cs="方正仿宋_GBK"/>
          <w:sz w:val="32"/>
          <w:szCs w:val="32"/>
        </w:rPr>
        <w:t>因公出国（境）费</w:t>
      </w:r>
      <w:r>
        <w:rPr>
          <w:rFonts w:hint="eastAsia" w:ascii="仿宋" w:hAnsi="仿宋" w:eastAsia="仿宋" w:cs="方正仿宋_GBK"/>
          <w:sz w:val="32"/>
          <w:szCs w:val="32"/>
          <w:lang w:eastAsia="zh-CN"/>
        </w:rPr>
        <w:t>与去年持平</w:t>
      </w:r>
      <w:r>
        <w:rPr>
          <w:rFonts w:hint="eastAsia" w:ascii="仿宋" w:hAnsi="仿宋" w:eastAsia="仿宋" w:cs="方正仿宋_GBK"/>
          <w:sz w:val="32"/>
          <w:szCs w:val="32"/>
          <w:lang w:val="en-US" w:eastAsia="zh-CN"/>
        </w:rPr>
        <w:t>;</w:t>
      </w:r>
      <w:r>
        <w:rPr>
          <w:rFonts w:hint="eastAsia" w:ascii="仿宋" w:hAnsi="仿宋" w:eastAsia="仿宋" w:cs="方正仿宋_GBK"/>
          <w:sz w:val="32"/>
          <w:szCs w:val="32"/>
        </w:rPr>
        <w:t>公务用车购置及运维费与</w:t>
      </w:r>
      <w:r>
        <w:rPr>
          <w:rFonts w:hint="eastAsia" w:ascii="仿宋" w:hAnsi="仿宋" w:eastAsia="仿宋" w:cs="Times New Roman"/>
          <w:sz w:val="32"/>
          <w:szCs w:val="32"/>
        </w:rPr>
        <w:t>2020</w:t>
      </w:r>
      <w:r>
        <w:rPr>
          <w:rFonts w:hint="eastAsia" w:ascii="仿宋" w:hAnsi="仿宋" w:eastAsia="仿宋" w:cs="方正仿宋_GBK"/>
          <w:sz w:val="32"/>
          <w:szCs w:val="32"/>
        </w:rPr>
        <w:t>年相</w:t>
      </w:r>
      <w:r>
        <w:rPr>
          <w:rFonts w:hint="eastAsia" w:ascii="仿宋" w:hAnsi="仿宋" w:eastAsia="仿宋" w:cs="方正仿宋_GBK"/>
          <w:sz w:val="32"/>
          <w:szCs w:val="32"/>
          <w:lang w:eastAsia="zh-CN"/>
        </w:rPr>
        <w:t>比较</w:t>
      </w:r>
      <w:r>
        <w:rPr>
          <w:rFonts w:hint="eastAsia" w:ascii="仿宋" w:hAnsi="仿宋" w:eastAsia="仿宋" w:cs="方正仿宋_GBK"/>
          <w:sz w:val="32"/>
          <w:szCs w:val="32"/>
        </w:rPr>
        <w:t>减少33.3%</w:t>
      </w:r>
      <w:r>
        <w:rPr>
          <w:rFonts w:hint="eastAsia" w:ascii="仿宋" w:hAnsi="仿宋" w:eastAsia="仿宋" w:cs="仿宋"/>
          <w:kern w:val="0"/>
          <w:sz w:val="32"/>
          <w:szCs w:val="32"/>
        </w:rPr>
        <w:t>，主要原因是严格执行公车管理制度，节省开支</w:t>
      </w:r>
      <w:r>
        <w:rPr>
          <w:rFonts w:hint="eastAsia" w:ascii="仿宋" w:hAnsi="仿宋" w:eastAsia="仿宋" w:cs="仿宋"/>
          <w:kern w:val="0"/>
          <w:sz w:val="32"/>
          <w:szCs w:val="32"/>
          <w:lang w:eastAsia="zh-CN"/>
        </w:rPr>
        <w:t>；</w:t>
      </w:r>
      <w:r>
        <w:rPr>
          <w:rFonts w:hint="eastAsia" w:ascii="仿宋" w:hAnsi="仿宋" w:eastAsia="仿宋" w:cs="方正仿宋_GBK"/>
          <w:sz w:val="32"/>
          <w:szCs w:val="32"/>
        </w:rPr>
        <w:t>公务接待费</w:t>
      </w:r>
      <w:r>
        <w:rPr>
          <w:rFonts w:hint="eastAsia" w:ascii="仿宋" w:hAnsi="仿宋" w:eastAsia="仿宋" w:cs="方正仿宋_GBK"/>
          <w:sz w:val="32"/>
          <w:szCs w:val="32"/>
          <w:lang w:eastAsia="zh-CN"/>
        </w:rPr>
        <w:t>与去年持平；培训费与去年持平。</w:t>
      </w:r>
    </w:p>
    <w:p>
      <w:pPr>
        <w:widowControl/>
        <w:spacing w:line="360" w:lineRule="auto"/>
        <w:ind w:firstLine="640" w:firstLineChars="200"/>
        <w:jc w:val="left"/>
        <w:rPr>
          <w:rFonts w:hint="eastAsia" w:ascii="仿宋" w:hAnsi="仿宋" w:eastAsia="黑体" w:cs="仿宋"/>
          <w:bCs/>
          <w:color w:val="FF0000"/>
          <w:kern w:val="0"/>
          <w:sz w:val="32"/>
          <w:szCs w:val="32"/>
          <w:lang w:eastAsia="zh-CN"/>
        </w:rPr>
      </w:pPr>
      <w:r>
        <w:rPr>
          <w:rFonts w:hint="eastAsia" w:ascii="黑体" w:hAnsi="黑体" w:eastAsia="黑体" w:cs="Calibri"/>
          <w:kern w:val="0"/>
          <w:sz w:val="32"/>
          <w:szCs w:val="32"/>
        </w:rPr>
        <w:t>五、</w:t>
      </w:r>
      <w:r>
        <w:rPr>
          <w:rFonts w:hint="eastAsia" w:ascii="黑体" w:hAnsi="黑体" w:eastAsia="黑体" w:cs="Calibri"/>
          <w:kern w:val="0"/>
          <w:sz w:val="32"/>
          <w:szCs w:val="32"/>
          <w:lang w:eastAsia="zh-CN"/>
        </w:rPr>
        <w:t>预算绩效信息</w:t>
      </w:r>
    </w:p>
    <w:p>
      <w:pPr>
        <w:widowControl/>
        <w:spacing w:line="360" w:lineRule="auto"/>
        <w:ind w:firstLine="643" w:firstLineChars="200"/>
        <w:jc w:val="left"/>
        <w:rPr>
          <w:rFonts w:hint="eastAsia" w:ascii="楷体" w:hAnsi="楷体" w:eastAsia="楷体" w:cs="楷体"/>
          <w:b/>
          <w:kern w:val="0"/>
          <w:sz w:val="32"/>
          <w:szCs w:val="32"/>
        </w:rPr>
      </w:pPr>
      <w:r>
        <w:rPr>
          <w:rFonts w:hint="eastAsia" w:ascii="楷体" w:hAnsi="楷体" w:eastAsia="楷体" w:cs="楷体"/>
          <w:b/>
          <w:kern w:val="0"/>
          <w:sz w:val="32"/>
          <w:szCs w:val="32"/>
          <w:lang w:val="en-US" w:eastAsia="zh-CN"/>
        </w:rPr>
        <w:t>(一）</w:t>
      </w:r>
      <w:r>
        <w:rPr>
          <w:rFonts w:hint="eastAsia" w:ascii="楷体" w:hAnsi="楷体" w:eastAsia="楷体" w:cs="楷体"/>
          <w:b/>
          <w:kern w:val="0"/>
          <w:sz w:val="32"/>
          <w:szCs w:val="32"/>
        </w:rPr>
        <w:t>总体绩效目标</w:t>
      </w:r>
    </w:p>
    <w:p>
      <w:pPr>
        <w:ind w:left="214" w:leftChars="102" w:right="397" w:rightChars="189" w:firstLine="624"/>
        <w:rPr>
          <w:rFonts w:ascii="仿宋" w:hAnsi="仿宋" w:eastAsia="仿宋" w:cs="仿宋"/>
          <w:sz w:val="32"/>
          <w:szCs w:val="32"/>
        </w:rPr>
      </w:pPr>
      <w:r>
        <w:rPr>
          <w:rFonts w:hint="eastAsia" w:ascii="仿宋" w:hAnsi="仿宋" w:eastAsia="仿宋" w:cs="仿宋"/>
          <w:sz w:val="32"/>
          <w:szCs w:val="32"/>
        </w:rPr>
        <w:t>坚持以习近平新时代中国特色社会主义思想为指导，忠实履行宪法法律赋予的职责，着力强化法律监督职能，推动各项检察工作取得新发展。</w:t>
      </w:r>
    </w:p>
    <w:p>
      <w:pPr>
        <w:ind w:right="397" w:rightChars="189" w:firstLine="640" w:firstLineChars="200"/>
        <w:rPr>
          <w:rFonts w:ascii="仿宋" w:hAnsi="仿宋" w:eastAsia="仿宋" w:cs="仿宋"/>
          <w:sz w:val="32"/>
          <w:szCs w:val="32"/>
        </w:rPr>
      </w:pPr>
      <w:r>
        <w:rPr>
          <w:rFonts w:hint="eastAsia" w:ascii="仿宋" w:hAnsi="仿宋" w:eastAsia="仿宋" w:cs="仿宋"/>
          <w:sz w:val="32"/>
          <w:szCs w:val="32"/>
        </w:rPr>
        <w:t>（1）加强对侦查机关的侦查活动、人民法院的审判活动、监狱看守所等机关执行刑罚活动的法律监督，维护司法公正。侦查监督和审查起诉工作正确率达到9</w:t>
      </w:r>
      <w:r>
        <w:rPr>
          <w:rFonts w:hint="eastAsia" w:ascii="仿宋" w:hAnsi="仿宋" w:eastAsia="仿宋" w:cs="仿宋"/>
          <w:sz w:val="32"/>
          <w:szCs w:val="32"/>
          <w:lang w:val="en-US" w:eastAsia="zh-CN"/>
        </w:rPr>
        <w:t>5</w:t>
      </w:r>
      <w:r>
        <w:rPr>
          <w:rFonts w:hint="eastAsia" w:ascii="仿宋" w:hAnsi="仿宋" w:eastAsia="仿宋" w:cs="仿宋"/>
          <w:sz w:val="32"/>
          <w:szCs w:val="32"/>
        </w:rPr>
        <w:t>%以上。</w:t>
      </w:r>
    </w:p>
    <w:p>
      <w:pPr>
        <w:ind w:right="397" w:rightChars="189"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）承担检察系统综合业务管理和综合事务管理工作。</w:t>
      </w:r>
    </w:p>
    <w:p>
      <w:pPr>
        <w:ind w:right="397" w:rightChars="189"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）“12.4国家宪法日”期间进行宣传活动不少于1次，涉及宪法宣传、法律法规培训不少于1次。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年实现全系统执法办案人员参训覆盖率为9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spacing w:line="560" w:lineRule="exact"/>
        <w:ind w:firstLine="321" w:firstLineChars="100"/>
        <w:jc w:val="left"/>
        <w:outlineLvl w:val="0"/>
        <w:rPr>
          <w:rFonts w:hint="eastAsia" w:ascii="楷体" w:hAnsi="楷体" w:eastAsia="楷体" w:cs="楷体"/>
          <w:sz w:val="32"/>
          <w:szCs w:val="32"/>
        </w:rPr>
      </w:pPr>
      <w:r>
        <w:rPr>
          <w:rFonts w:hint="eastAsia" w:ascii="楷体" w:hAnsi="楷体" w:eastAsia="楷体" w:cs="楷体"/>
          <w:b/>
          <w:sz w:val="32"/>
          <w:szCs w:val="32"/>
          <w:lang w:eastAsia="zh-CN"/>
        </w:rPr>
        <w:t>（二）分项</w:t>
      </w:r>
      <w:r>
        <w:rPr>
          <w:rFonts w:hint="eastAsia" w:ascii="楷体" w:hAnsi="楷体" w:eastAsia="楷体" w:cs="楷体"/>
          <w:b/>
          <w:sz w:val="32"/>
          <w:szCs w:val="32"/>
        </w:rPr>
        <w:t>绩效目标</w:t>
      </w:r>
    </w:p>
    <w:p>
      <w:pPr>
        <w:ind w:left="214" w:leftChars="102" w:right="397" w:rightChars="189" w:firstLine="624" w:firstLine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检察监督职责绩效目标：对侦查机关的侦查活动、人民法院的审判活动、监狱看守所等机关执行刑罚的活动，依法实行法律监督，维护司法公正。扎实开展审查逮捕、立案监督、和侦查活动监督等工作</w:t>
      </w:r>
      <w:r>
        <w:rPr>
          <w:rFonts w:hint="eastAsia" w:ascii="仿宋" w:hAnsi="仿宋" w:eastAsia="仿宋" w:cs="仿宋"/>
          <w:sz w:val="32"/>
          <w:szCs w:val="32"/>
          <w:lang w:eastAsia="zh-CN"/>
        </w:rPr>
        <w:t>。</w:t>
      </w:r>
      <w:r>
        <w:rPr>
          <w:rFonts w:hint="eastAsia" w:ascii="仿宋" w:hAnsi="仿宋" w:eastAsia="仿宋" w:cs="仿宋"/>
          <w:sz w:val="32"/>
          <w:szCs w:val="32"/>
        </w:rPr>
        <w:t>扎实开展审查起诉；对上诉、抗诉案件及再审案件进行审查；出庭支持公诉等工作</w:t>
      </w:r>
      <w:r>
        <w:rPr>
          <w:rFonts w:hint="eastAsia" w:ascii="仿宋" w:hAnsi="仿宋" w:eastAsia="仿宋" w:cs="仿宋"/>
          <w:sz w:val="32"/>
          <w:szCs w:val="32"/>
          <w:lang w:eastAsia="zh-CN"/>
        </w:rPr>
        <w:t>。</w:t>
      </w:r>
      <w:r>
        <w:rPr>
          <w:rFonts w:hint="eastAsia" w:ascii="仿宋" w:hAnsi="仿宋" w:eastAsia="仿宋" w:cs="仿宋"/>
          <w:sz w:val="32"/>
          <w:szCs w:val="32"/>
        </w:rPr>
        <w:t>依法对民事诉讼和行政诉讼进行法律监督，维护司法公正和权威，保障国家法律的统一正确实施，实现检察建议采纳率不低于9</w:t>
      </w:r>
      <w:r>
        <w:rPr>
          <w:rFonts w:hint="eastAsia" w:ascii="仿宋" w:hAnsi="仿宋" w:eastAsia="仿宋" w:cs="仿宋"/>
          <w:sz w:val="32"/>
          <w:szCs w:val="32"/>
          <w:lang w:val="en-US" w:eastAsia="zh-CN"/>
        </w:rPr>
        <w:t>0</w:t>
      </w:r>
      <w:r>
        <w:rPr>
          <w:rFonts w:hint="eastAsia" w:ascii="仿宋" w:hAnsi="仿宋" w:eastAsia="仿宋" w:cs="仿宋"/>
          <w:sz w:val="32"/>
          <w:szCs w:val="32"/>
        </w:rPr>
        <w:t>%。依法对刑罚执行、刑事强制措施执行、强制医疗执行等刑事执行活动进行法律监督，维护刑事被执行人合法权益，维护刑事执行公平公正，维护刑事执行场所监管秩序稳定，维护社会和谐稳定，实现监督行为及效果满意度、纠正意见或建议采纳率不低于90%。</w:t>
      </w:r>
    </w:p>
    <w:p>
      <w:pPr>
        <w:ind w:left="214" w:leftChars="102" w:right="397" w:rightChars="189" w:firstLine="624" w:firstLineChars="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控告和刑事申诉检察职责绩效目标：对控告申诉和信访类案件，要扎实构建依法有序信访秩序，及时解决群众诉求。统一受理报案、控告、举报、申诉和犯罪嫌疑人投案自首，办理对公检法三机关及工作人员阻碍辩护人、诉讼代理人依法行使诉讼权利的控告或申诉，办理对本院办案中违法行为的控告和申诉，受理民事监督案件，实现法定期限内办结率及有效化解涉检信访矛盾率达到90%以上。受理、审查和复查当事人不服的刑事申诉案件，统一办理人民检察院作为赔偿义务机关的刑事赔偿、复议案件，对人民法院赔偿委员会判决、裁定进行监督，开展司法救助工作，实现举报线索处置率、法定期限内办结率达到95%以上。</w:t>
      </w:r>
    </w:p>
    <w:p>
      <w:pPr>
        <w:ind w:left="214" w:leftChars="102" w:right="397" w:rightChars="189" w:firstLine="624"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检察事务管理职责绩效目标：确定全</w:t>
      </w:r>
      <w:r>
        <w:rPr>
          <w:rFonts w:hint="eastAsia" w:ascii="仿宋" w:hAnsi="仿宋" w:eastAsia="仿宋" w:cs="仿宋"/>
          <w:sz w:val="32"/>
          <w:szCs w:val="32"/>
          <w:lang w:eastAsia="zh-CN"/>
        </w:rPr>
        <w:t>县</w:t>
      </w:r>
      <w:r>
        <w:rPr>
          <w:rFonts w:hint="eastAsia" w:ascii="仿宋" w:hAnsi="仿宋" w:eastAsia="仿宋" w:cs="仿宋"/>
          <w:sz w:val="32"/>
          <w:szCs w:val="32"/>
        </w:rPr>
        <w:t>检察阶段性的工作重点和措施，部署检察工作任务；进行案件质量保证体系建设；参与社会管理综合治理等工作；推进行政执法与刑事司法无缝对接；进行法律政策研究工作；加强人民监督员和人大代表、政协委员监督；统筹进行网络信息化建设；开展检察宣传工作；推进检务公开，实现各项综合事务和综合业务工作完成率达到90%以上</w:t>
      </w:r>
      <w:r>
        <w:rPr>
          <w:rFonts w:hint="eastAsia" w:ascii="仿宋" w:hAnsi="仿宋" w:eastAsia="仿宋" w:cs="仿宋"/>
          <w:sz w:val="32"/>
          <w:szCs w:val="32"/>
          <w:lang w:eastAsia="zh-CN"/>
        </w:rPr>
        <w:t>。</w:t>
      </w:r>
    </w:p>
    <w:p>
      <w:pPr>
        <w:ind w:left="214" w:leftChars="102" w:right="397" w:rightChars="189" w:firstLine="624" w:firstLineChars="0"/>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（三）工作保障措施</w:t>
      </w:r>
    </w:p>
    <w:p>
      <w:pPr>
        <w:ind w:left="214" w:leftChars="102" w:right="397" w:rightChars="189" w:firstLine="624"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围绕全县中心工作开展刑事检察。熟知掌握高检院、省市院对刑事检察工作的各项要求，以及开展的各种专项工作，努力推动紧紧围绕全县中心工作开展刑事检察工作。全力开展扫黑除恶工作，做好扫黑除恶“六清”的要求。</w:t>
      </w:r>
    </w:p>
    <w:p>
      <w:pPr>
        <w:ind w:left="214" w:leftChars="102" w:right="397" w:rightChars="189" w:firstLine="624"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规范刑事检察工作管理。一是梳理制定刑事检察工作流程，完善办案组织，办案工作机制和办案内部监督制度。二是制定提前介入公安机关刑事案件侦查工作办法，规范提前介入工作方式，通过听取案情介绍、审阅案卷证据等方式，从证据审查、事实认定、法律适用、涉案款物处理以及调查程序等方面，认真提出提前介入意见和证据补强意见，努力把问题解决在案件移送审查起诉前。</w:t>
      </w:r>
    </w:p>
    <w:p>
      <w:pPr>
        <w:ind w:left="214" w:leftChars="102" w:right="397" w:rightChars="189" w:firstLine="624"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做好“两项监督”工作。落实“在办案中监督，在监督中办案”理念要求，健全完善强化检察监督的工作机制。加强派驻公安机关执法办案管理中心检察室工作，力争每天专人到检察室核对公安机关的案件受理登记册、台账信息，了解案件情况，查阅卷宗，开展“两项监督”工作。建立完善相关工作机制。</w:t>
      </w:r>
    </w:p>
    <w:p>
      <w:pPr>
        <w:spacing w:line="560" w:lineRule="exact"/>
        <w:ind w:firstLine="643" w:firstLineChars="200"/>
        <w:jc w:val="left"/>
        <w:outlineLvl w:val="0"/>
        <w:rPr>
          <w:rFonts w:hint="eastAsia" w:ascii="仿宋" w:hAnsi="仿宋" w:eastAsia="仿宋" w:cs="仿宋"/>
          <w:sz w:val="32"/>
          <w:szCs w:val="32"/>
          <w:lang w:eastAsia="zh-CN"/>
        </w:rPr>
      </w:pPr>
      <w:r>
        <w:rPr>
          <w:rFonts w:hint="eastAsia" w:ascii="楷体" w:hAnsi="楷体" w:eastAsia="楷体"/>
          <w:b/>
          <w:sz w:val="32"/>
          <w:szCs w:val="32"/>
        </w:rPr>
        <w:t>部门职责及工作活动绩效目标指标</w:t>
      </w:r>
    </w:p>
    <w:p>
      <w:pPr>
        <w:spacing w:line="560" w:lineRule="exact"/>
        <w:jc w:val="center"/>
        <w:outlineLvl w:val="0"/>
        <w:rPr>
          <w:rFonts w:ascii="仿宋" w:hAnsi="仿宋" w:eastAsia="仿宋"/>
          <w:sz w:val="32"/>
          <w:szCs w:val="24"/>
        </w:rPr>
      </w:pPr>
      <w:r>
        <w:rPr>
          <w:rFonts w:hint="eastAsia" w:ascii="仿宋" w:hAnsi="仿宋" w:eastAsia="仿宋"/>
          <w:sz w:val="32"/>
          <w:szCs w:val="24"/>
        </w:rPr>
        <w:t>部门职责-工作活动绩效目标</w:t>
      </w:r>
    </w:p>
    <w:p>
      <w:pPr>
        <w:spacing w:line="560" w:lineRule="exact"/>
        <w:ind w:firstLine="540" w:firstLineChars="300"/>
        <w:jc w:val="left"/>
        <w:outlineLvl w:val="0"/>
        <w:rPr>
          <w:rFonts w:ascii="Calibri" w:hAnsi="Calibri" w:eastAsia="仿宋_GB2312" w:cs="Calibri"/>
          <w:kern w:val="0"/>
          <w:sz w:val="18"/>
          <w:szCs w:val="18"/>
        </w:rPr>
      </w:pPr>
      <w:r>
        <w:rPr>
          <w:rFonts w:hint="eastAsia" w:ascii="Calibri" w:hAnsi="Calibri" w:eastAsia="仿宋_GB2312" w:cs="Calibri"/>
          <w:kern w:val="0"/>
          <w:sz w:val="18"/>
          <w:szCs w:val="18"/>
        </w:rPr>
        <w:t>151成安县人民检察院                                                                                                                单位：万元</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8"/>
        <w:gridCol w:w="851"/>
        <w:gridCol w:w="3764"/>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978"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职责活动</w:t>
            </w:r>
          </w:p>
        </w:tc>
        <w:tc>
          <w:tcPr>
            <w:tcW w:w="851"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年度预算数</w:t>
            </w:r>
          </w:p>
        </w:tc>
        <w:tc>
          <w:tcPr>
            <w:tcW w:w="376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shd w:val="clear" w:color="auto" w:fill="auto"/>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blHeader/>
          <w:jc w:val="center"/>
        </w:trPr>
        <w:tc>
          <w:tcPr>
            <w:tcW w:w="1978" w:type="dxa"/>
            <w:vMerge w:val="continue"/>
            <w:shd w:val="clear" w:color="auto" w:fill="auto"/>
            <w:vAlign w:val="center"/>
          </w:tcPr>
          <w:p>
            <w:pPr>
              <w:spacing w:line="300" w:lineRule="exact"/>
              <w:jc w:val="left"/>
              <w:outlineLvl w:val="0"/>
              <w:rPr>
                <w:rFonts w:ascii="仿宋" w:hAnsi="仿宋" w:eastAsia="仿宋"/>
              </w:rPr>
            </w:pPr>
          </w:p>
        </w:tc>
        <w:tc>
          <w:tcPr>
            <w:tcW w:w="851" w:type="dxa"/>
            <w:vMerge w:val="continue"/>
            <w:shd w:val="clear" w:color="auto" w:fill="auto"/>
            <w:vAlign w:val="center"/>
          </w:tcPr>
          <w:p>
            <w:pPr>
              <w:spacing w:line="300" w:lineRule="exact"/>
              <w:jc w:val="left"/>
              <w:outlineLvl w:val="0"/>
              <w:rPr>
                <w:rFonts w:ascii="仿宋" w:hAnsi="仿宋" w:eastAsia="仿宋"/>
              </w:rPr>
            </w:pPr>
          </w:p>
        </w:tc>
        <w:tc>
          <w:tcPr>
            <w:tcW w:w="3764"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1417" w:type="dxa"/>
            <w:vMerge w:val="continue"/>
            <w:shd w:val="clear" w:color="auto" w:fill="auto"/>
            <w:vAlign w:val="center"/>
          </w:tcPr>
          <w:p>
            <w:pPr>
              <w:spacing w:line="300" w:lineRule="exact"/>
              <w:jc w:val="left"/>
              <w:outlineLvl w:val="0"/>
              <w:rPr>
                <w:rFonts w:ascii="仿宋" w:hAnsi="仿宋" w:eastAsia="仿宋"/>
              </w:rPr>
            </w:pP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优</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良</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中</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978" w:type="dxa"/>
            <w:vMerge w:val="continue"/>
            <w:shd w:val="clear" w:color="auto" w:fill="auto"/>
            <w:vAlign w:val="center"/>
          </w:tcPr>
          <w:p>
            <w:pPr>
              <w:spacing w:line="300" w:lineRule="exact"/>
              <w:jc w:val="left"/>
              <w:rPr>
                <w:rFonts w:ascii="仿宋" w:hAnsi="仿宋" w:eastAsia="仿宋"/>
                <w:b/>
              </w:rPr>
            </w:pPr>
          </w:p>
        </w:tc>
        <w:tc>
          <w:tcPr>
            <w:tcW w:w="851" w:type="dxa"/>
            <w:vMerge w:val="continue"/>
            <w:shd w:val="clear" w:color="auto" w:fill="auto"/>
            <w:vAlign w:val="center"/>
          </w:tcPr>
          <w:p>
            <w:pPr>
              <w:spacing w:line="300" w:lineRule="exact"/>
              <w:jc w:val="left"/>
              <w:rPr>
                <w:rFonts w:ascii="仿宋" w:hAnsi="仿宋" w:eastAsia="仿宋"/>
              </w:rPr>
            </w:pPr>
          </w:p>
        </w:tc>
        <w:tc>
          <w:tcPr>
            <w:tcW w:w="3764"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案件起诉率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78" w:type="dxa"/>
            <w:vMerge w:val="continue"/>
            <w:shd w:val="clear" w:color="auto" w:fill="auto"/>
            <w:vAlign w:val="center"/>
          </w:tcPr>
          <w:p>
            <w:pPr>
              <w:spacing w:line="300" w:lineRule="exact"/>
              <w:jc w:val="left"/>
              <w:rPr>
                <w:rFonts w:ascii="仿宋" w:hAnsi="仿宋" w:eastAsia="仿宋"/>
                <w:b/>
              </w:rPr>
            </w:pPr>
          </w:p>
        </w:tc>
        <w:tc>
          <w:tcPr>
            <w:tcW w:w="851" w:type="dxa"/>
            <w:vMerge w:val="continue"/>
            <w:shd w:val="clear" w:color="auto" w:fill="auto"/>
            <w:vAlign w:val="center"/>
          </w:tcPr>
          <w:p>
            <w:pPr>
              <w:spacing w:line="300" w:lineRule="exact"/>
              <w:jc w:val="left"/>
              <w:rPr>
                <w:rFonts w:ascii="仿宋" w:hAnsi="仿宋" w:eastAsia="仿宋"/>
              </w:rPr>
            </w:pPr>
          </w:p>
        </w:tc>
        <w:tc>
          <w:tcPr>
            <w:tcW w:w="3764"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立案有罪判决率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4" w:hRule="atLeast"/>
          <w:jc w:val="center"/>
        </w:trPr>
        <w:tc>
          <w:tcPr>
            <w:tcW w:w="1978" w:type="dxa"/>
            <w:shd w:val="clear" w:color="auto" w:fill="auto"/>
            <w:vAlign w:val="center"/>
          </w:tcPr>
          <w:p>
            <w:pPr>
              <w:spacing w:line="300" w:lineRule="exact"/>
              <w:jc w:val="center"/>
              <w:rPr>
                <w:rFonts w:ascii="仿宋" w:hAnsi="仿宋" w:eastAsia="仿宋"/>
                <w:b/>
              </w:rPr>
            </w:pPr>
            <w:r>
              <w:rPr>
                <w:rFonts w:hint="eastAsia" w:ascii="仿宋" w:hAnsi="仿宋" w:eastAsia="仿宋"/>
                <w:b/>
              </w:rPr>
              <w:t>检察监督</w:t>
            </w:r>
          </w:p>
        </w:tc>
        <w:tc>
          <w:tcPr>
            <w:tcW w:w="851" w:type="dxa"/>
            <w:shd w:val="clear" w:color="auto" w:fill="auto"/>
            <w:vAlign w:val="center"/>
          </w:tcPr>
          <w:p>
            <w:pPr>
              <w:spacing w:line="300" w:lineRule="exact"/>
              <w:jc w:val="center"/>
              <w:rPr>
                <w:rFonts w:ascii="仿宋" w:hAnsi="仿宋" w:eastAsia="仿宋"/>
              </w:rPr>
            </w:pPr>
            <w:r>
              <w:rPr>
                <w:rFonts w:hint="eastAsia" w:ascii="仿宋" w:hAnsi="仿宋" w:eastAsia="仿宋"/>
              </w:rPr>
              <w:t>32.4</w:t>
            </w:r>
          </w:p>
        </w:tc>
        <w:tc>
          <w:tcPr>
            <w:tcW w:w="3764" w:type="dxa"/>
            <w:shd w:val="clear" w:color="auto" w:fill="auto"/>
            <w:vAlign w:val="center"/>
          </w:tcPr>
          <w:p>
            <w:pPr>
              <w:spacing w:line="300" w:lineRule="exact"/>
              <w:jc w:val="left"/>
              <w:rPr>
                <w:rFonts w:ascii="仿宋" w:hAnsi="仿宋" w:eastAsia="仿宋"/>
              </w:rPr>
            </w:pPr>
            <w:r>
              <w:rPr>
                <w:rFonts w:hint="eastAsia" w:ascii="仿宋" w:hAnsi="仿宋" w:eastAsia="仿宋"/>
              </w:rPr>
              <w:t>对侦查机关的侦查活动、人民法院的审判活动、监狱看守所等机关执行刑罚的活动，依法实行法律监督，维护司法公正。</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通过行使检察权，惩罚犯罪活动，保护国家安全，保护公民、法人和其他组织的合法权益，保障国家法律的正确实施。</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3" w:hRule="atLeast"/>
          <w:jc w:val="center"/>
        </w:trPr>
        <w:tc>
          <w:tcPr>
            <w:tcW w:w="1978" w:type="dxa"/>
            <w:shd w:val="clear" w:color="auto" w:fill="auto"/>
            <w:vAlign w:val="center"/>
          </w:tcPr>
          <w:p>
            <w:pPr>
              <w:spacing w:line="300" w:lineRule="exact"/>
              <w:jc w:val="left"/>
              <w:rPr>
                <w:rFonts w:ascii="仿宋" w:hAnsi="仿宋" w:eastAsia="仿宋"/>
                <w:b/>
              </w:rPr>
            </w:pPr>
            <w:r>
              <w:rPr>
                <w:rFonts w:hint="eastAsia" w:ascii="仿宋" w:hAnsi="仿宋" w:eastAsia="仿宋"/>
                <w:b/>
              </w:rPr>
              <w:t>　　侦查监督</w:t>
            </w:r>
          </w:p>
        </w:tc>
        <w:tc>
          <w:tcPr>
            <w:tcW w:w="851" w:type="dxa"/>
            <w:shd w:val="clear" w:color="auto" w:fill="auto"/>
            <w:vAlign w:val="center"/>
          </w:tcPr>
          <w:p>
            <w:pPr>
              <w:spacing w:line="300" w:lineRule="exact"/>
              <w:jc w:val="center"/>
              <w:rPr>
                <w:rFonts w:ascii="仿宋" w:hAnsi="仿宋" w:eastAsia="仿宋"/>
              </w:rPr>
            </w:pPr>
            <w:r>
              <w:rPr>
                <w:rFonts w:hint="eastAsia" w:ascii="仿宋" w:hAnsi="仿宋" w:eastAsia="仿宋"/>
              </w:rPr>
              <w:t>42.4</w:t>
            </w:r>
          </w:p>
        </w:tc>
        <w:tc>
          <w:tcPr>
            <w:tcW w:w="3764" w:type="dxa"/>
            <w:shd w:val="clear" w:color="auto" w:fill="auto"/>
            <w:vAlign w:val="center"/>
          </w:tcPr>
          <w:p>
            <w:pPr>
              <w:spacing w:line="300" w:lineRule="exact"/>
              <w:jc w:val="left"/>
              <w:rPr>
                <w:rFonts w:ascii="仿宋" w:hAnsi="仿宋" w:eastAsia="仿宋"/>
              </w:rPr>
            </w:pPr>
            <w:r>
              <w:rPr>
                <w:rFonts w:hint="eastAsia" w:ascii="仿宋" w:hAnsi="仿宋" w:eastAsia="仿宋"/>
              </w:rPr>
              <w:t>侦查监督职能的行使贯穿刑事立案到侦查终结全过程。主要包括审查逮捕、立案监督和侦查活动监督等职能。</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保障人权、维护司法公正，有效提高批捕、批准立案、批延准确率。</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批捕错误率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60" w:hRule="atLeast"/>
          <w:jc w:val="center"/>
        </w:trPr>
        <w:tc>
          <w:tcPr>
            <w:tcW w:w="1978" w:type="dxa"/>
            <w:shd w:val="clear" w:color="auto" w:fill="auto"/>
            <w:vAlign w:val="center"/>
          </w:tcPr>
          <w:p>
            <w:pPr>
              <w:spacing w:line="300" w:lineRule="exact"/>
              <w:jc w:val="left"/>
              <w:rPr>
                <w:rFonts w:ascii="仿宋" w:hAnsi="仿宋" w:eastAsia="仿宋"/>
                <w:b/>
              </w:rPr>
            </w:pPr>
            <w:r>
              <w:rPr>
                <w:rFonts w:hint="eastAsia" w:ascii="仿宋" w:hAnsi="仿宋" w:eastAsia="仿宋"/>
                <w:b/>
              </w:rPr>
              <w:t>控告和刑事申诉检察</w:t>
            </w:r>
          </w:p>
        </w:tc>
        <w:tc>
          <w:tcPr>
            <w:tcW w:w="851" w:type="dxa"/>
            <w:shd w:val="clear" w:color="auto" w:fill="auto"/>
            <w:vAlign w:val="center"/>
          </w:tcPr>
          <w:p>
            <w:pPr>
              <w:spacing w:line="300" w:lineRule="exact"/>
              <w:jc w:val="center"/>
              <w:rPr>
                <w:rFonts w:ascii="仿宋" w:hAnsi="仿宋" w:eastAsia="仿宋"/>
              </w:rPr>
            </w:pPr>
            <w:r>
              <w:rPr>
                <w:rFonts w:hint="eastAsia" w:ascii="仿宋" w:hAnsi="仿宋" w:eastAsia="仿宋"/>
              </w:rPr>
              <w:t>92</w:t>
            </w:r>
          </w:p>
        </w:tc>
        <w:tc>
          <w:tcPr>
            <w:tcW w:w="3764" w:type="dxa"/>
            <w:shd w:val="clear" w:color="auto" w:fill="auto"/>
            <w:vAlign w:val="center"/>
          </w:tcPr>
          <w:p>
            <w:pPr>
              <w:spacing w:line="300" w:lineRule="exact"/>
              <w:jc w:val="left"/>
              <w:rPr>
                <w:rFonts w:ascii="仿宋" w:hAnsi="仿宋" w:eastAsia="仿宋"/>
              </w:rPr>
            </w:pPr>
            <w:r>
              <w:rPr>
                <w:rFonts w:hint="eastAsia" w:ascii="仿宋" w:hAnsi="仿宋" w:eastAsia="仿宋"/>
              </w:rPr>
              <w:t>组织和指导全县控申部门受理来信来访、举报、刑事申诉、国家赔偿、司法救助工作，受理民事监督案件，办理信访、举报案件、刑事申诉案件、国家赔偿、司法救助案件以及上级机关交办、转办、督办案件。</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保护公民、法人和其他单位的合法权益，促进司法公正，维护社会稳定</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5" w:hRule="atLeast"/>
          <w:jc w:val="center"/>
        </w:trPr>
        <w:tc>
          <w:tcPr>
            <w:tcW w:w="1978" w:type="dxa"/>
            <w:shd w:val="clear" w:color="auto" w:fill="auto"/>
            <w:vAlign w:val="center"/>
          </w:tcPr>
          <w:p>
            <w:pPr>
              <w:spacing w:line="300" w:lineRule="exact"/>
              <w:jc w:val="left"/>
              <w:rPr>
                <w:rFonts w:ascii="仿宋" w:hAnsi="仿宋" w:eastAsia="仿宋"/>
                <w:b/>
              </w:rPr>
            </w:pPr>
            <w:r>
              <w:rPr>
                <w:rFonts w:hint="eastAsia" w:ascii="仿宋" w:hAnsi="仿宋" w:eastAsia="仿宋"/>
                <w:b/>
              </w:rPr>
              <w:t>　　涉检信访办理</w:t>
            </w:r>
          </w:p>
        </w:tc>
        <w:tc>
          <w:tcPr>
            <w:tcW w:w="851" w:type="dxa"/>
            <w:shd w:val="clear" w:color="auto" w:fill="auto"/>
            <w:vAlign w:val="center"/>
          </w:tcPr>
          <w:p>
            <w:pPr>
              <w:spacing w:line="300" w:lineRule="exact"/>
              <w:jc w:val="center"/>
              <w:rPr>
                <w:rFonts w:ascii="仿宋" w:hAnsi="仿宋" w:eastAsia="仿宋"/>
              </w:rPr>
            </w:pPr>
            <w:r>
              <w:rPr>
                <w:rFonts w:hint="eastAsia" w:ascii="仿宋" w:hAnsi="仿宋" w:eastAsia="仿宋"/>
              </w:rPr>
              <w:t>90.14</w:t>
            </w:r>
          </w:p>
        </w:tc>
        <w:tc>
          <w:tcPr>
            <w:tcW w:w="3764" w:type="dxa"/>
            <w:shd w:val="clear" w:color="auto" w:fill="auto"/>
            <w:vAlign w:val="center"/>
          </w:tcPr>
          <w:p>
            <w:pPr>
              <w:spacing w:line="300" w:lineRule="exact"/>
              <w:jc w:val="left"/>
              <w:rPr>
                <w:rFonts w:ascii="仿宋" w:hAnsi="仿宋" w:eastAsia="仿宋"/>
              </w:rPr>
            </w:pPr>
            <w:r>
              <w:rPr>
                <w:rFonts w:hint="eastAsia" w:ascii="仿宋" w:hAnsi="仿宋" w:eastAsia="仿宋"/>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构建依法有序信访秩序，及时依法解决群众诉求。</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涉检信访案件办结率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p>
        </w:tc>
      </w:tr>
    </w:tbl>
    <w:p>
      <w:pPr>
        <w:spacing w:line="300" w:lineRule="exact"/>
        <w:jc w:val="left"/>
        <w:rPr>
          <w:rFonts w:ascii="方正书宋_GBK" w:eastAsia="方正书宋_GBK"/>
          <w:b/>
        </w:rPr>
        <w:sectPr>
          <w:headerReference r:id="rId3" w:type="default"/>
          <w:footerReference r:id="rId4" w:type="default"/>
          <w:pgSz w:w="16839" w:h="11907" w:orient="landscape"/>
          <w:pgMar w:top="1701" w:right="1021" w:bottom="1418" w:left="1021" w:header="851" w:footer="992" w:gutter="0"/>
          <w:cols w:space="0" w:num="1"/>
          <w:docGrid w:type="lines" w:linePitch="321" w:charSpace="0"/>
        </w:sectPr>
      </w:pPr>
    </w:p>
    <w:p>
      <w:pPr>
        <w:widowControl/>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widowControl/>
        <w:spacing w:line="360" w:lineRule="auto"/>
        <w:ind w:firstLine="640" w:firstLineChars="200"/>
        <w:jc w:val="left"/>
        <w:rPr>
          <w:rFonts w:ascii="宋体" w:hAnsi="宋体" w:eastAsia="宋体" w:cs="方正仿宋_GBK"/>
          <w:sz w:val="32"/>
          <w:szCs w:val="32"/>
        </w:rPr>
      </w:pPr>
      <w:r>
        <w:rPr>
          <w:rFonts w:hint="eastAsia"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ascii="仿宋" w:hAnsi="仿宋" w:eastAsia="仿宋" w:cs="Times New Roman"/>
          <w:sz w:val="32"/>
          <w:szCs w:val="32"/>
        </w:rPr>
        <w:t>2021</w:t>
      </w:r>
      <w:r>
        <w:rPr>
          <w:rFonts w:hint="eastAsia" w:ascii="仿宋" w:hAnsi="仿宋" w:eastAsia="仿宋" w:cs="方正仿宋_GBK"/>
          <w:sz w:val="32"/>
          <w:szCs w:val="32"/>
        </w:rPr>
        <w:t>年我单位安排政府采购预算74.8万元,具体内容见下表。</w:t>
      </w:r>
    </w:p>
    <w:p>
      <w:pPr>
        <w:spacing w:line="560" w:lineRule="exact"/>
        <w:jc w:val="center"/>
        <w:outlineLvl w:val="0"/>
        <w:rPr>
          <w:rFonts w:ascii="仿宋" w:hAnsi="仿宋" w:eastAsia="仿宋" w:cs="Times New Roman"/>
          <w:sz w:val="32"/>
          <w:szCs w:val="32"/>
        </w:rPr>
      </w:pPr>
      <w:r>
        <w:rPr>
          <w:rFonts w:hint="eastAsia" w:ascii="仿宋" w:hAnsi="仿宋" w:eastAsia="仿宋" w:cs="方正小标宋_GBK"/>
          <w:sz w:val="32"/>
          <w:szCs w:val="32"/>
        </w:rPr>
        <w:t>部门政府采购预算</w:t>
      </w:r>
    </w:p>
    <w:tbl>
      <w:tblPr>
        <w:tblStyle w:val="8"/>
        <w:tblW w:w="150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3"/>
        <w:gridCol w:w="1135"/>
        <w:gridCol w:w="1703"/>
        <w:gridCol w:w="1259"/>
        <w:gridCol w:w="516"/>
        <w:gridCol w:w="910"/>
        <w:gridCol w:w="937"/>
        <w:gridCol w:w="931"/>
        <w:gridCol w:w="931"/>
        <w:gridCol w:w="931"/>
        <w:gridCol w:w="847"/>
        <w:gridCol w:w="913"/>
        <w:gridCol w:w="913"/>
        <w:gridCol w:w="8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tblHeader/>
          <w:jc w:val="center"/>
        </w:trPr>
        <w:tc>
          <w:tcPr>
            <w:tcW w:w="8693"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151</w:t>
            </w:r>
            <w:r>
              <w:rPr>
                <w:rFonts w:ascii="仿宋" w:hAnsi="仿宋" w:eastAsia="仿宋" w:cs="Times New Roman"/>
                <w:sz w:val="24"/>
                <w:szCs w:val="24"/>
              </w:rPr>
              <w:t>成安县人民检察院</w:t>
            </w:r>
          </w:p>
        </w:tc>
        <w:tc>
          <w:tcPr>
            <w:tcW w:w="6322"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368" w:type="dxa"/>
            <w:gridSpan w:val="2"/>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政府采购项目来源</w:t>
            </w:r>
          </w:p>
        </w:tc>
        <w:tc>
          <w:tcPr>
            <w:tcW w:w="1703"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采购物品名称</w:t>
            </w:r>
          </w:p>
        </w:tc>
        <w:tc>
          <w:tcPr>
            <w:tcW w:w="1259"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政府采购目录序号</w:t>
            </w:r>
          </w:p>
        </w:tc>
        <w:tc>
          <w:tcPr>
            <w:tcW w:w="516"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数量单位</w:t>
            </w:r>
          </w:p>
        </w:tc>
        <w:tc>
          <w:tcPr>
            <w:tcW w:w="910"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数量</w:t>
            </w:r>
          </w:p>
        </w:tc>
        <w:tc>
          <w:tcPr>
            <w:tcW w:w="937"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单价</w:t>
            </w:r>
          </w:p>
        </w:tc>
        <w:tc>
          <w:tcPr>
            <w:tcW w:w="6322" w:type="dxa"/>
            <w:gridSpan w:val="7"/>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tblHeader/>
          <w:jc w:val="center"/>
        </w:trPr>
        <w:tc>
          <w:tcPr>
            <w:tcW w:w="2233"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项目名称</w:t>
            </w:r>
          </w:p>
        </w:tc>
        <w:tc>
          <w:tcPr>
            <w:tcW w:w="1135"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预算资金</w:t>
            </w:r>
          </w:p>
        </w:tc>
        <w:tc>
          <w:tcPr>
            <w:tcW w:w="1703" w:type="dxa"/>
            <w:vMerge w:val="continue"/>
            <w:vAlign w:val="center"/>
          </w:tcPr>
          <w:p>
            <w:pPr>
              <w:spacing w:line="560" w:lineRule="exact"/>
              <w:jc w:val="left"/>
              <w:outlineLvl w:val="0"/>
              <w:rPr>
                <w:rFonts w:ascii="仿宋" w:hAnsi="仿宋" w:eastAsia="仿宋" w:cs="Times New Roman"/>
              </w:rPr>
            </w:pPr>
          </w:p>
        </w:tc>
        <w:tc>
          <w:tcPr>
            <w:tcW w:w="1259" w:type="dxa"/>
            <w:vMerge w:val="continue"/>
            <w:vAlign w:val="center"/>
          </w:tcPr>
          <w:p>
            <w:pPr>
              <w:spacing w:line="560" w:lineRule="exact"/>
              <w:jc w:val="left"/>
              <w:outlineLvl w:val="0"/>
              <w:rPr>
                <w:rFonts w:ascii="仿宋" w:hAnsi="仿宋" w:eastAsia="仿宋" w:cs="Times New Roman"/>
              </w:rPr>
            </w:pPr>
          </w:p>
        </w:tc>
        <w:tc>
          <w:tcPr>
            <w:tcW w:w="516" w:type="dxa"/>
            <w:vMerge w:val="continue"/>
            <w:vAlign w:val="center"/>
          </w:tcPr>
          <w:p>
            <w:pPr>
              <w:spacing w:line="560" w:lineRule="exact"/>
              <w:jc w:val="left"/>
              <w:outlineLvl w:val="0"/>
              <w:rPr>
                <w:rFonts w:ascii="仿宋" w:hAnsi="仿宋" w:eastAsia="仿宋" w:cs="Times New Roman"/>
              </w:rPr>
            </w:pPr>
          </w:p>
        </w:tc>
        <w:tc>
          <w:tcPr>
            <w:tcW w:w="910" w:type="dxa"/>
            <w:vMerge w:val="continue"/>
            <w:vAlign w:val="center"/>
          </w:tcPr>
          <w:p>
            <w:pPr>
              <w:spacing w:line="560" w:lineRule="exact"/>
              <w:jc w:val="left"/>
              <w:outlineLvl w:val="0"/>
              <w:rPr>
                <w:rFonts w:ascii="仿宋" w:hAnsi="仿宋" w:eastAsia="仿宋" w:cs="Times New Roman"/>
              </w:rPr>
            </w:pPr>
          </w:p>
        </w:tc>
        <w:tc>
          <w:tcPr>
            <w:tcW w:w="937" w:type="dxa"/>
            <w:vMerge w:val="continue"/>
            <w:vAlign w:val="center"/>
          </w:tcPr>
          <w:p>
            <w:pPr>
              <w:spacing w:line="560" w:lineRule="exact"/>
              <w:jc w:val="left"/>
              <w:outlineLvl w:val="0"/>
              <w:rPr>
                <w:rFonts w:ascii="仿宋" w:hAnsi="仿宋" w:eastAsia="仿宋" w:cs="Times New Roman"/>
              </w:rPr>
            </w:pPr>
          </w:p>
        </w:tc>
        <w:tc>
          <w:tcPr>
            <w:tcW w:w="931"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总计</w:t>
            </w:r>
          </w:p>
        </w:tc>
        <w:tc>
          <w:tcPr>
            <w:tcW w:w="4535" w:type="dxa"/>
            <w:gridSpan w:val="5"/>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当年部门预算安排资金</w:t>
            </w:r>
          </w:p>
        </w:tc>
        <w:tc>
          <w:tcPr>
            <w:tcW w:w="856" w:type="dxa"/>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33" w:type="dxa"/>
            <w:vMerge w:val="continue"/>
            <w:vAlign w:val="center"/>
          </w:tcPr>
          <w:p>
            <w:pPr>
              <w:spacing w:line="560" w:lineRule="exact"/>
              <w:jc w:val="left"/>
              <w:outlineLvl w:val="0"/>
              <w:rPr>
                <w:rFonts w:ascii="仿宋" w:hAnsi="仿宋" w:eastAsia="仿宋" w:cs="Times New Roman"/>
              </w:rPr>
            </w:pPr>
          </w:p>
        </w:tc>
        <w:tc>
          <w:tcPr>
            <w:tcW w:w="1135" w:type="dxa"/>
            <w:vMerge w:val="continue"/>
            <w:vAlign w:val="center"/>
          </w:tcPr>
          <w:p>
            <w:pPr>
              <w:spacing w:line="560" w:lineRule="exact"/>
              <w:jc w:val="left"/>
              <w:outlineLvl w:val="0"/>
              <w:rPr>
                <w:rFonts w:ascii="仿宋" w:hAnsi="仿宋" w:eastAsia="仿宋" w:cs="Times New Roman"/>
              </w:rPr>
            </w:pPr>
          </w:p>
        </w:tc>
        <w:tc>
          <w:tcPr>
            <w:tcW w:w="1703" w:type="dxa"/>
            <w:vMerge w:val="continue"/>
            <w:vAlign w:val="center"/>
          </w:tcPr>
          <w:p>
            <w:pPr>
              <w:spacing w:line="560" w:lineRule="exact"/>
              <w:jc w:val="left"/>
              <w:outlineLvl w:val="0"/>
              <w:rPr>
                <w:rFonts w:ascii="仿宋" w:hAnsi="仿宋" w:eastAsia="仿宋" w:cs="Times New Roman"/>
              </w:rPr>
            </w:pPr>
          </w:p>
        </w:tc>
        <w:tc>
          <w:tcPr>
            <w:tcW w:w="1259" w:type="dxa"/>
            <w:vMerge w:val="continue"/>
            <w:vAlign w:val="center"/>
          </w:tcPr>
          <w:p>
            <w:pPr>
              <w:spacing w:line="560" w:lineRule="exact"/>
              <w:jc w:val="left"/>
              <w:outlineLvl w:val="0"/>
              <w:rPr>
                <w:rFonts w:ascii="仿宋" w:hAnsi="仿宋" w:eastAsia="仿宋" w:cs="Times New Roman"/>
              </w:rPr>
            </w:pPr>
          </w:p>
        </w:tc>
        <w:tc>
          <w:tcPr>
            <w:tcW w:w="516" w:type="dxa"/>
            <w:vMerge w:val="continue"/>
            <w:vAlign w:val="center"/>
          </w:tcPr>
          <w:p>
            <w:pPr>
              <w:spacing w:line="560" w:lineRule="exact"/>
              <w:jc w:val="left"/>
              <w:outlineLvl w:val="0"/>
              <w:rPr>
                <w:rFonts w:ascii="仿宋" w:hAnsi="仿宋" w:eastAsia="仿宋" w:cs="Times New Roman"/>
              </w:rPr>
            </w:pPr>
          </w:p>
        </w:tc>
        <w:tc>
          <w:tcPr>
            <w:tcW w:w="910" w:type="dxa"/>
            <w:vMerge w:val="continue"/>
            <w:vAlign w:val="center"/>
          </w:tcPr>
          <w:p>
            <w:pPr>
              <w:spacing w:line="560" w:lineRule="exact"/>
              <w:jc w:val="left"/>
              <w:outlineLvl w:val="0"/>
              <w:rPr>
                <w:rFonts w:ascii="仿宋" w:hAnsi="仿宋" w:eastAsia="仿宋" w:cs="Times New Roman"/>
              </w:rPr>
            </w:pPr>
          </w:p>
        </w:tc>
        <w:tc>
          <w:tcPr>
            <w:tcW w:w="937" w:type="dxa"/>
            <w:vMerge w:val="continue"/>
            <w:vAlign w:val="center"/>
          </w:tcPr>
          <w:p>
            <w:pPr>
              <w:spacing w:line="560" w:lineRule="exact"/>
              <w:jc w:val="left"/>
              <w:outlineLvl w:val="0"/>
              <w:rPr>
                <w:rFonts w:ascii="仿宋" w:hAnsi="仿宋" w:eastAsia="仿宋" w:cs="Times New Roman"/>
              </w:rPr>
            </w:pPr>
          </w:p>
        </w:tc>
        <w:tc>
          <w:tcPr>
            <w:tcW w:w="931" w:type="dxa"/>
            <w:vMerge w:val="continue"/>
            <w:vAlign w:val="center"/>
          </w:tcPr>
          <w:p>
            <w:pPr>
              <w:spacing w:line="560" w:lineRule="exact"/>
              <w:jc w:val="left"/>
              <w:outlineLvl w:val="0"/>
              <w:rPr>
                <w:rFonts w:ascii="仿宋" w:hAnsi="仿宋" w:eastAsia="仿宋" w:cs="Times New Roman"/>
              </w:rPr>
            </w:pPr>
          </w:p>
        </w:tc>
        <w:tc>
          <w:tcPr>
            <w:tcW w:w="931" w:type="dxa"/>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合计</w:t>
            </w:r>
          </w:p>
        </w:tc>
        <w:tc>
          <w:tcPr>
            <w:tcW w:w="931"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一般公共预算拨款</w:t>
            </w:r>
          </w:p>
        </w:tc>
        <w:tc>
          <w:tcPr>
            <w:tcW w:w="847"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基金预算拨款</w:t>
            </w:r>
          </w:p>
        </w:tc>
        <w:tc>
          <w:tcPr>
            <w:tcW w:w="913"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财政专户核拨</w:t>
            </w:r>
          </w:p>
        </w:tc>
        <w:tc>
          <w:tcPr>
            <w:tcW w:w="913"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其他来源收入</w:t>
            </w:r>
          </w:p>
        </w:tc>
        <w:tc>
          <w:tcPr>
            <w:tcW w:w="856" w:type="dxa"/>
            <w:vMerge w:val="continue"/>
            <w:vAlign w:val="center"/>
          </w:tcPr>
          <w:p>
            <w:pPr>
              <w:spacing w:line="280" w:lineRule="exact"/>
              <w:jc w:val="left"/>
              <w:outlineLvl w:val="0"/>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3" w:type="dxa"/>
            <w:vAlign w:val="center"/>
          </w:tcPr>
          <w:p>
            <w:pPr>
              <w:spacing w:line="560" w:lineRule="exact"/>
              <w:jc w:val="center"/>
              <w:rPr>
                <w:rFonts w:ascii="仿宋" w:hAnsi="仿宋" w:eastAsia="仿宋" w:cs="Times New Roman"/>
                <w:bCs/>
                <w:szCs w:val="21"/>
              </w:rPr>
            </w:pPr>
            <w:r>
              <w:rPr>
                <w:rFonts w:hint="eastAsia" w:ascii="仿宋" w:hAnsi="仿宋" w:eastAsia="仿宋" w:cs="方正书宋_GBK"/>
                <w:bCs/>
                <w:szCs w:val="21"/>
              </w:rPr>
              <w:t>合　计</w:t>
            </w:r>
          </w:p>
        </w:tc>
        <w:tc>
          <w:tcPr>
            <w:tcW w:w="1135" w:type="dxa"/>
            <w:vAlign w:val="center"/>
          </w:tcPr>
          <w:p>
            <w:pPr>
              <w:spacing w:line="560" w:lineRule="exact"/>
              <w:jc w:val="center"/>
              <w:rPr>
                <w:rFonts w:ascii="仿宋" w:hAnsi="仿宋" w:eastAsia="仿宋" w:cs="Times New Roman"/>
                <w:bCs/>
                <w:szCs w:val="21"/>
              </w:rPr>
            </w:pPr>
          </w:p>
        </w:tc>
        <w:tc>
          <w:tcPr>
            <w:tcW w:w="1703" w:type="dxa"/>
            <w:vAlign w:val="center"/>
          </w:tcPr>
          <w:p>
            <w:pPr>
              <w:spacing w:line="560" w:lineRule="exact"/>
              <w:jc w:val="center"/>
              <w:rPr>
                <w:rFonts w:ascii="仿宋" w:hAnsi="仿宋" w:eastAsia="仿宋" w:cs="Times New Roman"/>
                <w:bCs/>
                <w:szCs w:val="21"/>
              </w:rPr>
            </w:pPr>
          </w:p>
        </w:tc>
        <w:tc>
          <w:tcPr>
            <w:tcW w:w="1259" w:type="dxa"/>
            <w:vAlign w:val="center"/>
          </w:tcPr>
          <w:p>
            <w:pPr>
              <w:spacing w:line="560" w:lineRule="exact"/>
              <w:jc w:val="center"/>
              <w:rPr>
                <w:rFonts w:ascii="仿宋" w:hAnsi="仿宋" w:eastAsia="仿宋" w:cs="Times New Roman"/>
                <w:bCs/>
                <w:szCs w:val="21"/>
              </w:rPr>
            </w:pPr>
          </w:p>
        </w:tc>
        <w:tc>
          <w:tcPr>
            <w:tcW w:w="516" w:type="dxa"/>
            <w:vAlign w:val="center"/>
          </w:tcPr>
          <w:p>
            <w:pPr>
              <w:spacing w:line="560" w:lineRule="exact"/>
              <w:jc w:val="center"/>
              <w:rPr>
                <w:rFonts w:ascii="仿宋" w:hAnsi="仿宋" w:eastAsia="仿宋" w:cs="Times New Roman"/>
                <w:bCs/>
                <w:szCs w:val="21"/>
              </w:rPr>
            </w:pPr>
          </w:p>
        </w:tc>
        <w:tc>
          <w:tcPr>
            <w:tcW w:w="910" w:type="dxa"/>
            <w:vAlign w:val="center"/>
          </w:tcPr>
          <w:p>
            <w:pPr>
              <w:spacing w:line="560" w:lineRule="exact"/>
              <w:jc w:val="center"/>
              <w:rPr>
                <w:rFonts w:ascii="仿宋" w:hAnsi="仿宋" w:eastAsia="仿宋" w:cs="Times New Roman"/>
                <w:bCs/>
                <w:szCs w:val="21"/>
              </w:rPr>
            </w:pPr>
          </w:p>
        </w:tc>
        <w:tc>
          <w:tcPr>
            <w:tcW w:w="937" w:type="dxa"/>
            <w:vAlign w:val="center"/>
          </w:tcPr>
          <w:p>
            <w:pPr>
              <w:spacing w:line="560" w:lineRule="exact"/>
              <w:jc w:val="center"/>
              <w:rPr>
                <w:rFonts w:ascii="仿宋" w:hAnsi="仿宋" w:eastAsia="仿宋" w:cs="Times New Roman"/>
                <w:bCs/>
                <w:szCs w:val="21"/>
              </w:rPr>
            </w:pPr>
          </w:p>
        </w:tc>
        <w:tc>
          <w:tcPr>
            <w:tcW w:w="931" w:type="dxa"/>
            <w:vAlign w:val="center"/>
          </w:tcPr>
          <w:p>
            <w:pPr>
              <w:spacing w:line="560" w:lineRule="exact"/>
              <w:jc w:val="center"/>
              <w:rPr>
                <w:rFonts w:ascii="仿宋" w:hAnsi="仿宋" w:eastAsia="仿宋" w:cs="Times New Roman"/>
                <w:bCs/>
                <w:szCs w:val="21"/>
              </w:rPr>
            </w:pPr>
            <w:r>
              <w:rPr>
                <w:rFonts w:hint="eastAsia" w:ascii="仿宋" w:hAnsi="仿宋" w:eastAsia="仿宋" w:cs="Times New Roman"/>
                <w:bCs/>
                <w:szCs w:val="21"/>
              </w:rPr>
              <w:t>74.8</w:t>
            </w:r>
          </w:p>
        </w:tc>
        <w:tc>
          <w:tcPr>
            <w:tcW w:w="931" w:type="dxa"/>
            <w:vAlign w:val="center"/>
          </w:tcPr>
          <w:p>
            <w:pPr>
              <w:spacing w:line="560" w:lineRule="exact"/>
              <w:jc w:val="center"/>
              <w:rPr>
                <w:rFonts w:ascii="仿宋" w:hAnsi="仿宋" w:eastAsia="仿宋" w:cs="Times New Roman"/>
                <w:bCs/>
                <w:szCs w:val="21"/>
              </w:rPr>
            </w:pPr>
            <w:r>
              <w:rPr>
                <w:rFonts w:hint="eastAsia" w:ascii="仿宋" w:hAnsi="仿宋" w:eastAsia="仿宋" w:cs="Times New Roman"/>
                <w:bCs/>
                <w:szCs w:val="21"/>
              </w:rPr>
              <w:t>74.8</w:t>
            </w:r>
          </w:p>
        </w:tc>
        <w:tc>
          <w:tcPr>
            <w:tcW w:w="931" w:type="dxa"/>
            <w:vAlign w:val="center"/>
          </w:tcPr>
          <w:p>
            <w:pPr>
              <w:spacing w:line="560" w:lineRule="exact"/>
              <w:jc w:val="center"/>
              <w:rPr>
                <w:rFonts w:ascii="仿宋" w:hAnsi="仿宋" w:eastAsia="仿宋" w:cs="Times New Roman"/>
                <w:bCs/>
                <w:szCs w:val="21"/>
              </w:rPr>
            </w:pPr>
            <w:r>
              <w:rPr>
                <w:rFonts w:hint="eastAsia" w:ascii="仿宋" w:hAnsi="仿宋" w:eastAsia="仿宋" w:cs="Times New Roman"/>
                <w:bCs/>
                <w:szCs w:val="21"/>
              </w:rPr>
              <w:t>74.8</w:t>
            </w:r>
          </w:p>
        </w:tc>
        <w:tc>
          <w:tcPr>
            <w:tcW w:w="847" w:type="dxa"/>
            <w:vAlign w:val="center"/>
          </w:tcPr>
          <w:p>
            <w:pPr>
              <w:spacing w:line="560" w:lineRule="exact"/>
              <w:jc w:val="right"/>
              <w:rPr>
                <w:rFonts w:ascii="仿宋" w:hAnsi="仿宋" w:eastAsia="仿宋" w:cs="Times New Roman"/>
                <w:b/>
                <w:bCs/>
                <w:szCs w:val="21"/>
              </w:rPr>
            </w:pPr>
          </w:p>
        </w:tc>
        <w:tc>
          <w:tcPr>
            <w:tcW w:w="913" w:type="dxa"/>
            <w:vAlign w:val="center"/>
          </w:tcPr>
          <w:p>
            <w:pPr>
              <w:spacing w:line="560" w:lineRule="exact"/>
              <w:jc w:val="right"/>
              <w:rPr>
                <w:rFonts w:ascii="仿宋" w:hAnsi="仿宋" w:eastAsia="仿宋" w:cs="Times New Roman"/>
                <w:b/>
                <w:bCs/>
                <w:szCs w:val="21"/>
              </w:rPr>
            </w:pPr>
          </w:p>
        </w:tc>
        <w:tc>
          <w:tcPr>
            <w:tcW w:w="913" w:type="dxa"/>
            <w:vAlign w:val="center"/>
          </w:tcPr>
          <w:p>
            <w:pPr>
              <w:spacing w:line="560" w:lineRule="exact"/>
              <w:jc w:val="right"/>
              <w:rPr>
                <w:rFonts w:ascii="仿宋" w:hAnsi="仿宋" w:eastAsia="仿宋" w:cs="Times New Roman"/>
                <w:b/>
                <w:bCs/>
                <w:szCs w:val="21"/>
              </w:rPr>
            </w:pPr>
          </w:p>
        </w:tc>
        <w:tc>
          <w:tcPr>
            <w:tcW w:w="856" w:type="dxa"/>
            <w:vAlign w:val="center"/>
          </w:tcPr>
          <w:p>
            <w:pPr>
              <w:spacing w:line="560" w:lineRule="exact"/>
              <w:jc w:val="right"/>
              <w:rPr>
                <w:rFonts w:ascii="仿宋" w:hAnsi="仿宋" w:eastAsia="仿宋" w:cs="Times New Roman"/>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3"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专项装备费</w:t>
            </w:r>
          </w:p>
        </w:tc>
        <w:tc>
          <w:tcPr>
            <w:tcW w:w="1135"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14.4</w:t>
            </w:r>
          </w:p>
        </w:tc>
        <w:tc>
          <w:tcPr>
            <w:tcW w:w="170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电脑</w:t>
            </w:r>
          </w:p>
        </w:tc>
        <w:tc>
          <w:tcPr>
            <w:tcW w:w="1259"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A020199</w:t>
            </w:r>
          </w:p>
        </w:tc>
        <w:tc>
          <w:tcPr>
            <w:tcW w:w="516"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台</w:t>
            </w:r>
          </w:p>
        </w:tc>
        <w:tc>
          <w:tcPr>
            <w:tcW w:w="91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30</w:t>
            </w:r>
          </w:p>
        </w:tc>
        <w:tc>
          <w:tcPr>
            <w:tcW w:w="937"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0.48</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14.4</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14.4</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14.4</w:t>
            </w:r>
          </w:p>
        </w:tc>
        <w:tc>
          <w:tcPr>
            <w:tcW w:w="847"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856" w:type="dxa"/>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223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eastAsia="zh-CN"/>
              </w:rPr>
              <w:t>专项装备费</w:t>
            </w:r>
          </w:p>
        </w:tc>
        <w:tc>
          <w:tcPr>
            <w:tcW w:w="1135"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10.62</w:t>
            </w:r>
          </w:p>
        </w:tc>
        <w:tc>
          <w:tcPr>
            <w:tcW w:w="170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法警检察服装</w:t>
            </w:r>
          </w:p>
        </w:tc>
        <w:tc>
          <w:tcPr>
            <w:tcW w:w="1259"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A070301</w:t>
            </w:r>
          </w:p>
        </w:tc>
        <w:tc>
          <w:tcPr>
            <w:tcW w:w="516"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套</w:t>
            </w:r>
          </w:p>
        </w:tc>
        <w:tc>
          <w:tcPr>
            <w:tcW w:w="91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36</w:t>
            </w:r>
          </w:p>
        </w:tc>
        <w:tc>
          <w:tcPr>
            <w:tcW w:w="937"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0.295</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10.62</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10.62</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10.62</w:t>
            </w:r>
          </w:p>
        </w:tc>
        <w:tc>
          <w:tcPr>
            <w:tcW w:w="847"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856" w:type="dxa"/>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eastAsia="zh-CN"/>
              </w:rPr>
              <w:t>专项装备费</w:t>
            </w:r>
          </w:p>
        </w:tc>
        <w:tc>
          <w:tcPr>
            <w:tcW w:w="1135"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4.4</w:t>
            </w:r>
          </w:p>
        </w:tc>
        <w:tc>
          <w:tcPr>
            <w:tcW w:w="170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复合打印机</w:t>
            </w:r>
          </w:p>
        </w:tc>
        <w:tc>
          <w:tcPr>
            <w:tcW w:w="1259"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val="en-US" w:eastAsia="zh-CN"/>
              </w:rPr>
              <w:t>A020199</w:t>
            </w:r>
          </w:p>
        </w:tc>
        <w:tc>
          <w:tcPr>
            <w:tcW w:w="516"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台</w:t>
            </w:r>
          </w:p>
        </w:tc>
        <w:tc>
          <w:tcPr>
            <w:tcW w:w="91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w:t>
            </w:r>
          </w:p>
        </w:tc>
        <w:tc>
          <w:tcPr>
            <w:tcW w:w="937"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2.2</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4.4</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4.4</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4.4</w:t>
            </w:r>
          </w:p>
        </w:tc>
        <w:tc>
          <w:tcPr>
            <w:tcW w:w="847"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856" w:type="dxa"/>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eastAsia="zh-CN"/>
              </w:rPr>
              <w:t>专项装备费</w:t>
            </w:r>
          </w:p>
        </w:tc>
        <w:tc>
          <w:tcPr>
            <w:tcW w:w="1135"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2.98</w:t>
            </w:r>
          </w:p>
        </w:tc>
        <w:tc>
          <w:tcPr>
            <w:tcW w:w="170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警用装备</w:t>
            </w:r>
          </w:p>
        </w:tc>
        <w:tc>
          <w:tcPr>
            <w:tcW w:w="1259"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A0999</w:t>
            </w:r>
          </w:p>
        </w:tc>
        <w:tc>
          <w:tcPr>
            <w:tcW w:w="516"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套</w:t>
            </w:r>
          </w:p>
        </w:tc>
        <w:tc>
          <w:tcPr>
            <w:tcW w:w="91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w:t>
            </w:r>
          </w:p>
        </w:tc>
        <w:tc>
          <w:tcPr>
            <w:tcW w:w="937"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2.98</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2.98</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2.98</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2.98</w:t>
            </w:r>
          </w:p>
        </w:tc>
        <w:tc>
          <w:tcPr>
            <w:tcW w:w="847"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856" w:type="dxa"/>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eastAsia="zh-CN"/>
              </w:rPr>
              <w:t>专项装备费</w:t>
            </w:r>
          </w:p>
        </w:tc>
        <w:tc>
          <w:tcPr>
            <w:tcW w:w="1135"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40</w:t>
            </w:r>
          </w:p>
        </w:tc>
        <w:tc>
          <w:tcPr>
            <w:tcW w:w="170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执法车辆</w:t>
            </w:r>
          </w:p>
        </w:tc>
        <w:tc>
          <w:tcPr>
            <w:tcW w:w="1259"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A020305</w:t>
            </w:r>
          </w:p>
        </w:tc>
        <w:tc>
          <w:tcPr>
            <w:tcW w:w="516"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辆</w:t>
            </w:r>
          </w:p>
        </w:tc>
        <w:tc>
          <w:tcPr>
            <w:tcW w:w="91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w:t>
            </w:r>
          </w:p>
        </w:tc>
        <w:tc>
          <w:tcPr>
            <w:tcW w:w="937"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20</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40</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40</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40</w:t>
            </w:r>
          </w:p>
        </w:tc>
        <w:tc>
          <w:tcPr>
            <w:tcW w:w="847"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856" w:type="dxa"/>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3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eastAsia="zh-CN"/>
              </w:rPr>
              <w:t>专项装备费</w:t>
            </w:r>
          </w:p>
        </w:tc>
        <w:tc>
          <w:tcPr>
            <w:tcW w:w="1135"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2.4</w:t>
            </w:r>
          </w:p>
        </w:tc>
        <w:tc>
          <w:tcPr>
            <w:tcW w:w="1703"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专用设备购置</w:t>
            </w:r>
          </w:p>
        </w:tc>
        <w:tc>
          <w:tcPr>
            <w:tcW w:w="1259"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A0999</w:t>
            </w:r>
          </w:p>
        </w:tc>
        <w:tc>
          <w:tcPr>
            <w:tcW w:w="516"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套</w:t>
            </w:r>
          </w:p>
        </w:tc>
        <w:tc>
          <w:tcPr>
            <w:tcW w:w="91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1</w:t>
            </w:r>
          </w:p>
        </w:tc>
        <w:tc>
          <w:tcPr>
            <w:tcW w:w="937"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2.4</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2.4</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2.4</w:t>
            </w:r>
          </w:p>
        </w:tc>
        <w:tc>
          <w:tcPr>
            <w:tcW w:w="931"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rPr>
              <w:t>2.4</w:t>
            </w:r>
          </w:p>
        </w:tc>
        <w:tc>
          <w:tcPr>
            <w:tcW w:w="847"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913" w:type="dxa"/>
            <w:vAlign w:val="center"/>
          </w:tcPr>
          <w:p>
            <w:pPr>
              <w:spacing w:line="560" w:lineRule="exact"/>
              <w:jc w:val="center"/>
              <w:rPr>
                <w:rFonts w:ascii="仿宋" w:hAnsi="仿宋" w:eastAsia="仿宋" w:cs="Times New Roman"/>
                <w:szCs w:val="21"/>
              </w:rPr>
            </w:pPr>
          </w:p>
        </w:tc>
        <w:tc>
          <w:tcPr>
            <w:tcW w:w="856" w:type="dxa"/>
            <w:vAlign w:val="center"/>
          </w:tcPr>
          <w:p>
            <w:pPr>
              <w:spacing w:line="560" w:lineRule="exact"/>
              <w:jc w:val="center"/>
              <w:rPr>
                <w:rFonts w:ascii="仿宋" w:hAnsi="仿宋" w:eastAsia="仿宋" w:cs="Times New Roman"/>
                <w:szCs w:val="21"/>
              </w:rPr>
            </w:pPr>
          </w:p>
        </w:tc>
      </w:tr>
    </w:tbl>
    <w:p>
      <w:pPr>
        <w:widowControl/>
        <w:spacing w:line="360" w:lineRule="auto"/>
        <w:ind w:firstLine="640" w:firstLineChars="200"/>
        <w:jc w:val="left"/>
        <w:rPr>
          <w:rFonts w:ascii="黑体" w:hAnsi="黑体" w:eastAsia="黑体" w:cs="Calibri"/>
          <w:kern w:val="0"/>
          <w:sz w:val="32"/>
          <w:szCs w:val="32"/>
        </w:rPr>
      </w:pPr>
    </w:p>
    <w:p>
      <w:pPr>
        <w:widowControl/>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七、国有资产情况的说明</w:t>
      </w:r>
      <w:bookmarkStart w:id="0" w:name="_GoBack"/>
      <w:bookmarkEnd w:id="0"/>
    </w:p>
    <w:p>
      <w:pPr>
        <w:widowControl/>
        <w:spacing w:line="360" w:lineRule="auto"/>
        <w:ind w:firstLine="630"/>
        <w:jc w:val="left"/>
        <w:rPr>
          <w:rFonts w:hint="eastAsia" w:ascii="仿宋" w:hAnsi="仿宋" w:eastAsia="仿宋" w:cs="仿宋"/>
          <w:sz w:val="32"/>
          <w:szCs w:val="32"/>
        </w:rPr>
      </w:pPr>
      <w:r>
        <w:rPr>
          <w:rFonts w:hint="eastAsia" w:ascii="仿宋" w:hAnsi="仿宋" w:eastAsia="仿宋" w:cs="宋体"/>
          <w:kern w:val="0"/>
          <w:sz w:val="32"/>
          <w:szCs w:val="32"/>
        </w:rPr>
        <w:t>成安县人民检察院</w:t>
      </w:r>
      <w:r>
        <w:rPr>
          <w:rFonts w:hint="eastAsia" w:ascii="仿宋" w:hAnsi="仿宋" w:eastAsia="仿宋" w:cs="仿宋_GB2312"/>
          <w:sz w:val="32"/>
          <w:szCs w:val="32"/>
        </w:rPr>
        <w:t>（含所属单位）</w:t>
      </w:r>
      <w:r>
        <w:rPr>
          <w:rFonts w:ascii="仿宋" w:hAnsi="仿宋" w:eastAsia="仿宋" w:cs="宋体"/>
          <w:kern w:val="0"/>
          <w:sz w:val="32"/>
          <w:szCs w:val="32"/>
        </w:rPr>
        <w:t>上年</w:t>
      </w:r>
      <w:r>
        <w:rPr>
          <w:rFonts w:ascii="仿宋" w:hAnsi="仿宋" w:eastAsia="仿宋" w:cs="仿宋_GB2312"/>
          <w:kern w:val="0"/>
          <w:sz w:val="32"/>
          <w:szCs w:val="32"/>
        </w:rPr>
        <w:t>末固定资产金额为</w:t>
      </w:r>
      <w:r>
        <w:rPr>
          <w:rFonts w:hint="eastAsia" w:ascii="仿宋" w:hAnsi="仿宋" w:eastAsia="仿宋" w:cs="仿宋_GB2312"/>
          <w:kern w:val="0"/>
          <w:sz w:val="32"/>
          <w:szCs w:val="32"/>
        </w:rPr>
        <w:t>1011</w:t>
      </w:r>
      <w:r>
        <w:rPr>
          <w:rFonts w:ascii="仿宋" w:hAnsi="仿宋" w:eastAsia="仿宋" w:cs="仿宋_GB2312"/>
          <w:kern w:val="0"/>
          <w:sz w:val="32"/>
          <w:szCs w:val="32"/>
        </w:rPr>
        <w:t>万元</w:t>
      </w:r>
      <w:r>
        <w:rPr>
          <w:rFonts w:hint="eastAsia" w:ascii="仿宋" w:hAnsi="仿宋" w:eastAsia="仿宋" w:cs="仿宋_GB2312"/>
          <w:kern w:val="0"/>
          <w:sz w:val="32"/>
          <w:szCs w:val="32"/>
        </w:rPr>
        <w:t>,</w:t>
      </w:r>
      <w:r>
        <w:rPr>
          <w:rFonts w:hint="eastAsia" w:ascii="仿宋" w:hAnsi="仿宋" w:eastAsia="仿宋" w:cs="仿宋_GB2312"/>
          <w:sz w:val="32"/>
          <w:szCs w:val="32"/>
        </w:rPr>
        <w:t>本年度拟购置固定资产74.8万元，</w:t>
      </w:r>
      <w:r>
        <w:rPr>
          <w:rFonts w:hint="eastAsia" w:ascii="仿宋" w:hAnsi="仿宋" w:eastAsia="仿宋" w:cs="仿宋"/>
          <w:sz w:val="32"/>
          <w:szCs w:val="32"/>
        </w:rPr>
        <w:t>主要为电脑、法警检察服装、复合打印机、警用装备、执法车辆、专用设备等，已列入政府采购预算。详见下表。</w:t>
      </w:r>
    </w:p>
    <w:p>
      <w:pPr>
        <w:widowControl/>
        <w:spacing w:line="360" w:lineRule="auto"/>
        <w:ind w:firstLine="630"/>
        <w:jc w:val="left"/>
        <w:rPr>
          <w:rFonts w:hint="eastAsia" w:ascii="仿宋" w:hAnsi="仿宋" w:eastAsia="仿宋" w:cs="仿宋"/>
          <w:sz w:val="32"/>
          <w:szCs w:val="32"/>
        </w:rPr>
      </w:pPr>
    </w:p>
    <w:p>
      <w:pPr>
        <w:widowControl/>
        <w:spacing w:line="360" w:lineRule="auto"/>
        <w:ind w:firstLine="630"/>
        <w:jc w:val="left"/>
        <w:rPr>
          <w:rFonts w:ascii="仿宋" w:hAnsi="仿宋" w:eastAsia="仿宋" w:cs="仿宋_GB2312"/>
          <w:color w:val="FF0000"/>
          <w:kern w:val="0"/>
          <w:sz w:val="32"/>
          <w:szCs w:val="32"/>
        </w:rPr>
      </w:pPr>
    </w:p>
    <w:p>
      <w:pPr>
        <w:widowControl/>
        <w:spacing w:line="360" w:lineRule="auto"/>
        <w:ind w:firstLine="630"/>
        <w:jc w:val="left"/>
        <w:rPr>
          <w:rFonts w:ascii="仿宋" w:hAnsi="仿宋" w:eastAsia="仿宋" w:cs="仿宋_GB2312"/>
          <w:b/>
          <w:color w:val="FF0000"/>
          <w:kern w:val="0"/>
          <w:sz w:val="32"/>
          <w:szCs w:val="32"/>
        </w:rPr>
      </w:pPr>
    </w:p>
    <w:tbl>
      <w:tblPr>
        <w:tblStyle w:val="8"/>
        <w:tblW w:w="9060" w:type="dxa"/>
        <w:jc w:val="center"/>
        <w:tblLayout w:type="fixed"/>
        <w:tblCellMar>
          <w:top w:w="0" w:type="dxa"/>
          <w:left w:w="108" w:type="dxa"/>
          <w:bottom w:w="0" w:type="dxa"/>
          <w:right w:w="108" w:type="dxa"/>
        </w:tblCellMar>
      </w:tblPr>
      <w:tblGrid>
        <w:gridCol w:w="4139"/>
        <w:gridCol w:w="1110"/>
        <w:gridCol w:w="3811"/>
      </w:tblGrid>
      <w:tr>
        <w:tblPrEx>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部门固定资产占用情况表</w:t>
            </w:r>
          </w:p>
        </w:tc>
      </w:tr>
      <w:tr>
        <w:tblPrEx>
          <w:tblCellMar>
            <w:top w:w="0" w:type="dxa"/>
            <w:left w:w="108" w:type="dxa"/>
            <w:bottom w:w="0" w:type="dxa"/>
            <w:right w:w="108" w:type="dxa"/>
          </w:tblCellMar>
        </w:tblPrEx>
        <w:trPr>
          <w:trHeight w:val="510" w:hRule="atLeast"/>
          <w:jc w:val="center"/>
        </w:trPr>
        <w:tc>
          <w:tcPr>
            <w:tcW w:w="5249"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编制部门：成安县人民检察院</w:t>
            </w:r>
          </w:p>
        </w:tc>
        <w:tc>
          <w:tcPr>
            <w:tcW w:w="3811" w:type="dxa"/>
            <w:tcBorders>
              <w:top w:val="nil"/>
              <w:left w:val="nil"/>
              <w:bottom w:val="nil"/>
              <w:right w:val="nil"/>
            </w:tcBorders>
            <w:shd w:val="clear" w:color="auto" w:fill="auto"/>
            <w:vAlign w:val="center"/>
          </w:tcPr>
          <w:p>
            <w:pPr>
              <w:widowControl/>
              <w:ind w:firstLine="550" w:firstLineChars="250"/>
              <w:jc w:val="left"/>
              <w:rPr>
                <w:rFonts w:ascii="仿宋_GB2312" w:hAnsi="宋体" w:eastAsia="仿宋_GB2312" w:cs="宋体"/>
                <w:kern w:val="0"/>
                <w:sz w:val="22"/>
              </w:rPr>
            </w:pPr>
            <w:r>
              <w:rPr>
                <w:rFonts w:hint="eastAsia" w:ascii="仿宋_GB2312" w:hAnsi="宋体" w:eastAsia="仿宋_GB2312" w:cs="宋体"/>
                <w:kern w:val="0"/>
                <w:sz w:val="22"/>
              </w:rPr>
              <w:t>截止时间：2020年12月31日</w:t>
            </w:r>
          </w:p>
        </w:tc>
      </w:tr>
      <w:tr>
        <w:tblPrEx>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项目</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数量</w:t>
            </w:r>
          </w:p>
        </w:tc>
        <w:tc>
          <w:tcPr>
            <w:tcW w:w="38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价值（金额单位：万元）</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资产总额</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3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1011</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1、房屋（平方米）</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4599.11</w:t>
            </w:r>
          </w:p>
        </w:tc>
        <w:tc>
          <w:tcPr>
            <w:tcW w:w="3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244</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其中：办公及其他用房（平方米）</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4599.11</w:t>
            </w:r>
          </w:p>
        </w:tc>
        <w:tc>
          <w:tcPr>
            <w:tcW w:w="3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244</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2、车辆（台、辆）</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7</w:t>
            </w:r>
          </w:p>
        </w:tc>
        <w:tc>
          <w:tcPr>
            <w:tcW w:w="3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120</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3、单价在50万元以上的设备</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p>
        </w:tc>
        <w:tc>
          <w:tcPr>
            <w:tcW w:w="3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4、其他固定资产</w:t>
            </w:r>
          </w:p>
        </w:tc>
        <w:tc>
          <w:tcPr>
            <w:tcW w:w="11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1514</w:t>
            </w:r>
          </w:p>
        </w:tc>
        <w:tc>
          <w:tcPr>
            <w:tcW w:w="38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647</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1、公共预算：公共预算是对以税收为主体的财政收入，安排用于保障和改善民生、推动经济社会发展、维护国家安全、维持国家机构正常运转等方面的收支预算。一般公共预算支出：包括地方本级支出、对上级政府的上解支出、对下级政府的税收返还和转移支付。</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2、行政运行：反映行政单位（包括实行公务员管理的事业单位）的基本支出。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3、基本支出：指预算单位为保障其正常运转，完成日常工作任务所发生的支出，包括人员支出和日常公用支出。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4、项目支出：指预算单位为完成其特定的行政工作任务或事业发展目标所发生的支出。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5、“三公”经费：包括因公出国（境）费、公务接待费和公务用车购置及运行费。</w:t>
      </w:r>
    </w:p>
    <w:p>
      <w:pPr>
        <w:tabs>
          <w:tab w:val="left" w:pos="11490"/>
        </w:tabs>
        <w:ind w:firstLine="640" w:firstLineChars="200"/>
        <w:rPr>
          <w:rFonts w:ascii="黑体" w:hAnsi="黑体" w:eastAsia="黑体"/>
          <w:sz w:val="32"/>
          <w:szCs w:val="32"/>
        </w:rPr>
      </w:pPr>
      <w:r>
        <w:rPr>
          <w:rFonts w:hint="eastAsia" w:ascii="黑体" w:hAnsi="黑体" w:eastAsia="黑体"/>
          <w:sz w:val="32"/>
          <w:szCs w:val="32"/>
        </w:rPr>
        <w:t>九、其它需要说明的事项</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无其它需要说明的事项。</w:t>
      </w:r>
    </w:p>
    <w:p>
      <w:pPr>
        <w:widowControl/>
        <w:spacing w:line="360" w:lineRule="auto"/>
        <w:jc w:val="left"/>
        <w:rPr>
          <w:rFonts w:ascii="仿宋" w:hAnsi="仿宋" w:eastAsia="仿宋" w:cs="仿宋_GB2312"/>
          <w:b/>
          <w:color w:val="FF0000"/>
          <w:kern w:val="0"/>
          <w:sz w:val="32"/>
          <w:szCs w:val="32"/>
        </w:rPr>
      </w:pPr>
    </w:p>
    <w:p>
      <w:pPr>
        <w:widowControl/>
        <w:spacing w:line="360" w:lineRule="auto"/>
        <w:ind w:firstLine="420" w:firstLineChars="200"/>
        <w:jc w:val="left"/>
      </w:pPr>
    </w:p>
    <w:sectPr>
      <w:pgSz w:w="16839" w:h="11907" w:orient="landscape"/>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107610"/>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12</w:t>
        </w:r>
        <w:r>
          <w:rPr>
            <w:sz w:val="24"/>
            <w:szCs w:val="24"/>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661AC"/>
    <w:multiLevelType w:val="singleLevel"/>
    <w:tmpl w:val="EE1661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0D6"/>
    <w:rsid w:val="0001447C"/>
    <w:rsid w:val="0002071F"/>
    <w:rsid w:val="00050789"/>
    <w:rsid w:val="0008656F"/>
    <w:rsid w:val="00094DD9"/>
    <w:rsid w:val="000A1F1F"/>
    <w:rsid w:val="000C3E13"/>
    <w:rsid w:val="000D46EB"/>
    <w:rsid w:val="000F46BE"/>
    <w:rsid w:val="00116B44"/>
    <w:rsid w:val="00117131"/>
    <w:rsid w:val="001409DC"/>
    <w:rsid w:val="00140D86"/>
    <w:rsid w:val="001568F5"/>
    <w:rsid w:val="00184505"/>
    <w:rsid w:val="00193C8A"/>
    <w:rsid w:val="001A311A"/>
    <w:rsid w:val="001A4E35"/>
    <w:rsid w:val="001C626A"/>
    <w:rsid w:val="00250F8A"/>
    <w:rsid w:val="002A4ED1"/>
    <w:rsid w:val="002D74FD"/>
    <w:rsid w:val="002E3A95"/>
    <w:rsid w:val="002F5333"/>
    <w:rsid w:val="00300056"/>
    <w:rsid w:val="0030317B"/>
    <w:rsid w:val="00315FD3"/>
    <w:rsid w:val="00323915"/>
    <w:rsid w:val="00327112"/>
    <w:rsid w:val="00331550"/>
    <w:rsid w:val="003431EB"/>
    <w:rsid w:val="00346B21"/>
    <w:rsid w:val="0035492F"/>
    <w:rsid w:val="00377EA3"/>
    <w:rsid w:val="003863A2"/>
    <w:rsid w:val="00386AEF"/>
    <w:rsid w:val="003A21E6"/>
    <w:rsid w:val="003B36B9"/>
    <w:rsid w:val="003B3904"/>
    <w:rsid w:val="00434B00"/>
    <w:rsid w:val="00443388"/>
    <w:rsid w:val="004443A4"/>
    <w:rsid w:val="004755FC"/>
    <w:rsid w:val="00477E04"/>
    <w:rsid w:val="004D2235"/>
    <w:rsid w:val="00517B34"/>
    <w:rsid w:val="0054622D"/>
    <w:rsid w:val="00582C62"/>
    <w:rsid w:val="005A03A2"/>
    <w:rsid w:val="005B5C0B"/>
    <w:rsid w:val="005D136A"/>
    <w:rsid w:val="005D26B6"/>
    <w:rsid w:val="005E49CF"/>
    <w:rsid w:val="0062621A"/>
    <w:rsid w:val="0064023E"/>
    <w:rsid w:val="00685811"/>
    <w:rsid w:val="006B7223"/>
    <w:rsid w:val="006D0219"/>
    <w:rsid w:val="006D1C5B"/>
    <w:rsid w:val="00711276"/>
    <w:rsid w:val="0074760B"/>
    <w:rsid w:val="00753FDE"/>
    <w:rsid w:val="00774DCC"/>
    <w:rsid w:val="00780D69"/>
    <w:rsid w:val="007A507B"/>
    <w:rsid w:val="007C3864"/>
    <w:rsid w:val="007C5D4B"/>
    <w:rsid w:val="007D01C2"/>
    <w:rsid w:val="007D0658"/>
    <w:rsid w:val="007D6BF0"/>
    <w:rsid w:val="007E5CCD"/>
    <w:rsid w:val="008058DC"/>
    <w:rsid w:val="00813CA6"/>
    <w:rsid w:val="0083238D"/>
    <w:rsid w:val="00862211"/>
    <w:rsid w:val="00865143"/>
    <w:rsid w:val="008A3637"/>
    <w:rsid w:val="008B1E6E"/>
    <w:rsid w:val="008C050D"/>
    <w:rsid w:val="008C7744"/>
    <w:rsid w:val="008D2022"/>
    <w:rsid w:val="008F23B7"/>
    <w:rsid w:val="00912EE2"/>
    <w:rsid w:val="00964B61"/>
    <w:rsid w:val="009724E7"/>
    <w:rsid w:val="009B27BB"/>
    <w:rsid w:val="009B3048"/>
    <w:rsid w:val="009D02F0"/>
    <w:rsid w:val="009D39F8"/>
    <w:rsid w:val="009E36B0"/>
    <w:rsid w:val="009E6C69"/>
    <w:rsid w:val="00A06B1D"/>
    <w:rsid w:val="00A07D70"/>
    <w:rsid w:val="00A21AFB"/>
    <w:rsid w:val="00A5418B"/>
    <w:rsid w:val="00A756BF"/>
    <w:rsid w:val="00A84FAD"/>
    <w:rsid w:val="00A870D8"/>
    <w:rsid w:val="00AA1CBC"/>
    <w:rsid w:val="00AB29B0"/>
    <w:rsid w:val="00AD6D9F"/>
    <w:rsid w:val="00B06B83"/>
    <w:rsid w:val="00B17351"/>
    <w:rsid w:val="00B23063"/>
    <w:rsid w:val="00B506C9"/>
    <w:rsid w:val="00B65A81"/>
    <w:rsid w:val="00B763BB"/>
    <w:rsid w:val="00B771EF"/>
    <w:rsid w:val="00BA416A"/>
    <w:rsid w:val="00BF09D2"/>
    <w:rsid w:val="00C3586A"/>
    <w:rsid w:val="00C3735F"/>
    <w:rsid w:val="00C37F46"/>
    <w:rsid w:val="00C52FF0"/>
    <w:rsid w:val="00C63E69"/>
    <w:rsid w:val="00CA2C3F"/>
    <w:rsid w:val="00CB489A"/>
    <w:rsid w:val="00CD76F2"/>
    <w:rsid w:val="00D05502"/>
    <w:rsid w:val="00D140A7"/>
    <w:rsid w:val="00D751E4"/>
    <w:rsid w:val="00DA0754"/>
    <w:rsid w:val="00DC393F"/>
    <w:rsid w:val="00DE073E"/>
    <w:rsid w:val="00DE0A24"/>
    <w:rsid w:val="00E058D5"/>
    <w:rsid w:val="00E60AEA"/>
    <w:rsid w:val="00E66D13"/>
    <w:rsid w:val="00E810D6"/>
    <w:rsid w:val="00E82A58"/>
    <w:rsid w:val="00EC6BCC"/>
    <w:rsid w:val="00ED17D8"/>
    <w:rsid w:val="00EE1AD8"/>
    <w:rsid w:val="00F7245E"/>
    <w:rsid w:val="00F84AD2"/>
    <w:rsid w:val="00F85AA1"/>
    <w:rsid w:val="00FF4A6C"/>
    <w:rsid w:val="013B67CD"/>
    <w:rsid w:val="014853A1"/>
    <w:rsid w:val="01CA412B"/>
    <w:rsid w:val="022C57DC"/>
    <w:rsid w:val="02E13973"/>
    <w:rsid w:val="02E323CD"/>
    <w:rsid w:val="037D399A"/>
    <w:rsid w:val="03B213E5"/>
    <w:rsid w:val="03C6252A"/>
    <w:rsid w:val="04335EFC"/>
    <w:rsid w:val="0456632D"/>
    <w:rsid w:val="04D6493E"/>
    <w:rsid w:val="05592189"/>
    <w:rsid w:val="055D7F30"/>
    <w:rsid w:val="06096D52"/>
    <w:rsid w:val="06550E5D"/>
    <w:rsid w:val="06D13502"/>
    <w:rsid w:val="0726741C"/>
    <w:rsid w:val="076F30C1"/>
    <w:rsid w:val="07AF2513"/>
    <w:rsid w:val="088D71C7"/>
    <w:rsid w:val="08A545D7"/>
    <w:rsid w:val="08D34D69"/>
    <w:rsid w:val="09E50DB9"/>
    <w:rsid w:val="0B5474DA"/>
    <w:rsid w:val="0B9E219C"/>
    <w:rsid w:val="0BB759F9"/>
    <w:rsid w:val="0C2D042B"/>
    <w:rsid w:val="0CBF7A43"/>
    <w:rsid w:val="0D106253"/>
    <w:rsid w:val="0DCA076F"/>
    <w:rsid w:val="0DD4180B"/>
    <w:rsid w:val="0EF223B4"/>
    <w:rsid w:val="0FC22CAD"/>
    <w:rsid w:val="10394DC1"/>
    <w:rsid w:val="10937BFB"/>
    <w:rsid w:val="11B7615A"/>
    <w:rsid w:val="127E515A"/>
    <w:rsid w:val="12EB1D99"/>
    <w:rsid w:val="130B706D"/>
    <w:rsid w:val="13190168"/>
    <w:rsid w:val="131D4ABD"/>
    <w:rsid w:val="132976E1"/>
    <w:rsid w:val="13504EDC"/>
    <w:rsid w:val="13770472"/>
    <w:rsid w:val="139106CF"/>
    <w:rsid w:val="13DE0FA8"/>
    <w:rsid w:val="158F35B7"/>
    <w:rsid w:val="16243AEB"/>
    <w:rsid w:val="163506CD"/>
    <w:rsid w:val="171153AB"/>
    <w:rsid w:val="17252863"/>
    <w:rsid w:val="175940C0"/>
    <w:rsid w:val="179237FF"/>
    <w:rsid w:val="17C16AC9"/>
    <w:rsid w:val="17E97749"/>
    <w:rsid w:val="180D78B9"/>
    <w:rsid w:val="19536980"/>
    <w:rsid w:val="1A0765F0"/>
    <w:rsid w:val="1A476C55"/>
    <w:rsid w:val="1A711A05"/>
    <w:rsid w:val="1A866E00"/>
    <w:rsid w:val="1AEF7278"/>
    <w:rsid w:val="1B2A5EA4"/>
    <w:rsid w:val="1BA47591"/>
    <w:rsid w:val="1CC97251"/>
    <w:rsid w:val="1CEB0A1C"/>
    <w:rsid w:val="1D796943"/>
    <w:rsid w:val="1DDC76BF"/>
    <w:rsid w:val="1E8167C1"/>
    <w:rsid w:val="1E990400"/>
    <w:rsid w:val="1EAA0AE1"/>
    <w:rsid w:val="1F321E79"/>
    <w:rsid w:val="200E35E1"/>
    <w:rsid w:val="205052B3"/>
    <w:rsid w:val="20843284"/>
    <w:rsid w:val="21B66276"/>
    <w:rsid w:val="228819EE"/>
    <w:rsid w:val="22A72FB5"/>
    <w:rsid w:val="236E0587"/>
    <w:rsid w:val="238F6A51"/>
    <w:rsid w:val="23BE0B64"/>
    <w:rsid w:val="258D66AA"/>
    <w:rsid w:val="25DE6D62"/>
    <w:rsid w:val="265A1CA6"/>
    <w:rsid w:val="26A75753"/>
    <w:rsid w:val="2716314B"/>
    <w:rsid w:val="27D4671E"/>
    <w:rsid w:val="288A4B30"/>
    <w:rsid w:val="28E516DB"/>
    <w:rsid w:val="299267B6"/>
    <w:rsid w:val="2A456792"/>
    <w:rsid w:val="2A6C28CB"/>
    <w:rsid w:val="2AAF5A4F"/>
    <w:rsid w:val="2AD57C75"/>
    <w:rsid w:val="2BAA47A7"/>
    <w:rsid w:val="2DCE40BA"/>
    <w:rsid w:val="2E066AE5"/>
    <w:rsid w:val="2E2777CE"/>
    <w:rsid w:val="2E767FF3"/>
    <w:rsid w:val="2EE04A84"/>
    <w:rsid w:val="2EE8574B"/>
    <w:rsid w:val="2F6821C9"/>
    <w:rsid w:val="30727A9B"/>
    <w:rsid w:val="31D059F4"/>
    <w:rsid w:val="332A0BBD"/>
    <w:rsid w:val="3387759D"/>
    <w:rsid w:val="351C5D1D"/>
    <w:rsid w:val="35875E64"/>
    <w:rsid w:val="35FC2C2C"/>
    <w:rsid w:val="36DF5EE5"/>
    <w:rsid w:val="376613EE"/>
    <w:rsid w:val="378F09F5"/>
    <w:rsid w:val="37B85583"/>
    <w:rsid w:val="37F07460"/>
    <w:rsid w:val="387366C2"/>
    <w:rsid w:val="38870693"/>
    <w:rsid w:val="38963AA1"/>
    <w:rsid w:val="392C4D68"/>
    <w:rsid w:val="39461E7C"/>
    <w:rsid w:val="3947031C"/>
    <w:rsid w:val="39A75722"/>
    <w:rsid w:val="3A04416A"/>
    <w:rsid w:val="3B6E7B6E"/>
    <w:rsid w:val="3C607C4F"/>
    <w:rsid w:val="3C712CD5"/>
    <w:rsid w:val="3CEC5D53"/>
    <w:rsid w:val="3D2722B3"/>
    <w:rsid w:val="3E4F58F6"/>
    <w:rsid w:val="3E6B32B9"/>
    <w:rsid w:val="3E924AF1"/>
    <w:rsid w:val="3F8C64FD"/>
    <w:rsid w:val="40A769F2"/>
    <w:rsid w:val="40CF3774"/>
    <w:rsid w:val="4137672E"/>
    <w:rsid w:val="424405A4"/>
    <w:rsid w:val="426F29B4"/>
    <w:rsid w:val="431D5E22"/>
    <w:rsid w:val="43B17F76"/>
    <w:rsid w:val="43E71533"/>
    <w:rsid w:val="441C57E9"/>
    <w:rsid w:val="44240E6E"/>
    <w:rsid w:val="44471F93"/>
    <w:rsid w:val="44986D47"/>
    <w:rsid w:val="449B2BF0"/>
    <w:rsid w:val="456A5D0D"/>
    <w:rsid w:val="457C0C14"/>
    <w:rsid w:val="45A56F6F"/>
    <w:rsid w:val="45B90BF3"/>
    <w:rsid w:val="45CB47D1"/>
    <w:rsid w:val="460143F1"/>
    <w:rsid w:val="46330EAD"/>
    <w:rsid w:val="475B18CD"/>
    <w:rsid w:val="47983694"/>
    <w:rsid w:val="47AF30D1"/>
    <w:rsid w:val="47C92CB4"/>
    <w:rsid w:val="47ED3FB2"/>
    <w:rsid w:val="481A64EA"/>
    <w:rsid w:val="499E6BF9"/>
    <w:rsid w:val="49D00D31"/>
    <w:rsid w:val="4A4F1F05"/>
    <w:rsid w:val="4A6C3E72"/>
    <w:rsid w:val="4B133A52"/>
    <w:rsid w:val="4B7040C7"/>
    <w:rsid w:val="4C885DE6"/>
    <w:rsid w:val="4CA957E7"/>
    <w:rsid w:val="4CE04563"/>
    <w:rsid w:val="4D453D2F"/>
    <w:rsid w:val="4D770C78"/>
    <w:rsid w:val="4D9730D4"/>
    <w:rsid w:val="4DF60BC3"/>
    <w:rsid w:val="4E4335D2"/>
    <w:rsid w:val="4E98711B"/>
    <w:rsid w:val="4FFB00AF"/>
    <w:rsid w:val="504318EE"/>
    <w:rsid w:val="51195141"/>
    <w:rsid w:val="516D08C5"/>
    <w:rsid w:val="521B6B4A"/>
    <w:rsid w:val="522E1FCA"/>
    <w:rsid w:val="529D3EAD"/>
    <w:rsid w:val="53C94C0F"/>
    <w:rsid w:val="541658D5"/>
    <w:rsid w:val="546F0BB8"/>
    <w:rsid w:val="54E440D3"/>
    <w:rsid w:val="55796BA5"/>
    <w:rsid w:val="55D70FE7"/>
    <w:rsid w:val="55DE6ABC"/>
    <w:rsid w:val="567247AC"/>
    <w:rsid w:val="56C846AE"/>
    <w:rsid w:val="56D17BE4"/>
    <w:rsid w:val="57D13978"/>
    <w:rsid w:val="581B51E2"/>
    <w:rsid w:val="582C1353"/>
    <w:rsid w:val="58895D1A"/>
    <w:rsid w:val="58CD73D1"/>
    <w:rsid w:val="59AF56D7"/>
    <w:rsid w:val="59E00AC0"/>
    <w:rsid w:val="5B2B3FCD"/>
    <w:rsid w:val="5B452B9F"/>
    <w:rsid w:val="5B596FF1"/>
    <w:rsid w:val="5B7A01F4"/>
    <w:rsid w:val="5B830CD6"/>
    <w:rsid w:val="5B9C1E9C"/>
    <w:rsid w:val="5BAE356C"/>
    <w:rsid w:val="5CB07A05"/>
    <w:rsid w:val="5D0C4785"/>
    <w:rsid w:val="5D625634"/>
    <w:rsid w:val="5D74064D"/>
    <w:rsid w:val="5D773AB8"/>
    <w:rsid w:val="5E225510"/>
    <w:rsid w:val="5E503FD2"/>
    <w:rsid w:val="5EA6336F"/>
    <w:rsid w:val="5EBE32D9"/>
    <w:rsid w:val="5ED17601"/>
    <w:rsid w:val="5F1A5FDA"/>
    <w:rsid w:val="5F977273"/>
    <w:rsid w:val="612F2391"/>
    <w:rsid w:val="614F37CC"/>
    <w:rsid w:val="61501AE8"/>
    <w:rsid w:val="61897173"/>
    <w:rsid w:val="627C2C2C"/>
    <w:rsid w:val="63321494"/>
    <w:rsid w:val="63F21B1B"/>
    <w:rsid w:val="63F56987"/>
    <w:rsid w:val="63FF5E7B"/>
    <w:rsid w:val="642351E8"/>
    <w:rsid w:val="64987D51"/>
    <w:rsid w:val="64DE7757"/>
    <w:rsid w:val="651A1154"/>
    <w:rsid w:val="65493192"/>
    <w:rsid w:val="65720AF2"/>
    <w:rsid w:val="661F525A"/>
    <w:rsid w:val="666C26EF"/>
    <w:rsid w:val="66C449D6"/>
    <w:rsid w:val="67710391"/>
    <w:rsid w:val="67D367E1"/>
    <w:rsid w:val="68C16893"/>
    <w:rsid w:val="68E71F3A"/>
    <w:rsid w:val="6AC6223E"/>
    <w:rsid w:val="6B123940"/>
    <w:rsid w:val="6B511389"/>
    <w:rsid w:val="6BE072EA"/>
    <w:rsid w:val="6C0545B3"/>
    <w:rsid w:val="6C304A41"/>
    <w:rsid w:val="6C716795"/>
    <w:rsid w:val="6C76727C"/>
    <w:rsid w:val="6C7A2D44"/>
    <w:rsid w:val="6C857D08"/>
    <w:rsid w:val="6D5763C1"/>
    <w:rsid w:val="6D81148F"/>
    <w:rsid w:val="6E8006EE"/>
    <w:rsid w:val="6ECC4D84"/>
    <w:rsid w:val="6F071211"/>
    <w:rsid w:val="70BA2DA1"/>
    <w:rsid w:val="70CE0854"/>
    <w:rsid w:val="71A80079"/>
    <w:rsid w:val="71B87B2B"/>
    <w:rsid w:val="72571E60"/>
    <w:rsid w:val="729B4F6A"/>
    <w:rsid w:val="73073CC2"/>
    <w:rsid w:val="73155261"/>
    <w:rsid w:val="733E01F4"/>
    <w:rsid w:val="735F6677"/>
    <w:rsid w:val="738716DF"/>
    <w:rsid w:val="739371DA"/>
    <w:rsid w:val="73AC253F"/>
    <w:rsid w:val="7424079F"/>
    <w:rsid w:val="74D4598A"/>
    <w:rsid w:val="75E4168E"/>
    <w:rsid w:val="76782BE0"/>
    <w:rsid w:val="76FD3FC3"/>
    <w:rsid w:val="78F45A15"/>
    <w:rsid w:val="7927722E"/>
    <w:rsid w:val="7A3E2E22"/>
    <w:rsid w:val="7A7D7666"/>
    <w:rsid w:val="7AA5545A"/>
    <w:rsid w:val="7AE02D87"/>
    <w:rsid w:val="7BAA5900"/>
    <w:rsid w:val="7C162F5B"/>
    <w:rsid w:val="7C2C3C9E"/>
    <w:rsid w:val="7CF91A8C"/>
    <w:rsid w:val="7CFC6DC6"/>
    <w:rsid w:val="7D9A3104"/>
    <w:rsid w:val="7DB94919"/>
    <w:rsid w:val="7EE2507A"/>
    <w:rsid w:val="7EE964AB"/>
    <w:rsid w:val="7F8E3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日期 Char"/>
    <w:basedOn w:val="9"/>
    <w:link w:val="2"/>
    <w:semiHidden/>
    <w:qFormat/>
    <w:uiPriority w:val="99"/>
    <w:rPr>
      <w:kern w:val="2"/>
      <w:sz w:val="21"/>
      <w:szCs w:val="22"/>
    </w:rPr>
  </w:style>
  <w:style w:type="paragraph" w:styleId="13">
    <w:name w:val="List Paragraph"/>
    <w:basedOn w:val="1"/>
    <w:unhideWhenUsed/>
    <w:qFormat/>
    <w:uiPriority w:val="99"/>
    <w:pPr>
      <w:ind w:firstLine="420" w:firstLineChars="200"/>
    </w:pPr>
  </w:style>
  <w:style w:type="character" w:customStyle="1" w:styleId="14">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724</Words>
  <Characters>4130</Characters>
  <Lines>34</Lines>
  <Paragraphs>9</Paragraphs>
  <TotalTime>4</TotalTime>
  <ScaleCrop>false</ScaleCrop>
  <LinksUpToDate>false</LinksUpToDate>
  <CharactersWithSpaces>4845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2018-03-16T02:55:00Z</dcterms:created>
  <dc:creator>lenovo</dc:creator>
  <cp:lastModifiedBy>Administrator</cp:lastModifiedBy>
  <cp:lastPrinted>2020-04-03T02:12:00Z</cp:lastPrinted>
  <dcterms:modified xsi:type="dcterms:W3CDTF">2021-05-20T06:37:25Z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4B1F494E0FF94A52A5055C8F75E618E8</vt:lpwstr>
  </property>
</Properties>
</file>