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70" w:rsidRPr="00632B70" w:rsidRDefault="00632B70" w:rsidP="00632B70">
      <w:pPr>
        <w:widowControl/>
        <w:spacing w:before="100" w:beforeAutospacing="1" w:after="100" w:afterAutospacing="1"/>
        <w:jc w:val="center"/>
        <w:rPr>
          <w:rFonts w:ascii="Verdana" w:eastAsia="宋体" w:hAnsi="Verdana" w:cs="宋体"/>
          <w:kern w:val="0"/>
          <w:sz w:val="13"/>
          <w:szCs w:val="13"/>
        </w:rPr>
      </w:pPr>
      <w:r w:rsidRPr="00632B70">
        <w:rPr>
          <w:rFonts w:ascii="Verdana" w:eastAsia="宋体" w:hAnsi="Verdana" w:cs="宋体"/>
          <w:kern w:val="0"/>
          <w:sz w:val="13"/>
          <w:szCs w:val="13"/>
        </w:rPr>
        <w:br/>
      </w:r>
    </w:p>
    <w:p w:rsidR="00632B70" w:rsidRPr="00632B70" w:rsidRDefault="00632B70" w:rsidP="00632B70">
      <w:pPr>
        <w:widowControl/>
        <w:wordWrap w:val="0"/>
        <w:spacing w:before="100" w:beforeAutospacing="1" w:after="100" w:afterAutospacing="1"/>
        <w:jc w:val="center"/>
        <w:rPr>
          <w:rFonts w:ascii="Verdana" w:eastAsia="宋体" w:hAnsi="Verdana" w:cs="宋体"/>
          <w:kern w:val="0"/>
          <w:sz w:val="13"/>
          <w:szCs w:val="13"/>
        </w:rPr>
      </w:pPr>
      <w:r w:rsidRPr="00632B70">
        <w:rPr>
          <w:rFonts w:ascii="Verdana" w:eastAsia="宋体" w:hAnsi="Verdana" w:cs="宋体"/>
          <w:b/>
          <w:bCs/>
          <w:kern w:val="0"/>
          <w:sz w:val="13"/>
        </w:rPr>
        <w:t>河北省财政厅</w:t>
      </w:r>
      <w:r w:rsidRPr="00632B70">
        <w:rPr>
          <w:rFonts w:ascii="Verdana" w:eastAsia="宋体" w:hAnsi="Verdana" w:cs="宋体"/>
          <w:b/>
          <w:bCs/>
          <w:kern w:val="0"/>
          <w:sz w:val="13"/>
        </w:rPr>
        <w:t xml:space="preserve"> </w:t>
      </w:r>
      <w:r w:rsidRPr="00632B70">
        <w:rPr>
          <w:rFonts w:ascii="Verdana" w:eastAsia="宋体" w:hAnsi="Verdana" w:cs="宋体"/>
          <w:b/>
          <w:bCs/>
          <w:kern w:val="0"/>
          <w:sz w:val="13"/>
        </w:rPr>
        <w:t>河北省教育厅</w:t>
      </w:r>
    </w:p>
    <w:p w:rsidR="00632B70" w:rsidRPr="00632B70" w:rsidRDefault="00632B70" w:rsidP="00632B70">
      <w:pPr>
        <w:widowControl/>
        <w:wordWrap w:val="0"/>
        <w:spacing w:before="100" w:beforeAutospacing="1" w:after="100" w:afterAutospacing="1"/>
        <w:jc w:val="center"/>
        <w:rPr>
          <w:rFonts w:ascii="Verdana" w:eastAsia="宋体" w:hAnsi="Verdana" w:cs="宋体"/>
          <w:kern w:val="0"/>
          <w:sz w:val="13"/>
          <w:szCs w:val="13"/>
        </w:rPr>
      </w:pPr>
      <w:r w:rsidRPr="00632B70">
        <w:rPr>
          <w:rFonts w:ascii="Verdana" w:eastAsia="宋体" w:hAnsi="Verdana" w:cs="宋体"/>
          <w:b/>
          <w:bCs/>
          <w:kern w:val="0"/>
          <w:sz w:val="13"/>
        </w:rPr>
        <w:t>关于印发《河北省支持学前教育发展资金管理办法》的通知</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各市（含定州、辛集市）、省财政直管县财政局、教育局，雄安新区管委会，省直有关部门：</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为规范和加强中央和省级财政支持学前教育发展资金管理，提高资金使用效益，扩大学前教育资源，提高幼儿资助水平，根据《中华人民共和国预算法》《财政部</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教育部关于印发</w:t>
      </w:r>
      <w:r w:rsidRPr="00632B70">
        <w:rPr>
          <w:rFonts w:ascii="Verdana" w:eastAsia="宋体" w:hAnsi="Verdana" w:cs="宋体"/>
          <w:kern w:val="0"/>
          <w:sz w:val="13"/>
          <w:szCs w:val="13"/>
        </w:rPr>
        <w:t>&lt;</w:t>
      </w:r>
      <w:r w:rsidRPr="00632B70">
        <w:rPr>
          <w:rFonts w:ascii="Verdana" w:eastAsia="宋体" w:hAnsi="Verdana" w:cs="宋体"/>
          <w:kern w:val="0"/>
          <w:sz w:val="13"/>
          <w:szCs w:val="13"/>
        </w:rPr>
        <w:t>支持学前教育发展资金管理办法</w:t>
      </w:r>
      <w:r w:rsidRPr="00632B70">
        <w:rPr>
          <w:rFonts w:ascii="Verdana" w:eastAsia="宋体" w:hAnsi="Verdana" w:cs="宋体"/>
          <w:kern w:val="0"/>
          <w:sz w:val="13"/>
          <w:szCs w:val="13"/>
        </w:rPr>
        <w:t>&gt;</w:t>
      </w:r>
      <w:r w:rsidRPr="00632B70">
        <w:rPr>
          <w:rFonts w:ascii="Verdana" w:eastAsia="宋体" w:hAnsi="Verdana" w:cs="宋体"/>
          <w:kern w:val="0"/>
          <w:sz w:val="13"/>
          <w:szCs w:val="13"/>
        </w:rPr>
        <w:t>的通知》（财教〔</w:t>
      </w:r>
      <w:r w:rsidRPr="00632B70">
        <w:rPr>
          <w:rFonts w:ascii="Verdana" w:eastAsia="宋体" w:hAnsi="Verdana" w:cs="宋体"/>
          <w:kern w:val="0"/>
          <w:sz w:val="13"/>
          <w:szCs w:val="13"/>
        </w:rPr>
        <w:t>2019</w:t>
      </w:r>
      <w:r w:rsidRPr="00632B70">
        <w:rPr>
          <w:rFonts w:ascii="Verdana" w:eastAsia="宋体" w:hAnsi="Verdana" w:cs="宋体"/>
          <w:kern w:val="0"/>
          <w:sz w:val="13"/>
          <w:szCs w:val="13"/>
        </w:rPr>
        <w:t>〕</w:t>
      </w:r>
      <w:r w:rsidRPr="00632B70">
        <w:rPr>
          <w:rFonts w:ascii="Verdana" w:eastAsia="宋体" w:hAnsi="Verdana" w:cs="宋体"/>
          <w:kern w:val="0"/>
          <w:sz w:val="13"/>
          <w:szCs w:val="13"/>
        </w:rPr>
        <w:t>256</w:t>
      </w:r>
      <w:r w:rsidRPr="00632B70">
        <w:rPr>
          <w:rFonts w:ascii="Verdana" w:eastAsia="宋体" w:hAnsi="Verdana" w:cs="宋体"/>
          <w:kern w:val="0"/>
          <w:sz w:val="13"/>
          <w:szCs w:val="13"/>
        </w:rPr>
        <w:t>号）等规定，结合我省情况，制定《河北省支持学前教育发展资金管理办法》，现予印发，请遵照执行。</w:t>
      </w:r>
    </w:p>
    <w:p w:rsidR="00632B70" w:rsidRPr="00632B70" w:rsidRDefault="00632B70" w:rsidP="00632B70">
      <w:pPr>
        <w:widowControl/>
        <w:jc w:val="left"/>
        <w:rPr>
          <w:rFonts w:ascii="Verdana" w:eastAsia="宋体" w:hAnsi="Verdana" w:cs="宋体"/>
          <w:kern w:val="0"/>
          <w:sz w:val="13"/>
          <w:szCs w:val="13"/>
        </w:rPr>
      </w:pPr>
      <w:r w:rsidRPr="00632B70">
        <w:rPr>
          <w:rFonts w:ascii="Verdana" w:eastAsia="宋体" w:hAnsi="Verdana" w:cs="宋体"/>
          <w:kern w:val="0"/>
          <w:sz w:val="13"/>
          <w:szCs w:val="13"/>
        </w:rPr>
        <w:t xml:space="preserve">  </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w:t>
      </w:r>
    </w:p>
    <w:p w:rsidR="00632B70" w:rsidRPr="00632B70" w:rsidRDefault="00632B70" w:rsidP="00632B70">
      <w:pPr>
        <w:widowControl/>
        <w:wordWrap w:val="0"/>
        <w:spacing w:before="100" w:beforeAutospacing="1" w:after="100" w:afterAutospacing="1"/>
        <w:jc w:val="right"/>
        <w:rPr>
          <w:rFonts w:ascii="Verdana" w:eastAsia="宋体" w:hAnsi="Verdana" w:cs="宋体"/>
          <w:kern w:val="0"/>
          <w:sz w:val="13"/>
          <w:szCs w:val="13"/>
        </w:rPr>
      </w:pPr>
      <w:r w:rsidRPr="00632B70">
        <w:rPr>
          <w:rFonts w:ascii="Verdana" w:eastAsia="宋体" w:hAnsi="Verdana" w:cs="宋体"/>
          <w:kern w:val="0"/>
          <w:sz w:val="13"/>
          <w:szCs w:val="13"/>
        </w:rPr>
        <w:t xml:space="preserve">　　河北省财政厅</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河北省教育厅</w:t>
      </w:r>
    </w:p>
    <w:p w:rsidR="00632B70" w:rsidRPr="00632B70" w:rsidRDefault="00632B70" w:rsidP="00632B70">
      <w:pPr>
        <w:widowControl/>
        <w:wordWrap w:val="0"/>
        <w:spacing w:before="100" w:beforeAutospacing="1" w:after="100" w:afterAutospacing="1"/>
        <w:jc w:val="right"/>
        <w:rPr>
          <w:rFonts w:ascii="Verdana" w:eastAsia="宋体" w:hAnsi="Verdana" w:cs="宋体"/>
          <w:kern w:val="0"/>
          <w:sz w:val="13"/>
          <w:szCs w:val="13"/>
        </w:rPr>
      </w:pP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2020</w:t>
      </w:r>
      <w:r w:rsidRPr="00632B70">
        <w:rPr>
          <w:rFonts w:ascii="Verdana" w:eastAsia="宋体" w:hAnsi="Verdana" w:cs="宋体"/>
          <w:kern w:val="0"/>
          <w:sz w:val="13"/>
          <w:szCs w:val="13"/>
        </w:rPr>
        <w:t>年</w:t>
      </w:r>
      <w:r w:rsidRPr="00632B70">
        <w:rPr>
          <w:rFonts w:ascii="Verdana" w:eastAsia="宋体" w:hAnsi="Verdana" w:cs="宋体"/>
          <w:kern w:val="0"/>
          <w:sz w:val="13"/>
          <w:szCs w:val="13"/>
        </w:rPr>
        <w:t>4</w:t>
      </w:r>
      <w:r w:rsidRPr="00632B70">
        <w:rPr>
          <w:rFonts w:ascii="Verdana" w:eastAsia="宋体" w:hAnsi="Verdana" w:cs="宋体"/>
          <w:kern w:val="0"/>
          <w:sz w:val="13"/>
          <w:szCs w:val="13"/>
        </w:rPr>
        <w:t>月</w:t>
      </w:r>
      <w:r w:rsidRPr="00632B70">
        <w:rPr>
          <w:rFonts w:ascii="Verdana" w:eastAsia="宋体" w:hAnsi="Verdana" w:cs="宋体"/>
          <w:kern w:val="0"/>
          <w:sz w:val="13"/>
          <w:szCs w:val="13"/>
        </w:rPr>
        <w:t>23</w:t>
      </w:r>
      <w:r w:rsidRPr="00632B70">
        <w:rPr>
          <w:rFonts w:ascii="Verdana" w:eastAsia="宋体" w:hAnsi="Verdana" w:cs="宋体"/>
          <w:kern w:val="0"/>
          <w:sz w:val="13"/>
          <w:szCs w:val="13"/>
        </w:rPr>
        <w:t>日</w:t>
      </w:r>
    </w:p>
    <w:p w:rsidR="00632B70" w:rsidRPr="00632B70" w:rsidRDefault="00632B70" w:rsidP="00632B70">
      <w:pPr>
        <w:widowControl/>
        <w:jc w:val="left"/>
        <w:rPr>
          <w:rFonts w:ascii="Verdana" w:eastAsia="宋体" w:hAnsi="Verdana" w:cs="宋体"/>
          <w:kern w:val="0"/>
          <w:sz w:val="13"/>
          <w:szCs w:val="13"/>
        </w:rPr>
      </w:pPr>
      <w:r w:rsidRPr="00632B70">
        <w:rPr>
          <w:rFonts w:ascii="Verdana" w:eastAsia="宋体" w:hAnsi="Verdana" w:cs="宋体"/>
          <w:kern w:val="0"/>
          <w:sz w:val="13"/>
          <w:szCs w:val="13"/>
        </w:rPr>
        <w:t xml:space="preserve">  </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w:t>
      </w:r>
    </w:p>
    <w:p w:rsidR="00632B70" w:rsidRPr="00632B70" w:rsidRDefault="00632B70" w:rsidP="00632B70">
      <w:pPr>
        <w:widowControl/>
        <w:wordWrap w:val="0"/>
        <w:spacing w:before="100" w:beforeAutospacing="1" w:after="100" w:afterAutospacing="1"/>
        <w:jc w:val="center"/>
        <w:rPr>
          <w:rFonts w:ascii="Verdana" w:eastAsia="宋体" w:hAnsi="Verdana" w:cs="宋体"/>
          <w:kern w:val="0"/>
          <w:sz w:val="13"/>
          <w:szCs w:val="13"/>
        </w:rPr>
      </w:pPr>
      <w:r w:rsidRPr="00632B70">
        <w:rPr>
          <w:rFonts w:ascii="Verdana" w:eastAsia="宋体" w:hAnsi="Verdana" w:cs="宋体"/>
          <w:kern w:val="0"/>
          <w:sz w:val="13"/>
          <w:szCs w:val="13"/>
        </w:rPr>
        <w:t>河北省支持学前教育发展资金管理办法</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第一章</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总</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则</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第一条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为规范和加强中央和省级财政支持学前教育发展资金（以下简称学前教育发展资金）管理，提高资金使用效益，根据《中华人民共和国预算法》《财政部</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教育部关于印发</w:t>
      </w:r>
      <w:r w:rsidRPr="00632B70">
        <w:rPr>
          <w:rFonts w:ascii="Verdana" w:eastAsia="宋体" w:hAnsi="Verdana" w:cs="宋体"/>
          <w:kern w:val="0"/>
          <w:sz w:val="13"/>
          <w:szCs w:val="13"/>
        </w:rPr>
        <w:t>&lt;</w:t>
      </w:r>
      <w:r w:rsidRPr="00632B70">
        <w:rPr>
          <w:rFonts w:ascii="Verdana" w:eastAsia="宋体" w:hAnsi="Verdana" w:cs="宋体"/>
          <w:kern w:val="0"/>
          <w:sz w:val="13"/>
          <w:szCs w:val="13"/>
        </w:rPr>
        <w:t>支持学前教育发展资金管理办法</w:t>
      </w:r>
      <w:r w:rsidRPr="00632B70">
        <w:rPr>
          <w:rFonts w:ascii="Verdana" w:eastAsia="宋体" w:hAnsi="Verdana" w:cs="宋体"/>
          <w:kern w:val="0"/>
          <w:sz w:val="13"/>
          <w:szCs w:val="13"/>
        </w:rPr>
        <w:t>&gt;</w:t>
      </w:r>
      <w:r w:rsidRPr="00632B70">
        <w:rPr>
          <w:rFonts w:ascii="Verdana" w:eastAsia="宋体" w:hAnsi="Verdana" w:cs="宋体"/>
          <w:kern w:val="0"/>
          <w:sz w:val="13"/>
          <w:szCs w:val="13"/>
        </w:rPr>
        <w:t>的通知》（财教〔</w:t>
      </w:r>
      <w:r w:rsidRPr="00632B70">
        <w:rPr>
          <w:rFonts w:ascii="Verdana" w:eastAsia="宋体" w:hAnsi="Verdana" w:cs="宋体"/>
          <w:kern w:val="0"/>
          <w:sz w:val="13"/>
          <w:szCs w:val="13"/>
        </w:rPr>
        <w:t>2019</w:t>
      </w:r>
      <w:r w:rsidRPr="00632B70">
        <w:rPr>
          <w:rFonts w:ascii="Verdana" w:eastAsia="宋体" w:hAnsi="Verdana" w:cs="宋体"/>
          <w:kern w:val="0"/>
          <w:sz w:val="13"/>
          <w:szCs w:val="13"/>
        </w:rPr>
        <w:t>〕</w:t>
      </w:r>
      <w:r w:rsidRPr="00632B70">
        <w:rPr>
          <w:rFonts w:ascii="Verdana" w:eastAsia="宋体" w:hAnsi="Verdana" w:cs="宋体"/>
          <w:kern w:val="0"/>
          <w:sz w:val="13"/>
          <w:szCs w:val="13"/>
        </w:rPr>
        <w:t>256</w:t>
      </w:r>
      <w:r w:rsidRPr="00632B70">
        <w:rPr>
          <w:rFonts w:ascii="Verdana" w:eastAsia="宋体" w:hAnsi="Verdana" w:cs="宋体"/>
          <w:kern w:val="0"/>
          <w:sz w:val="13"/>
          <w:szCs w:val="13"/>
        </w:rPr>
        <w:t>号）等规定，制定本办法。</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第二条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本办法所称学前教育发展资金，是指中央财政和省级财政用于支持学前教育发展的转移支付资金。实施期限根据教育领域财政事权和支出责任划分、学前教育改革发展政策等制定。</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第三条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学前教育发展资金由省财政厅会同省教育厅管理。省教育厅负责指导市县编制学前教育规划；审核相关申报材料和数据，提供资金测算所需的基础数据，审核市县提出的区域绩效目标并提出资金需求测算方案，提出预算安排意见。省财政厅根据中央专项资金管理办法和我省相关规定，结合本省实际，按照省委省政府相关工作决策，会同省教育厅研究确定资金预算，并按规定批复下达资金。</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第四条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学前教育发展资金分配使用和管理遵循</w:t>
      </w:r>
      <w:r w:rsidRPr="00632B70">
        <w:rPr>
          <w:rFonts w:ascii="Verdana" w:eastAsia="宋体" w:hAnsi="Verdana" w:cs="宋体"/>
          <w:kern w:val="0"/>
          <w:sz w:val="13"/>
          <w:szCs w:val="13"/>
        </w:rPr>
        <w:t>“</w:t>
      </w:r>
      <w:r w:rsidRPr="00632B70">
        <w:rPr>
          <w:rFonts w:ascii="Verdana" w:eastAsia="宋体" w:hAnsi="Verdana" w:cs="宋体"/>
          <w:kern w:val="0"/>
          <w:sz w:val="13"/>
          <w:szCs w:val="13"/>
        </w:rPr>
        <w:t>突出重点，注重绩效，奖补引导，市县为主</w:t>
      </w:r>
      <w:r w:rsidRPr="00632B70">
        <w:rPr>
          <w:rFonts w:ascii="Verdana" w:eastAsia="宋体" w:hAnsi="Verdana" w:cs="宋体"/>
          <w:kern w:val="0"/>
          <w:sz w:val="13"/>
          <w:szCs w:val="13"/>
        </w:rPr>
        <w:t>”</w:t>
      </w:r>
      <w:r w:rsidRPr="00632B70">
        <w:rPr>
          <w:rFonts w:ascii="Verdana" w:eastAsia="宋体" w:hAnsi="Verdana" w:cs="宋体"/>
          <w:kern w:val="0"/>
          <w:sz w:val="13"/>
          <w:szCs w:val="13"/>
        </w:rPr>
        <w:t>的原则。</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第二章</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资金使用范围和内容</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第五条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学前教育发展资金重点支持内容：</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一）坚持公益普惠基本方向，支持市县公办民办并举、多种形式扩大普惠性学前教育资源。支持农村地区、脱贫攻坚地区、城乡结合部和两孩政策新增人口集中地区，通过新建、改扩建幼儿园、改善办园条件；支持市县采取政府购买服务等多种形式扶持普惠性民办幼儿园发展，扩大学前教育资源，增加普惠性幼儿园学位，提高适龄儿童入园率；支持老旧城区、棚户区改造和新城区、城镇小区建设按需要配建公办园和普惠性民办园；支持农民工随迁子女在流入地接受学前教育等。资金重点向贫困地区、革命老区、民族地区和农村地区倾斜。</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（二）支持市县深化体制机制改革。支持市县建立健全</w:t>
      </w:r>
      <w:r w:rsidRPr="00632B70">
        <w:rPr>
          <w:rFonts w:ascii="Verdana" w:eastAsia="宋体" w:hAnsi="Verdana" w:cs="宋体"/>
          <w:kern w:val="0"/>
          <w:sz w:val="13"/>
          <w:szCs w:val="13"/>
        </w:rPr>
        <w:t>“</w:t>
      </w:r>
      <w:r w:rsidRPr="00632B70">
        <w:rPr>
          <w:rFonts w:ascii="Verdana" w:eastAsia="宋体" w:hAnsi="Verdana" w:cs="宋体"/>
          <w:kern w:val="0"/>
          <w:sz w:val="13"/>
          <w:szCs w:val="13"/>
        </w:rPr>
        <w:t>市县统筹、以县（区）为主</w:t>
      </w:r>
      <w:r w:rsidRPr="00632B70">
        <w:rPr>
          <w:rFonts w:ascii="Verdana" w:eastAsia="宋体" w:hAnsi="Verdana" w:cs="宋体"/>
          <w:kern w:val="0"/>
          <w:sz w:val="13"/>
          <w:szCs w:val="13"/>
        </w:rPr>
        <w:t>”</w:t>
      </w:r>
      <w:r w:rsidRPr="00632B70">
        <w:rPr>
          <w:rFonts w:ascii="Verdana" w:eastAsia="宋体" w:hAnsi="Verdana" w:cs="宋体"/>
          <w:kern w:val="0"/>
          <w:sz w:val="13"/>
          <w:szCs w:val="13"/>
        </w:rPr>
        <w:t>的学前教育管理机制，推动理顺机关、企事业单位、街道集体幼儿园办园体制，实行属地化管理，面向社会提供普惠性服务；支持市县健全学前教育成本分担机制，制定公办幼儿园生均拨款标准（或生均公用经费标准）和普惠性民办幼儿园补助标准，建立动态调整机制。我省幼儿园生均公用经费财政拨款标准为每生每年</w:t>
      </w:r>
      <w:r w:rsidRPr="00632B70">
        <w:rPr>
          <w:rFonts w:ascii="Verdana" w:eastAsia="宋体" w:hAnsi="Verdana" w:cs="宋体"/>
          <w:kern w:val="0"/>
          <w:sz w:val="13"/>
          <w:szCs w:val="13"/>
        </w:rPr>
        <w:t>400</w:t>
      </w:r>
      <w:r w:rsidRPr="00632B70">
        <w:rPr>
          <w:rFonts w:ascii="Verdana" w:eastAsia="宋体" w:hAnsi="Verdana" w:cs="宋体"/>
          <w:kern w:val="0"/>
          <w:sz w:val="13"/>
          <w:szCs w:val="13"/>
        </w:rPr>
        <w:t>元。省财政根据各地生均公用经费标准、支持普惠性民办园发展等政策落实情况，按照省定生均标准</w:t>
      </w:r>
      <w:r w:rsidRPr="00632B70">
        <w:rPr>
          <w:rFonts w:ascii="Verdana" w:eastAsia="宋体" w:hAnsi="Verdana" w:cs="宋体"/>
          <w:kern w:val="0"/>
          <w:sz w:val="13"/>
          <w:szCs w:val="13"/>
        </w:rPr>
        <w:t>30%</w:t>
      </w:r>
      <w:r w:rsidRPr="00632B70">
        <w:rPr>
          <w:rFonts w:ascii="Verdana" w:eastAsia="宋体" w:hAnsi="Verdana" w:cs="宋体"/>
          <w:kern w:val="0"/>
          <w:sz w:val="13"/>
          <w:szCs w:val="13"/>
        </w:rPr>
        <w:t>的比例对各县给予奖补。</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（三）支持市县健全幼儿资助制度。支持市县资助普惠性幼儿园家庭经济困难幼儿、孤儿和残疾儿童接受学前教育，确保建档立卡等家庭经济困难幼儿优先获得资助。</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w:t>
      </w:r>
      <w:r w:rsidRPr="00632B70">
        <w:rPr>
          <w:rFonts w:ascii="Verdana" w:eastAsia="宋体" w:hAnsi="Verdana" w:cs="宋体"/>
          <w:kern w:val="0"/>
          <w:sz w:val="13"/>
          <w:szCs w:val="13"/>
        </w:rPr>
        <w:t>幼儿资助</w:t>
      </w:r>
      <w:r w:rsidRPr="00632B70">
        <w:rPr>
          <w:rFonts w:ascii="Verdana" w:eastAsia="宋体" w:hAnsi="Verdana" w:cs="宋体"/>
          <w:kern w:val="0"/>
          <w:sz w:val="13"/>
          <w:szCs w:val="13"/>
        </w:rPr>
        <w:t>”</w:t>
      </w:r>
      <w:r w:rsidRPr="00632B70">
        <w:rPr>
          <w:rFonts w:ascii="Verdana" w:eastAsia="宋体" w:hAnsi="Verdana" w:cs="宋体"/>
          <w:kern w:val="0"/>
          <w:sz w:val="13"/>
          <w:szCs w:val="13"/>
        </w:rPr>
        <w:t>类项目资金资助对象为经县级及以上教育行政部门审批设立的公办（含公办性质）幼儿园和普惠性民办幼儿园在园的家庭经济困难儿童。优先资助具备以下条件之一的家庭经济困难儿童：</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1.</w:t>
      </w:r>
      <w:r w:rsidRPr="00632B70">
        <w:rPr>
          <w:rFonts w:ascii="Verdana" w:eastAsia="宋体" w:hAnsi="Verdana" w:cs="宋体"/>
          <w:kern w:val="0"/>
          <w:sz w:val="13"/>
          <w:szCs w:val="13"/>
        </w:rPr>
        <w:t>建档立卡家庭经济困难子女；</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2.</w:t>
      </w:r>
      <w:r w:rsidRPr="00632B70">
        <w:rPr>
          <w:rFonts w:ascii="Verdana" w:eastAsia="宋体" w:hAnsi="Verdana" w:cs="宋体"/>
          <w:kern w:val="0"/>
          <w:sz w:val="13"/>
          <w:szCs w:val="13"/>
        </w:rPr>
        <w:t>孤儿、烈士子女、城乡低保家庭子女和农村特困救助供养的家庭子女；</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3.</w:t>
      </w:r>
      <w:r w:rsidRPr="00632B70">
        <w:rPr>
          <w:rFonts w:ascii="Verdana" w:eastAsia="宋体" w:hAnsi="Verdana" w:cs="宋体"/>
          <w:kern w:val="0"/>
          <w:sz w:val="13"/>
          <w:szCs w:val="13"/>
        </w:rPr>
        <w:t>父母一方死亡、离异的单亲贫困家庭子女；</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4.</w:t>
      </w:r>
      <w:r w:rsidRPr="00632B70">
        <w:rPr>
          <w:rFonts w:ascii="Verdana" w:eastAsia="宋体" w:hAnsi="Verdana" w:cs="宋体"/>
          <w:kern w:val="0"/>
          <w:sz w:val="13"/>
          <w:szCs w:val="13"/>
        </w:rPr>
        <w:t>因受灾、疾病等原因导致家庭经济困难的儿童；</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5.</w:t>
      </w:r>
      <w:r w:rsidRPr="00632B70">
        <w:rPr>
          <w:rFonts w:ascii="Verdana" w:eastAsia="宋体" w:hAnsi="Verdana" w:cs="宋体"/>
          <w:kern w:val="0"/>
          <w:sz w:val="13"/>
          <w:szCs w:val="13"/>
        </w:rPr>
        <w:t>符合入园条件的家庭经济困难残疾儿童。</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各县（市、区）有关幼儿园要根据上述条件科学、合理界定资助对象，切实发挥资助资金效益。</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上述政策到期后，根据中央、省委省政府有关决策部署和学前教育改革发展新形势等情况</w:t>
      </w:r>
      <w:r w:rsidRPr="00632B70">
        <w:rPr>
          <w:rFonts w:ascii="Verdana" w:eastAsia="宋体" w:hAnsi="Verdana" w:cs="宋体"/>
          <w:kern w:val="0"/>
          <w:sz w:val="13"/>
          <w:szCs w:val="13"/>
        </w:rPr>
        <w:t>,</w:t>
      </w:r>
      <w:r w:rsidRPr="00632B70">
        <w:rPr>
          <w:rFonts w:ascii="Verdana" w:eastAsia="宋体" w:hAnsi="Verdana" w:cs="宋体"/>
          <w:kern w:val="0"/>
          <w:sz w:val="13"/>
          <w:szCs w:val="13"/>
        </w:rPr>
        <w:t>适时按程序调整支持学前教育发展资金支持方向。</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第六条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学前教育发展资金严禁用于偿还债务；严禁用于平衡预算。用于政府购买学前教育服务资金，要严格按照《中华人民共和国政府采购法》、《国务院办公厅关于政府向社会力量购买服务的指导意见》（国办发〔</w:t>
      </w:r>
      <w:r w:rsidRPr="00632B70">
        <w:rPr>
          <w:rFonts w:ascii="Verdana" w:eastAsia="宋体" w:hAnsi="Verdana" w:cs="宋体"/>
          <w:kern w:val="0"/>
          <w:sz w:val="13"/>
          <w:szCs w:val="13"/>
        </w:rPr>
        <w:t>2013</w:t>
      </w:r>
      <w:r w:rsidRPr="00632B70">
        <w:rPr>
          <w:rFonts w:ascii="Verdana" w:eastAsia="宋体" w:hAnsi="Verdana" w:cs="宋体"/>
          <w:kern w:val="0"/>
          <w:sz w:val="13"/>
          <w:szCs w:val="13"/>
        </w:rPr>
        <w:t>〕</w:t>
      </w:r>
      <w:r w:rsidRPr="00632B70">
        <w:rPr>
          <w:rFonts w:ascii="Verdana" w:eastAsia="宋体" w:hAnsi="Verdana" w:cs="宋体"/>
          <w:kern w:val="0"/>
          <w:sz w:val="13"/>
          <w:szCs w:val="13"/>
        </w:rPr>
        <w:t>96</w:t>
      </w:r>
      <w:r w:rsidRPr="00632B70">
        <w:rPr>
          <w:rFonts w:ascii="Verdana" w:eastAsia="宋体" w:hAnsi="Verdana" w:cs="宋体"/>
          <w:kern w:val="0"/>
          <w:sz w:val="13"/>
          <w:szCs w:val="13"/>
        </w:rPr>
        <w:t>号）和《关于坚决制止地方以政府购买服务名义违法违规融资的通知》</w:t>
      </w:r>
      <w:r w:rsidRPr="00632B70">
        <w:rPr>
          <w:rFonts w:ascii="Verdana" w:eastAsia="宋体" w:hAnsi="Verdana" w:cs="宋体"/>
          <w:kern w:val="0"/>
          <w:sz w:val="13"/>
          <w:szCs w:val="13"/>
        </w:rPr>
        <w:t>(</w:t>
      </w:r>
      <w:r w:rsidRPr="00632B70">
        <w:rPr>
          <w:rFonts w:ascii="Verdana" w:eastAsia="宋体" w:hAnsi="Verdana" w:cs="宋体"/>
          <w:kern w:val="0"/>
          <w:sz w:val="13"/>
          <w:szCs w:val="13"/>
        </w:rPr>
        <w:t>财预〔</w:t>
      </w:r>
      <w:r w:rsidRPr="00632B70">
        <w:rPr>
          <w:rFonts w:ascii="Verdana" w:eastAsia="宋体" w:hAnsi="Verdana" w:cs="宋体"/>
          <w:kern w:val="0"/>
          <w:sz w:val="13"/>
          <w:szCs w:val="13"/>
        </w:rPr>
        <w:t>2017</w:t>
      </w:r>
      <w:r w:rsidRPr="00632B70">
        <w:rPr>
          <w:rFonts w:ascii="Verdana" w:eastAsia="宋体" w:hAnsi="Verdana" w:cs="宋体"/>
          <w:kern w:val="0"/>
          <w:sz w:val="13"/>
          <w:szCs w:val="13"/>
        </w:rPr>
        <w:t>〕</w:t>
      </w:r>
      <w:r w:rsidRPr="00632B70">
        <w:rPr>
          <w:rFonts w:ascii="Verdana" w:eastAsia="宋体" w:hAnsi="Verdana" w:cs="宋体"/>
          <w:kern w:val="0"/>
          <w:sz w:val="13"/>
          <w:szCs w:val="13"/>
        </w:rPr>
        <w:t>87</w:t>
      </w:r>
      <w:r w:rsidRPr="00632B70">
        <w:rPr>
          <w:rFonts w:ascii="Verdana" w:eastAsia="宋体" w:hAnsi="Verdana" w:cs="宋体"/>
          <w:kern w:val="0"/>
          <w:sz w:val="13"/>
          <w:szCs w:val="13"/>
        </w:rPr>
        <w:t>号</w:t>
      </w:r>
      <w:r w:rsidRPr="00632B70">
        <w:rPr>
          <w:rFonts w:ascii="Verdana" w:eastAsia="宋体" w:hAnsi="Verdana" w:cs="宋体"/>
          <w:kern w:val="0"/>
          <w:sz w:val="13"/>
          <w:szCs w:val="13"/>
        </w:rPr>
        <w:t>)</w:t>
      </w:r>
      <w:r w:rsidRPr="00632B70">
        <w:rPr>
          <w:rFonts w:ascii="Verdana" w:eastAsia="宋体" w:hAnsi="Verdana" w:cs="宋体"/>
          <w:kern w:val="0"/>
          <w:sz w:val="13"/>
          <w:szCs w:val="13"/>
        </w:rPr>
        <w:t>文件的要求，严禁将教育领域的基础设施建设，作为政府购买服务项目；严禁将建设工程与服务打包作为政府购买服务项目；严禁将金融机构、融资租赁公司等非金融机构提供的融资行为纳入政府购买服务范围。政府建设工程项目确需使用财政资金，应当依照《中华人民共和国政府采购法》及其实施条例、《中华人民共和国招标投标法》规范实施。</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第三章</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资金分配方式</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第七条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省财政厅和省教育厅根据中央财政补助额度、省级财政资金总量和学前教育改革发展工作需要，采取因素法分配下达。主要是根据学前教育基本情况，统筹考虑城乡差异，按照因素法分配到各市县，由各市县财政和教育部门根据本地实际和学前教育发展规划，统筹各类资金、科学分配、合理使用。学前教育发展资金分配因素包括基础因素、投入因素、管理创新三类，具体占比为：</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基础因素（</w:t>
      </w:r>
      <w:r w:rsidRPr="00632B70">
        <w:rPr>
          <w:rFonts w:ascii="Verdana" w:eastAsia="宋体" w:hAnsi="Verdana" w:cs="宋体"/>
          <w:kern w:val="0"/>
          <w:sz w:val="13"/>
          <w:szCs w:val="13"/>
        </w:rPr>
        <w:t>60%</w:t>
      </w:r>
      <w:r w:rsidRPr="00632B70">
        <w:rPr>
          <w:rFonts w:ascii="Verdana" w:eastAsia="宋体" w:hAnsi="Verdana" w:cs="宋体"/>
          <w:kern w:val="0"/>
          <w:sz w:val="13"/>
          <w:szCs w:val="13"/>
        </w:rPr>
        <w:t>）主要包括在园幼儿数、普惠性幼儿园覆盖率（公办幼儿园和普惠性民办幼儿园在园幼儿数占在园幼儿总数的比例）、人均可用财力、贫困发生率、建档立卡等家庭经济困难幼儿数、深度贫困县数、深度贫困村数、专任教师数等子因素。各子因素数据根据相关统计数据或申报材料获得。</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投入因素（</w:t>
      </w:r>
      <w:r w:rsidRPr="00632B70">
        <w:rPr>
          <w:rFonts w:ascii="Verdana" w:eastAsia="宋体" w:hAnsi="Verdana" w:cs="宋体"/>
          <w:kern w:val="0"/>
          <w:sz w:val="13"/>
          <w:szCs w:val="13"/>
        </w:rPr>
        <w:t>20%</w:t>
      </w:r>
      <w:r w:rsidRPr="00632B70">
        <w:rPr>
          <w:rFonts w:ascii="Verdana" w:eastAsia="宋体" w:hAnsi="Verdana" w:cs="宋体"/>
          <w:kern w:val="0"/>
          <w:sz w:val="13"/>
          <w:szCs w:val="13"/>
        </w:rPr>
        <w:t>）主要包括生均一般公共预算学前教育支出及增长率、市县幼儿资助财政投入情况、社会力量投入（主要是民办学校举办者投入、社会捐赠等）总量等子因素。各子因素数据根据相关教育经费统计数据获得。</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管理创新因素（</w:t>
      </w:r>
      <w:r w:rsidRPr="00632B70">
        <w:rPr>
          <w:rFonts w:ascii="Verdana" w:eastAsia="宋体" w:hAnsi="Verdana" w:cs="宋体"/>
          <w:kern w:val="0"/>
          <w:sz w:val="13"/>
          <w:szCs w:val="13"/>
        </w:rPr>
        <w:t>20%</w:t>
      </w:r>
      <w:r w:rsidRPr="00632B70">
        <w:rPr>
          <w:rFonts w:ascii="Verdana" w:eastAsia="宋体" w:hAnsi="Verdana" w:cs="宋体"/>
          <w:kern w:val="0"/>
          <w:sz w:val="13"/>
          <w:szCs w:val="13"/>
        </w:rPr>
        <w:t>）主要根据市县深化学前教育体制机制改革、出台小区配建幼儿园建设及管理办法、普惠性民办幼儿园认定标准、完善教师补充机制情况、幼儿资助制度建立健全情况、建立公办幼儿园生均拨款标准或生均公用经费标准、加强资金使用管理、工作总结材料报送和绩效评价结果等情况综合核定。</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计算公式为：</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某市县学前教育发展资金＝（该市县基础因素／</w:t>
      </w:r>
      <w:r w:rsidRPr="00632B70">
        <w:rPr>
          <w:rFonts w:ascii="Verdana" w:eastAsia="宋体" w:hAnsi="Verdana" w:cs="宋体"/>
          <w:kern w:val="0"/>
          <w:sz w:val="13"/>
          <w:szCs w:val="13"/>
        </w:rPr>
        <w:t>∑</w:t>
      </w:r>
      <w:r w:rsidRPr="00632B70">
        <w:rPr>
          <w:rFonts w:ascii="Verdana" w:eastAsia="宋体" w:hAnsi="Verdana" w:cs="宋体"/>
          <w:kern w:val="0"/>
          <w:sz w:val="13"/>
          <w:szCs w:val="13"/>
        </w:rPr>
        <w:t>有关市县基础因素</w:t>
      </w:r>
      <w:r w:rsidRPr="00632B70">
        <w:rPr>
          <w:rFonts w:ascii="Verdana" w:eastAsia="宋体" w:hAnsi="Verdana" w:cs="宋体"/>
          <w:kern w:val="0"/>
          <w:sz w:val="13"/>
          <w:szCs w:val="13"/>
        </w:rPr>
        <w:t>×</w:t>
      </w:r>
      <w:r w:rsidRPr="00632B70">
        <w:rPr>
          <w:rFonts w:ascii="Verdana" w:eastAsia="宋体" w:hAnsi="Verdana" w:cs="宋体"/>
          <w:kern w:val="0"/>
          <w:sz w:val="13"/>
          <w:szCs w:val="13"/>
        </w:rPr>
        <w:t>权重</w:t>
      </w:r>
      <w:r w:rsidRPr="00632B70">
        <w:rPr>
          <w:rFonts w:ascii="Verdana" w:eastAsia="宋体" w:hAnsi="Verdana" w:cs="宋体"/>
          <w:kern w:val="0"/>
          <w:sz w:val="13"/>
          <w:szCs w:val="13"/>
        </w:rPr>
        <w:t>+</w:t>
      </w:r>
      <w:r w:rsidRPr="00632B70">
        <w:rPr>
          <w:rFonts w:ascii="Verdana" w:eastAsia="宋体" w:hAnsi="Verdana" w:cs="宋体"/>
          <w:kern w:val="0"/>
          <w:sz w:val="13"/>
          <w:szCs w:val="13"/>
        </w:rPr>
        <w:t>该市县投入因素／</w:t>
      </w:r>
      <w:r w:rsidRPr="00632B70">
        <w:rPr>
          <w:rFonts w:ascii="Verdana" w:eastAsia="宋体" w:hAnsi="Verdana" w:cs="宋体"/>
          <w:kern w:val="0"/>
          <w:sz w:val="13"/>
          <w:szCs w:val="13"/>
        </w:rPr>
        <w:t>∑</w:t>
      </w:r>
      <w:r w:rsidRPr="00632B70">
        <w:rPr>
          <w:rFonts w:ascii="Verdana" w:eastAsia="宋体" w:hAnsi="Verdana" w:cs="宋体"/>
          <w:kern w:val="0"/>
          <w:sz w:val="13"/>
          <w:szCs w:val="13"/>
        </w:rPr>
        <w:t>有关市县投入因素</w:t>
      </w:r>
      <w:r w:rsidRPr="00632B70">
        <w:rPr>
          <w:rFonts w:ascii="Verdana" w:eastAsia="宋体" w:hAnsi="Verdana" w:cs="宋体"/>
          <w:kern w:val="0"/>
          <w:sz w:val="13"/>
          <w:szCs w:val="13"/>
        </w:rPr>
        <w:t>×</w:t>
      </w:r>
      <w:r w:rsidRPr="00632B70">
        <w:rPr>
          <w:rFonts w:ascii="Verdana" w:eastAsia="宋体" w:hAnsi="Verdana" w:cs="宋体"/>
          <w:kern w:val="0"/>
          <w:sz w:val="13"/>
          <w:szCs w:val="13"/>
        </w:rPr>
        <w:t>权重</w:t>
      </w:r>
      <w:r w:rsidRPr="00632B70">
        <w:rPr>
          <w:rFonts w:ascii="Verdana" w:eastAsia="宋体" w:hAnsi="Verdana" w:cs="宋体"/>
          <w:kern w:val="0"/>
          <w:sz w:val="13"/>
          <w:szCs w:val="13"/>
        </w:rPr>
        <w:t>+</w:t>
      </w:r>
      <w:r w:rsidRPr="00632B70">
        <w:rPr>
          <w:rFonts w:ascii="Verdana" w:eastAsia="宋体" w:hAnsi="Verdana" w:cs="宋体"/>
          <w:kern w:val="0"/>
          <w:sz w:val="13"/>
          <w:szCs w:val="13"/>
        </w:rPr>
        <w:t>该市县管理创新因素评分／</w:t>
      </w:r>
      <w:r w:rsidRPr="00632B70">
        <w:rPr>
          <w:rFonts w:ascii="Verdana" w:eastAsia="宋体" w:hAnsi="Verdana" w:cs="宋体"/>
          <w:kern w:val="0"/>
          <w:sz w:val="13"/>
          <w:szCs w:val="13"/>
        </w:rPr>
        <w:t>∑</w:t>
      </w:r>
      <w:r w:rsidRPr="00632B70">
        <w:rPr>
          <w:rFonts w:ascii="Verdana" w:eastAsia="宋体" w:hAnsi="Verdana" w:cs="宋体"/>
          <w:kern w:val="0"/>
          <w:sz w:val="13"/>
          <w:szCs w:val="13"/>
        </w:rPr>
        <w:t>有关市县管理创新因素评分</w:t>
      </w:r>
      <w:r w:rsidRPr="00632B70">
        <w:rPr>
          <w:rFonts w:ascii="Verdana" w:eastAsia="宋体" w:hAnsi="Verdana" w:cs="宋体"/>
          <w:kern w:val="0"/>
          <w:sz w:val="13"/>
          <w:szCs w:val="13"/>
        </w:rPr>
        <w:t>×</w:t>
      </w:r>
      <w:r w:rsidRPr="00632B70">
        <w:rPr>
          <w:rFonts w:ascii="Verdana" w:eastAsia="宋体" w:hAnsi="Verdana" w:cs="宋体"/>
          <w:kern w:val="0"/>
          <w:sz w:val="13"/>
          <w:szCs w:val="13"/>
        </w:rPr>
        <w:t>权重）</w:t>
      </w:r>
      <w:r w:rsidRPr="00632B70">
        <w:rPr>
          <w:rFonts w:ascii="Verdana" w:eastAsia="宋体" w:hAnsi="Verdana" w:cs="宋体"/>
          <w:kern w:val="0"/>
          <w:sz w:val="13"/>
          <w:szCs w:val="13"/>
        </w:rPr>
        <w:t>×</w:t>
      </w:r>
      <w:r w:rsidRPr="00632B70">
        <w:rPr>
          <w:rFonts w:ascii="Verdana" w:eastAsia="宋体" w:hAnsi="Verdana" w:cs="宋体"/>
          <w:kern w:val="0"/>
          <w:sz w:val="13"/>
          <w:szCs w:val="13"/>
        </w:rPr>
        <w:t>学前教育发展资金年度预算总额</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第八条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省统筹中央和省级学前教育发展资金对市、县进行补助，中央和省级学前教育发展资金要优先保障落实建档立卡及家庭经济困难儿童资助所需资金，确保建档立卡等家庭经济困难幼儿优先获得资助。</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第九条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公办幼儿园和普惠性民办幼儿园幼儿资助比例一般为</w:t>
      </w:r>
      <w:r w:rsidRPr="00632B70">
        <w:rPr>
          <w:rFonts w:ascii="Verdana" w:eastAsia="宋体" w:hAnsi="Verdana" w:cs="宋体"/>
          <w:kern w:val="0"/>
          <w:sz w:val="13"/>
          <w:szCs w:val="13"/>
        </w:rPr>
        <w:t>10%</w:t>
      </w:r>
      <w:r w:rsidRPr="00632B70">
        <w:rPr>
          <w:rFonts w:ascii="Verdana" w:eastAsia="宋体" w:hAnsi="Verdana" w:cs="宋体"/>
          <w:kern w:val="0"/>
          <w:sz w:val="13"/>
          <w:szCs w:val="13"/>
        </w:rPr>
        <w:t>左右</w:t>
      </w:r>
      <w:r w:rsidRPr="00632B70">
        <w:rPr>
          <w:rFonts w:ascii="Verdana" w:eastAsia="宋体" w:hAnsi="Verdana" w:cs="宋体"/>
          <w:kern w:val="0"/>
          <w:sz w:val="13"/>
          <w:szCs w:val="13"/>
        </w:rPr>
        <w:t>,</w:t>
      </w:r>
      <w:r w:rsidRPr="00632B70">
        <w:rPr>
          <w:rFonts w:ascii="Verdana" w:eastAsia="宋体" w:hAnsi="Verdana" w:cs="宋体"/>
          <w:kern w:val="0"/>
          <w:sz w:val="13"/>
          <w:szCs w:val="13"/>
        </w:rPr>
        <w:t>具体资助实施范围、比例和标准，由各市县教育局、财政局根据物价水平、保育收费标准、家庭合理分担成本等情况合理确定。各市县要结合实际，在确定资助比例时适当向贫困地区、革命老区、民族地区和农村地区倾斜，确保困难儿童得到资助。</w:t>
      </w:r>
      <w:r w:rsidRPr="00632B70">
        <w:rPr>
          <w:rFonts w:ascii="Verdana" w:eastAsia="宋体" w:hAnsi="Verdana" w:cs="宋体"/>
          <w:kern w:val="0"/>
          <w:sz w:val="13"/>
          <w:szCs w:val="13"/>
        </w:rPr>
        <w:t>“</w:t>
      </w:r>
      <w:r w:rsidRPr="00632B70">
        <w:rPr>
          <w:rFonts w:ascii="Verdana" w:eastAsia="宋体" w:hAnsi="Verdana" w:cs="宋体"/>
          <w:kern w:val="0"/>
          <w:sz w:val="13"/>
          <w:szCs w:val="13"/>
        </w:rPr>
        <w:t>幼儿资助</w:t>
      </w:r>
      <w:r w:rsidRPr="00632B70">
        <w:rPr>
          <w:rFonts w:ascii="Verdana" w:eastAsia="宋体" w:hAnsi="Verdana" w:cs="宋体"/>
          <w:kern w:val="0"/>
          <w:sz w:val="13"/>
          <w:szCs w:val="13"/>
        </w:rPr>
        <w:t>”</w:t>
      </w:r>
      <w:r w:rsidRPr="00632B70">
        <w:rPr>
          <w:rFonts w:ascii="Verdana" w:eastAsia="宋体" w:hAnsi="Verdana" w:cs="宋体"/>
          <w:kern w:val="0"/>
          <w:sz w:val="13"/>
          <w:szCs w:val="13"/>
        </w:rPr>
        <w:t>具体实施细则由教育行政主管部门另行研究制定并明确资助标准。</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第四章</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资金申报和拨付</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第十条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各市县财政和教育部门应当在每年</w:t>
      </w:r>
      <w:r w:rsidRPr="00632B70">
        <w:rPr>
          <w:rFonts w:ascii="Verdana" w:eastAsia="宋体" w:hAnsi="Verdana" w:cs="宋体"/>
          <w:kern w:val="0"/>
          <w:sz w:val="13"/>
          <w:szCs w:val="13"/>
        </w:rPr>
        <w:t>1</w:t>
      </w:r>
      <w:r w:rsidRPr="00632B70">
        <w:rPr>
          <w:rFonts w:ascii="Verdana" w:eastAsia="宋体" w:hAnsi="Verdana" w:cs="宋体"/>
          <w:kern w:val="0"/>
          <w:sz w:val="13"/>
          <w:szCs w:val="13"/>
        </w:rPr>
        <w:t>月底前，向省财政厅和省教育厅报送当年支持学前教育发展资金申报材料，逾期不提交的，依法扣减相关分配因素得分。省级财政和教育部门应当在每年</w:t>
      </w:r>
      <w:r w:rsidRPr="00632B70">
        <w:rPr>
          <w:rFonts w:ascii="Verdana" w:eastAsia="宋体" w:hAnsi="Verdana" w:cs="宋体"/>
          <w:kern w:val="0"/>
          <w:sz w:val="13"/>
          <w:szCs w:val="13"/>
        </w:rPr>
        <w:t>2</w:t>
      </w:r>
      <w:r w:rsidRPr="00632B70">
        <w:rPr>
          <w:rFonts w:ascii="Verdana" w:eastAsia="宋体" w:hAnsi="Verdana" w:cs="宋体"/>
          <w:kern w:val="0"/>
          <w:sz w:val="13"/>
          <w:szCs w:val="13"/>
        </w:rPr>
        <w:t>月底前向财政部、教育部报送当年支持学前教育发展资金申报材料，并抄送财政部河北监管局。申报材料主要内容包括：</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（一）上年度工作总结，包括上年度支持学前教育发展资金使用情况、年度绩效目标完成情况、绩效评价结果、深化体制机制改革情况、幼儿资助情况、市县财政投入情况、主要管理措施、问题分析及对策等。</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（二）当年工作计划，包括当年市县学前教育工作目标和绩效目标、重点任务、主要措施和资金安排计划等，绩效目标要明确、可行、可考核。</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（三）上年度市县财政安排用于学前教育发展的资金统计表及相关预算文件。</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第十一条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省财政厅、省教育厅收到中央补助资金预算后，在三十日内按照预算级次合理分配、及时下达，并抄送财政部河北监管局。省财政厅、省教育厅于每年省人民代表大会批准预算后三十日内正式下达省级补助资金预算；每年</w:t>
      </w:r>
      <w:r w:rsidRPr="00632B70">
        <w:rPr>
          <w:rFonts w:ascii="Verdana" w:eastAsia="宋体" w:hAnsi="Verdana" w:cs="宋体"/>
          <w:kern w:val="0"/>
          <w:sz w:val="13"/>
          <w:szCs w:val="13"/>
        </w:rPr>
        <w:t>12</w:t>
      </w:r>
      <w:r w:rsidRPr="00632B70">
        <w:rPr>
          <w:rFonts w:ascii="Verdana" w:eastAsia="宋体" w:hAnsi="Verdana" w:cs="宋体"/>
          <w:kern w:val="0"/>
          <w:sz w:val="13"/>
          <w:szCs w:val="13"/>
        </w:rPr>
        <w:t>月</w:t>
      </w:r>
      <w:r w:rsidRPr="00632B70">
        <w:rPr>
          <w:rFonts w:ascii="Verdana" w:eastAsia="宋体" w:hAnsi="Verdana" w:cs="宋体"/>
          <w:kern w:val="0"/>
          <w:sz w:val="13"/>
          <w:szCs w:val="13"/>
        </w:rPr>
        <w:t>20</w:t>
      </w:r>
      <w:r w:rsidRPr="00632B70">
        <w:rPr>
          <w:rFonts w:ascii="Verdana" w:eastAsia="宋体" w:hAnsi="Verdana" w:cs="宋体"/>
          <w:kern w:val="0"/>
          <w:sz w:val="13"/>
          <w:szCs w:val="13"/>
        </w:rPr>
        <w:t>日前，提前下达下一年度部分补助资金预算指标。</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第十二条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市县财政、教育部门在收到中央和省级补助经费预算文件后，应当按照预算级次和《预算法》规定的时限合理分配、及时下达，并提出明确的资金管理和使用要求，资金分配结果应当同时录入学前教育相关管理信息系统。</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学前教育发展资金支付要按照国库集中支付制度有关规定执行。涉及政府采购的，要按照政府采购有关法律制度执行。属于基本建设的项目</w:t>
      </w:r>
      <w:r w:rsidRPr="00632B70">
        <w:rPr>
          <w:rFonts w:ascii="Verdana" w:eastAsia="宋体" w:hAnsi="Verdana" w:cs="宋体"/>
          <w:kern w:val="0"/>
          <w:sz w:val="13"/>
          <w:szCs w:val="13"/>
        </w:rPr>
        <w:t>,</w:t>
      </w:r>
      <w:r w:rsidRPr="00632B70">
        <w:rPr>
          <w:rFonts w:ascii="Verdana" w:eastAsia="宋体" w:hAnsi="Verdana" w:cs="宋体"/>
          <w:kern w:val="0"/>
          <w:sz w:val="13"/>
          <w:szCs w:val="13"/>
        </w:rPr>
        <w:t>应当严格履行基本建设程序</w:t>
      </w:r>
      <w:r w:rsidRPr="00632B70">
        <w:rPr>
          <w:rFonts w:ascii="Verdana" w:eastAsia="宋体" w:hAnsi="Verdana" w:cs="宋体"/>
          <w:kern w:val="0"/>
          <w:sz w:val="13"/>
          <w:szCs w:val="13"/>
        </w:rPr>
        <w:t>,</w:t>
      </w:r>
      <w:r w:rsidRPr="00632B70">
        <w:rPr>
          <w:rFonts w:ascii="Verdana" w:eastAsia="宋体" w:hAnsi="Verdana" w:cs="宋体"/>
          <w:kern w:val="0"/>
          <w:sz w:val="13"/>
          <w:szCs w:val="13"/>
        </w:rPr>
        <w:t>执行相关建设标准和要求</w:t>
      </w:r>
      <w:r w:rsidRPr="00632B70">
        <w:rPr>
          <w:rFonts w:ascii="Verdana" w:eastAsia="宋体" w:hAnsi="Verdana" w:cs="宋体"/>
          <w:kern w:val="0"/>
          <w:sz w:val="13"/>
          <w:szCs w:val="13"/>
        </w:rPr>
        <w:t>,</w:t>
      </w:r>
      <w:r w:rsidRPr="00632B70">
        <w:rPr>
          <w:rFonts w:ascii="Verdana" w:eastAsia="宋体" w:hAnsi="Verdana" w:cs="宋体"/>
          <w:kern w:val="0"/>
          <w:sz w:val="13"/>
          <w:szCs w:val="13"/>
        </w:rPr>
        <w:t>确保工程质量。</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第五章</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资金管理和绩效评价</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第十三条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市县教育、财政部门要落实资金管理主体责任，按照各自职责加强项目审核申报、经费使用管理等工作。市县教育部门要加强区域内相关教育经费的统筹安排和使用，指导和督促本地区幼儿园健全财务、会计、资产管理制度。加强项目申报审核和经费管理，细化预算编制，加快预算执行，提高资金使用绩效。要强化财务管理监督，规范财务行为，确保资金使用安全、规范和高效。要抓紧健全学前教育管理信息系统，科学确定学前教育规划布局，充分利用农村闲置校舍等资源，因地制宜扩大学前教育资源。市县财政部门要配合教育部门按照相关政策合理分配资金，严格审核，依法监督本级教育部门预算管理有关工作，组织开展绩效评价。</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各级财政、教育部门要加强财政风险控制</w:t>
      </w:r>
      <w:r w:rsidRPr="00632B70">
        <w:rPr>
          <w:rFonts w:ascii="Verdana" w:eastAsia="宋体" w:hAnsi="Verdana" w:cs="宋体"/>
          <w:kern w:val="0"/>
          <w:sz w:val="13"/>
          <w:szCs w:val="13"/>
        </w:rPr>
        <w:t>,</w:t>
      </w:r>
      <w:r w:rsidRPr="00632B70">
        <w:rPr>
          <w:rFonts w:ascii="Verdana" w:eastAsia="宋体" w:hAnsi="Verdana" w:cs="宋体"/>
          <w:kern w:val="0"/>
          <w:sz w:val="13"/>
          <w:szCs w:val="13"/>
        </w:rPr>
        <w:t>强化流程控制、依法合规分配和使用资金</w:t>
      </w:r>
      <w:r w:rsidRPr="00632B70">
        <w:rPr>
          <w:rFonts w:ascii="Verdana" w:eastAsia="宋体" w:hAnsi="Verdana" w:cs="宋体"/>
          <w:kern w:val="0"/>
          <w:sz w:val="13"/>
          <w:szCs w:val="13"/>
        </w:rPr>
        <w:t>,</w:t>
      </w:r>
      <w:r w:rsidRPr="00632B70">
        <w:rPr>
          <w:rFonts w:ascii="Verdana" w:eastAsia="宋体" w:hAnsi="Verdana" w:cs="宋体"/>
          <w:kern w:val="0"/>
          <w:sz w:val="13"/>
          <w:szCs w:val="13"/>
        </w:rPr>
        <w:t>实行不相容岗位</w:t>
      </w:r>
      <w:r w:rsidRPr="00632B70">
        <w:rPr>
          <w:rFonts w:ascii="Verdana" w:eastAsia="宋体" w:hAnsi="Verdana" w:cs="宋体"/>
          <w:kern w:val="0"/>
          <w:sz w:val="13"/>
          <w:szCs w:val="13"/>
        </w:rPr>
        <w:t>(</w:t>
      </w:r>
      <w:r w:rsidRPr="00632B70">
        <w:rPr>
          <w:rFonts w:ascii="Verdana" w:eastAsia="宋体" w:hAnsi="Verdana" w:cs="宋体"/>
          <w:kern w:val="0"/>
          <w:sz w:val="13"/>
          <w:szCs w:val="13"/>
        </w:rPr>
        <w:t>职责</w:t>
      </w:r>
      <w:r w:rsidRPr="00632B70">
        <w:rPr>
          <w:rFonts w:ascii="Verdana" w:eastAsia="宋体" w:hAnsi="Verdana" w:cs="宋体"/>
          <w:kern w:val="0"/>
          <w:sz w:val="13"/>
          <w:szCs w:val="13"/>
        </w:rPr>
        <w:t>)</w:t>
      </w:r>
      <w:r w:rsidRPr="00632B70">
        <w:rPr>
          <w:rFonts w:ascii="Verdana" w:eastAsia="宋体" w:hAnsi="Verdana" w:cs="宋体"/>
          <w:kern w:val="0"/>
          <w:sz w:val="13"/>
          <w:szCs w:val="13"/>
        </w:rPr>
        <w:t>分离控制。</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补助资金原则上应在当年执行完毕，年度未支出的资金按结转结余资金管理有关规定处理。</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第十四条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市县教育、财政部门要按照全面实施预算绩效管理的要求，建立和完善全过程预算绩效管理机制。市县教育部门按规定科学合理设定绩效目标，绩效信息及时公开，要做好绩效监控、绩效评价自评工作。市县财政部门要充分运用绩效评价结果做好预算管理，切实提高学前教育经费配置效率和资金使用绩效。</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第十五条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各级财政、教育部门要按照相关规定要求，做好信息公开工作。特别是县级教育部门应当通过当地媒体、部门网站等方式，向社会公示学前教育发展总体规划、年度资金预算、决算等相关政策情况。</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第十六条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学前教育发展资金遵循</w:t>
      </w:r>
      <w:r w:rsidRPr="00632B70">
        <w:rPr>
          <w:rFonts w:ascii="Verdana" w:eastAsia="宋体" w:hAnsi="Verdana" w:cs="宋体"/>
          <w:kern w:val="0"/>
          <w:sz w:val="13"/>
          <w:szCs w:val="13"/>
        </w:rPr>
        <w:t>“</w:t>
      </w:r>
      <w:r w:rsidRPr="00632B70">
        <w:rPr>
          <w:rFonts w:ascii="Verdana" w:eastAsia="宋体" w:hAnsi="Verdana" w:cs="宋体"/>
          <w:kern w:val="0"/>
          <w:sz w:val="13"/>
          <w:szCs w:val="13"/>
        </w:rPr>
        <w:t>谁使用、谁负责</w:t>
      </w:r>
      <w:r w:rsidRPr="00632B70">
        <w:rPr>
          <w:rFonts w:ascii="Verdana" w:eastAsia="宋体" w:hAnsi="Verdana" w:cs="宋体"/>
          <w:kern w:val="0"/>
          <w:sz w:val="13"/>
          <w:szCs w:val="13"/>
        </w:rPr>
        <w:t>”</w:t>
      </w:r>
      <w:r w:rsidRPr="00632B70">
        <w:rPr>
          <w:rFonts w:ascii="Verdana" w:eastAsia="宋体" w:hAnsi="Verdana" w:cs="宋体"/>
          <w:kern w:val="0"/>
          <w:sz w:val="13"/>
          <w:szCs w:val="13"/>
        </w:rPr>
        <w:t>的管理原则，不得挤占、挪用、虚列、套取学前教育发展资金。严禁用于平衡预算、偿还债务、支付利息、对外投资等支出，严禁提取工作经费或管理经费，严禁超标准豪华建设。对违法违规行为，要按照《预算法》《财政违法行为处罚处分条例》等规定严肃处理。</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第十七条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市县财政、教育部门及其工作人员在学前教育发展资金分配方案的制定和复核过程中，违反规定分配资金或者向不符合条件的单位（或项目）分配资金以及滥用职权、玩忽职守、徇私舞弊的，按照《预算法》、《公务员法》、《行政监察法》、《财政违法行为处罚处分条例》等有关规定追究责任；涉嫌犯罪的，移送司法机关处理。</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第六章</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附</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则</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第十八条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各市县财政和教育部门应当依据本办法，结合本地实际，制定学前教育发展资金具体使用管理实施细则。</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第十九条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本办法由省财政厅会同省教育厅负责解释。</w:t>
      </w:r>
    </w:p>
    <w:p w:rsidR="00632B70" w:rsidRPr="00632B70" w:rsidRDefault="00632B70" w:rsidP="00632B70">
      <w:pPr>
        <w:widowControl/>
        <w:wordWrap w:val="0"/>
        <w:spacing w:before="100" w:beforeAutospacing="1" w:after="100" w:afterAutospacing="1"/>
        <w:jc w:val="left"/>
        <w:rPr>
          <w:rFonts w:ascii="Verdana" w:eastAsia="宋体" w:hAnsi="Verdana" w:cs="宋体"/>
          <w:kern w:val="0"/>
          <w:sz w:val="13"/>
          <w:szCs w:val="13"/>
        </w:rPr>
      </w:pPr>
      <w:r w:rsidRPr="00632B70">
        <w:rPr>
          <w:rFonts w:ascii="Verdana" w:eastAsia="宋体" w:hAnsi="Verdana" w:cs="宋体"/>
          <w:kern w:val="0"/>
          <w:sz w:val="13"/>
          <w:szCs w:val="13"/>
        </w:rPr>
        <w:t xml:space="preserve">　　第二十条</w:t>
      </w:r>
      <w:r w:rsidRPr="00632B70">
        <w:rPr>
          <w:rFonts w:ascii="Verdana" w:eastAsia="宋体" w:hAnsi="Verdana" w:cs="宋体"/>
          <w:kern w:val="0"/>
          <w:sz w:val="13"/>
          <w:szCs w:val="13"/>
        </w:rPr>
        <w:t xml:space="preserve"> </w:t>
      </w:r>
      <w:r w:rsidRPr="00632B70">
        <w:rPr>
          <w:rFonts w:ascii="Verdana" w:eastAsia="宋体" w:hAnsi="Verdana" w:cs="宋体"/>
          <w:kern w:val="0"/>
          <w:sz w:val="13"/>
          <w:szCs w:val="13"/>
        </w:rPr>
        <w:t>本办法自</w:t>
      </w:r>
      <w:r w:rsidRPr="00632B70">
        <w:rPr>
          <w:rFonts w:ascii="Verdana" w:eastAsia="宋体" w:hAnsi="Verdana" w:cs="宋体"/>
          <w:kern w:val="0"/>
          <w:sz w:val="13"/>
          <w:szCs w:val="13"/>
        </w:rPr>
        <w:t>2020</w:t>
      </w:r>
      <w:r w:rsidRPr="00632B70">
        <w:rPr>
          <w:rFonts w:ascii="Verdana" w:eastAsia="宋体" w:hAnsi="Verdana" w:cs="宋体"/>
          <w:kern w:val="0"/>
          <w:sz w:val="13"/>
          <w:szCs w:val="13"/>
        </w:rPr>
        <w:t>年</w:t>
      </w:r>
      <w:r w:rsidRPr="00632B70">
        <w:rPr>
          <w:rFonts w:ascii="Verdana" w:eastAsia="宋体" w:hAnsi="Verdana" w:cs="宋体"/>
          <w:kern w:val="0"/>
          <w:sz w:val="13"/>
          <w:szCs w:val="13"/>
        </w:rPr>
        <w:t>5</w:t>
      </w:r>
      <w:r w:rsidRPr="00632B70">
        <w:rPr>
          <w:rFonts w:ascii="Verdana" w:eastAsia="宋体" w:hAnsi="Verdana" w:cs="宋体"/>
          <w:kern w:val="0"/>
          <w:sz w:val="13"/>
          <w:szCs w:val="13"/>
        </w:rPr>
        <w:t>月</w:t>
      </w:r>
      <w:r w:rsidRPr="00632B70">
        <w:rPr>
          <w:rFonts w:ascii="Verdana" w:eastAsia="宋体" w:hAnsi="Verdana" w:cs="宋体"/>
          <w:kern w:val="0"/>
          <w:sz w:val="13"/>
          <w:szCs w:val="13"/>
        </w:rPr>
        <w:t>1</w:t>
      </w:r>
      <w:r w:rsidRPr="00632B70">
        <w:rPr>
          <w:rFonts w:ascii="Verdana" w:eastAsia="宋体" w:hAnsi="Verdana" w:cs="宋体"/>
          <w:kern w:val="0"/>
          <w:sz w:val="13"/>
          <w:szCs w:val="13"/>
        </w:rPr>
        <w:t>日起施行，有效期</w:t>
      </w:r>
      <w:r w:rsidRPr="00632B70">
        <w:rPr>
          <w:rFonts w:ascii="Verdana" w:eastAsia="宋体" w:hAnsi="Verdana" w:cs="宋体"/>
          <w:kern w:val="0"/>
          <w:sz w:val="13"/>
          <w:szCs w:val="13"/>
        </w:rPr>
        <w:t>5</w:t>
      </w:r>
      <w:r w:rsidRPr="00632B70">
        <w:rPr>
          <w:rFonts w:ascii="Verdana" w:eastAsia="宋体" w:hAnsi="Verdana" w:cs="宋体"/>
          <w:kern w:val="0"/>
          <w:sz w:val="13"/>
          <w:szCs w:val="13"/>
        </w:rPr>
        <w:t>年，《河北省支持学前教育发展资金管理办法》（冀财规〔</w:t>
      </w:r>
      <w:r w:rsidRPr="00632B70">
        <w:rPr>
          <w:rFonts w:ascii="Verdana" w:eastAsia="宋体" w:hAnsi="Verdana" w:cs="宋体"/>
          <w:kern w:val="0"/>
          <w:sz w:val="13"/>
          <w:szCs w:val="13"/>
        </w:rPr>
        <w:t>2018</w:t>
      </w:r>
      <w:r w:rsidRPr="00632B70">
        <w:rPr>
          <w:rFonts w:ascii="Verdana" w:eastAsia="宋体" w:hAnsi="Verdana" w:cs="宋体"/>
          <w:kern w:val="0"/>
          <w:sz w:val="13"/>
          <w:szCs w:val="13"/>
        </w:rPr>
        <w:t>〕</w:t>
      </w:r>
      <w:r w:rsidRPr="00632B70">
        <w:rPr>
          <w:rFonts w:ascii="Verdana" w:eastAsia="宋体" w:hAnsi="Verdana" w:cs="宋体"/>
          <w:kern w:val="0"/>
          <w:sz w:val="13"/>
          <w:szCs w:val="13"/>
        </w:rPr>
        <w:t>11</w:t>
      </w:r>
      <w:r w:rsidRPr="00632B70">
        <w:rPr>
          <w:rFonts w:ascii="Verdana" w:eastAsia="宋体" w:hAnsi="Verdana" w:cs="宋体"/>
          <w:kern w:val="0"/>
          <w:sz w:val="13"/>
          <w:szCs w:val="13"/>
        </w:rPr>
        <w:t>号）同时废止。</w:t>
      </w:r>
    </w:p>
    <w:p w:rsidR="00632B70" w:rsidRPr="00632B70" w:rsidRDefault="00632B70" w:rsidP="00632B70">
      <w:pPr>
        <w:widowControl/>
        <w:jc w:val="left"/>
        <w:rPr>
          <w:rFonts w:ascii="Verdana" w:eastAsia="宋体" w:hAnsi="Verdana" w:cs="宋体"/>
          <w:kern w:val="0"/>
          <w:sz w:val="13"/>
          <w:szCs w:val="13"/>
        </w:rPr>
      </w:pPr>
    </w:p>
    <w:sectPr w:rsidR="00632B70" w:rsidRPr="00632B70" w:rsidSect="00C249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2B70"/>
    <w:rsid w:val="00632B70"/>
    <w:rsid w:val="00C24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2B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2B70"/>
    <w:rPr>
      <w:b/>
      <w:bCs/>
    </w:rPr>
  </w:style>
  <w:style w:type="paragraph" w:styleId="a5">
    <w:name w:val="Balloon Text"/>
    <w:basedOn w:val="a"/>
    <w:link w:val="Char"/>
    <w:uiPriority w:val="99"/>
    <w:semiHidden/>
    <w:unhideWhenUsed/>
    <w:rsid w:val="00632B70"/>
    <w:rPr>
      <w:sz w:val="18"/>
      <w:szCs w:val="18"/>
    </w:rPr>
  </w:style>
  <w:style w:type="character" w:customStyle="1" w:styleId="Char">
    <w:name w:val="批注框文本 Char"/>
    <w:basedOn w:val="a0"/>
    <w:link w:val="a5"/>
    <w:uiPriority w:val="99"/>
    <w:semiHidden/>
    <w:rsid w:val="00632B70"/>
    <w:rPr>
      <w:sz w:val="18"/>
      <w:szCs w:val="18"/>
    </w:rPr>
  </w:style>
</w:styles>
</file>

<file path=word/webSettings.xml><?xml version="1.0" encoding="utf-8"?>
<w:webSettings xmlns:r="http://schemas.openxmlformats.org/officeDocument/2006/relationships" xmlns:w="http://schemas.openxmlformats.org/wordprocessingml/2006/main">
  <w:divs>
    <w:div w:id="24017572">
      <w:marLeft w:val="0"/>
      <w:marRight w:val="0"/>
      <w:marTop w:val="0"/>
      <w:marBottom w:val="0"/>
      <w:divBdr>
        <w:top w:val="none" w:sz="0" w:space="0" w:color="auto"/>
        <w:left w:val="none" w:sz="0" w:space="0" w:color="auto"/>
        <w:bottom w:val="none" w:sz="0" w:space="0" w:color="auto"/>
        <w:right w:val="none" w:sz="0" w:space="0" w:color="auto"/>
      </w:divBdr>
      <w:divsChild>
        <w:div w:id="1372732506">
          <w:marLeft w:val="0"/>
          <w:marRight w:val="0"/>
          <w:marTop w:val="0"/>
          <w:marBottom w:val="0"/>
          <w:divBdr>
            <w:top w:val="none" w:sz="0" w:space="0" w:color="auto"/>
            <w:left w:val="none" w:sz="0" w:space="0" w:color="auto"/>
            <w:bottom w:val="none" w:sz="0" w:space="0" w:color="auto"/>
            <w:right w:val="none" w:sz="0" w:space="0" w:color="auto"/>
          </w:divBdr>
          <w:divsChild>
            <w:div w:id="90200567">
              <w:marLeft w:val="0"/>
              <w:marRight w:val="0"/>
              <w:marTop w:val="0"/>
              <w:marBottom w:val="0"/>
              <w:divBdr>
                <w:top w:val="none" w:sz="0" w:space="0" w:color="auto"/>
                <w:left w:val="none" w:sz="0" w:space="0" w:color="auto"/>
                <w:bottom w:val="none" w:sz="0" w:space="0" w:color="auto"/>
                <w:right w:val="none" w:sz="0" w:space="0" w:color="auto"/>
              </w:divBdr>
            </w:div>
            <w:div w:id="1963069710">
              <w:marLeft w:val="0"/>
              <w:marRight w:val="0"/>
              <w:marTop w:val="0"/>
              <w:marBottom w:val="0"/>
              <w:divBdr>
                <w:top w:val="none" w:sz="0" w:space="0" w:color="auto"/>
                <w:left w:val="none" w:sz="0" w:space="0" w:color="auto"/>
                <w:bottom w:val="none" w:sz="0" w:space="0" w:color="auto"/>
                <w:right w:val="none" w:sz="0" w:space="0" w:color="auto"/>
              </w:divBdr>
              <w:divsChild>
                <w:div w:id="2434872">
                  <w:marLeft w:val="0"/>
                  <w:marRight w:val="0"/>
                  <w:marTop w:val="0"/>
                  <w:marBottom w:val="0"/>
                  <w:divBdr>
                    <w:top w:val="none" w:sz="0" w:space="0" w:color="auto"/>
                    <w:left w:val="none" w:sz="0" w:space="0" w:color="auto"/>
                    <w:bottom w:val="none" w:sz="0" w:space="0" w:color="auto"/>
                    <w:right w:val="none" w:sz="0" w:space="0" w:color="auto"/>
                  </w:divBdr>
                </w:div>
                <w:div w:id="996305989">
                  <w:marLeft w:val="0"/>
                  <w:marRight w:val="0"/>
                  <w:marTop w:val="0"/>
                  <w:marBottom w:val="0"/>
                  <w:divBdr>
                    <w:top w:val="none" w:sz="0" w:space="0" w:color="auto"/>
                    <w:left w:val="none" w:sz="0" w:space="0" w:color="auto"/>
                    <w:bottom w:val="none" w:sz="0" w:space="0" w:color="auto"/>
                    <w:right w:val="none" w:sz="0" w:space="0" w:color="auto"/>
                  </w:divBdr>
                  <w:divsChild>
                    <w:div w:id="587426328">
                      <w:marLeft w:val="0"/>
                      <w:marRight w:val="0"/>
                      <w:marTop w:val="200"/>
                      <w:marBottom w:val="0"/>
                      <w:divBdr>
                        <w:top w:val="none" w:sz="0" w:space="0" w:color="auto"/>
                        <w:left w:val="none" w:sz="0" w:space="0" w:color="auto"/>
                        <w:bottom w:val="none" w:sz="0" w:space="0" w:color="auto"/>
                        <w:right w:val="none" w:sz="0" w:space="0" w:color="auto"/>
                      </w:divBdr>
                      <w:divsChild>
                        <w:div w:id="4248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92954">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145506793">
          <w:marLeft w:val="0"/>
          <w:marRight w:val="0"/>
          <w:marTop w:val="100"/>
          <w:marBottom w:val="0"/>
          <w:divBdr>
            <w:top w:val="none" w:sz="0" w:space="0" w:color="auto"/>
            <w:left w:val="none" w:sz="0" w:space="0" w:color="auto"/>
            <w:bottom w:val="none" w:sz="0" w:space="0" w:color="auto"/>
            <w:right w:val="none" w:sz="0" w:space="0" w:color="auto"/>
          </w:divBdr>
          <w:divsChild>
            <w:div w:id="1699503556">
              <w:marLeft w:val="0"/>
              <w:marRight w:val="0"/>
              <w:marTop w:val="120"/>
              <w:marBottom w:val="0"/>
              <w:divBdr>
                <w:top w:val="none" w:sz="0" w:space="0" w:color="auto"/>
                <w:left w:val="none" w:sz="0" w:space="0" w:color="auto"/>
                <w:bottom w:val="none" w:sz="0" w:space="0" w:color="auto"/>
                <w:right w:val="none" w:sz="0" w:space="0" w:color="auto"/>
              </w:divBdr>
            </w:div>
            <w:div w:id="1494032269">
              <w:marLeft w:val="0"/>
              <w:marRight w:val="0"/>
              <w:marTop w:val="0"/>
              <w:marBottom w:val="0"/>
              <w:divBdr>
                <w:top w:val="none" w:sz="0" w:space="0" w:color="auto"/>
                <w:left w:val="none" w:sz="0" w:space="0" w:color="auto"/>
                <w:bottom w:val="none" w:sz="0" w:space="0" w:color="auto"/>
                <w:right w:val="none" w:sz="0" w:space="0" w:color="auto"/>
              </w:divBdr>
            </w:div>
            <w:div w:id="20223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5844">
      <w:marLeft w:val="0"/>
      <w:marRight w:val="0"/>
      <w:marTop w:val="0"/>
      <w:marBottom w:val="0"/>
      <w:divBdr>
        <w:top w:val="none" w:sz="0" w:space="0" w:color="auto"/>
        <w:left w:val="none" w:sz="0" w:space="0" w:color="auto"/>
        <w:bottom w:val="none" w:sz="0" w:space="0" w:color="auto"/>
        <w:right w:val="none" w:sz="0" w:space="0" w:color="auto"/>
      </w:divBdr>
      <w:divsChild>
        <w:div w:id="1762722673">
          <w:marLeft w:val="0"/>
          <w:marRight w:val="0"/>
          <w:marTop w:val="0"/>
          <w:marBottom w:val="0"/>
          <w:divBdr>
            <w:top w:val="none" w:sz="0" w:space="0" w:color="auto"/>
            <w:left w:val="none" w:sz="0" w:space="0" w:color="auto"/>
            <w:bottom w:val="none" w:sz="0" w:space="0" w:color="auto"/>
            <w:right w:val="none" w:sz="0" w:space="0" w:color="auto"/>
          </w:divBdr>
          <w:divsChild>
            <w:div w:id="18939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2021-05-24T10:19:00Z</dcterms:created>
  <dcterms:modified xsi:type="dcterms:W3CDTF">2021-05-24T10:20:00Z</dcterms:modified>
</cp:coreProperties>
</file>