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pgSz w:w="11906" w:h="16838"/>
          <w:pgMar w:top="0" w:right="0" w:bottom="0" w:left="0" w:header="851" w:footer="992" w:gutter="0"/>
          <w:cols w:space="425" w:num="1"/>
          <w:titlePg/>
          <w:docGrid w:type="lines" w:linePitch="312" w:charSpace="0"/>
        </w:sectPr>
      </w:pPr>
      <w:r>
        <w:pict>
          <v:shape id="_x0000_s1026" o:spid="_x0000_s1026" o:spt="202" type="#_x0000_t202" style="position:absolute;left:0pt;margin-left:106.25pt;margin-top:693.55pt;height:79.95pt;width:404.15pt;z-index:251664384;mso-width-relative:page;mso-height-relative:page;" filled="f" stroked="f" coordsize="21600,2160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二〇二〇年十月</w:t>
                  </w:r>
                </w:p>
              </w:txbxContent>
            </v:textbox>
          </v:shape>
        </w:pict>
      </w:r>
      <w:r>
        <w:pict>
          <v:shape id="椭圆 8" o:spid="_x0000_s1027" o:spt="3" type="#_x0000_t3" style="position:absolute;left:0pt;margin-left:53.5pt;margin-top:232.45pt;height:121.95pt;width:121.95pt;z-index:251661312;v-text-anchor:middle;mso-width-relative:page;mso-height-relative:page;" stroked="f" coordsize="21600,21600">
            <v:path/>
            <v:fill focussize="0,0"/>
            <v:stroke on="f" weight="1pt"/>
            <v:imagedata o:title=""/>
            <o:lock v:ext="edit"/>
            <v:textbox>
              <w:txbxContent>
                <w:p/>
              </w:txbxContent>
            </v:textbox>
          </v:shape>
        </w:pict>
      </w:r>
      <w:r>
        <w:pict>
          <v:rect id="矩形 14" o:spid="_x0000_s1028" o:spt="1" style="position:absolute;left:0pt;margin-left:33.6pt;margin-top:256.75pt;height:69.6pt;width:160.65pt;z-index:251666432;mso-width-relative:page;mso-height-relative:page;" filled="f" stroked="f" coordsize="21600,2160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29" o:spt="3" type="#_x0000_t3" style="position:absolute;left:0pt;margin-left:62.2pt;margin-top:242.75pt;height:103.45pt;width:103.45pt;z-index:251665408;v-text-anchor:middle;mso-width-relative:page;mso-height-relative:page;" fillcolor="#1F2959" filled="t" stroked="f" coordsize="21600,21600">
            <v:path/>
            <v:fill on="t" focussize="0,0"/>
            <v:stroke on="f" weight="1pt"/>
            <v:imagedata o:title=""/>
            <o:lock v:ext="edit"/>
            <v:textbox>
              <w:txbxContent>
                <w:p/>
              </w:txbxContent>
            </v:textbox>
          </v:shape>
        </w:pict>
      </w:r>
      <w:r>
        <w:pict>
          <v:group id="_x0000_s1030" o:spid="_x0000_s1030" o:spt="203" style="position:absolute;left:0pt;margin-left:1.25pt;margin-top:821.7pt;height:21.45pt;width:595.25pt;z-index:251662336;mso-width-relative:page;mso-height-relative:page;" coordorigin="1483,16692" coordsize="11905,429">
            <o:lock v:ext="edit"/>
            <v:rect id="_x0000_s1031" o:spid="_x0000_s1031" o:spt="1" style="position:absolute;left:1483;top:16692;height:428;width:1125;v-text-anchor:middle;" fillcolor="#FDBC11" filled="t" stroked="f" coordsize="21600,21600">
              <v:path/>
              <v:fill on="t" focussize="0,0"/>
              <v:stroke on="f" weight="1pt"/>
              <v:imagedata o:title=""/>
              <o:lock v:ext="edit"/>
            </v:rect>
            <v:rect id="_x0000_s1032" o:spid="_x0000_s1032" o:spt="1" style="position:absolute;left:2608;top:16693;height:428;width:10780;v-text-anchor:middle;" fillcolor="#1F2959" filled="t" stroked="f" coordsize="21600,21600">
              <v:path/>
              <v:fill on="t" focussize="0,0"/>
              <v:stroke on="f" weight="1pt"/>
              <v:imagedata o:title=""/>
              <o:lock v:ext="edit"/>
            </v:rect>
          </v:group>
        </w:pict>
      </w:r>
      <w:r>
        <w:pict>
          <v:group id="_x0000_s1033" o:spid="_x0000_s1033" o:spt="203" style="position:absolute;left:0pt;margin-left:-2.5pt;margin-top:0pt;height:308.5pt;width:600.25pt;z-index:-251657216;mso-width-relative:page;mso-height-relative:page;" coordorigin="13622,283" coordsize="12005,6170">
            <o:lock v:ext="edit"/>
            <v:rect id="矩形 5" o:spid="_x0000_s1034" o:spt="1" style="position:absolute;left:13622;top:283;height:6170;width:12005;v-text-anchor:middle;" fillcolor="#FDBC11" filled="t" stroked="f" coordsize="21600,21600">
              <v:path/>
              <v:fill on="t" focussize="0,0"/>
              <v:stroke on="f" weight="1pt"/>
              <v:imagedata o:title=""/>
              <o:lock v:ext="edit"/>
            </v:rect>
            <v:shape id="_x0000_s1035" o:spid="_x0000_s1035" o:spt="202" type="#_x0000_t202" style="position:absolute;left:17229;top:5021;height:1392;width:8083;" filled="f" stroked="f" coordsize="21600,2160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36" o:spt="1" style="position:absolute;left:0pt;margin-left:184.75pt;margin-top:286.6pt;height:31.25pt;width:339.65pt;mso-wrap-style:none;z-index:251663360;mso-width-relative:page;mso-height-relative:page;" filled="f" stroked="f" coordsize="21600,2160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rPr>
          <w:rFonts w:ascii="黑体" w:hAnsi="黑体" w:eastAsia="黑体" w:cs="黑体"/>
          <w:sz w:val="56"/>
          <w:szCs w:val="72"/>
        </w:rPr>
      </w:pPr>
    </w:p>
    <w:p>
      <w:pPr>
        <w:snapToGrid w:val="0"/>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成安县住房和城乡建设局</w:t>
      </w:r>
    </w:p>
    <w:p>
      <w:pPr>
        <w:snapToGrid w:val="0"/>
        <w:jc w:val="center"/>
        <w:rPr>
          <w:rFonts w:ascii="楷体_GB2312" w:hAnsi="楷体_GB2312" w:eastAsia="楷体_GB2312" w:cs="楷体_GB2312"/>
          <w:color w:val="000000"/>
          <w:kern w:val="0"/>
          <w:sz w:val="44"/>
          <w:szCs w:val="44"/>
        </w:rPr>
        <w:sectPr>
          <w:headerReference r:id="rId4" w:type="first"/>
          <w:footerReference r:id="rId5" w:type="first"/>
          <w:headerReference r:id="rId3"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二〇二〇年十月</w:t>
      </w:r>
    </w:p>
    <w:p>
      <w:pPr>
        <w:rPr>
          <w:rFonts w:ascii="黑体" w:hAnsi="Times New Roman" w:eastAsia="黑体"/>
          <w:sz w:val="48"/>
          <w:szCs w:val="48"/>
        </w:rPr>
      </w:pP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sectPr>
          <w:headerReference r:id="rId7" w:type="first"/>
          <w:footerReference r:id="rId9" w:type="first"/>
          <w:headerReference r:id="rId6" w:type="default"/>
          <w:footerReference r:id="rId8" w:type="default"/>
          <w:type w:val="continuous"/>
          <w:pgSz w:w="11906" w:h="16838"/>
          <w:pgMar w:top="2041" w:right="1531" w:bottom="2041" w:left="1531" w:header="851" w:footer="992" w:gutter="0"/>
          <w:cols w:space="0" w:num="1"/>
          <w:titlePg/>
          <w:docGrid w:type="lines" w:linePitch="312" w:charSpace="0"/>
        </w:sect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line="580" w:lineRule="exact"/>
        <w:rPr>
          <w:rFonts w:eastAsia="黑体"/>
          <w:sz w:val="32"/>
          <w:szCs w:val="32"/>
        </w:rPr>
      </w:pPr>
    </w:p>
    <w:p>
      <w:r>
        <w:pict>
          <v:shape id="_x0000_s1037" o:spid="_x0000_s1037" o:spt="202" type="#_x0000_t202" style="position:absolute;left:0pt;margin-left:-85.7pt;margin-top:80.7pt;height:263.1pt;width:613.65pt;z-index:251666432;v-text-anchor:middle;mso-width-relative:page;mso-height-relative:page;" fillcolor="#FFD966" filled="t" stroked="t" coordsize="21600,21600">
            <v:path/>
            <v:fill type="pattern" on="t" focussize="0,0" r:id="rId13"/>
            <v:stroke weight="1pt" color="#FFD966" joinstyle="round"/>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p>
    <w:p/>
    <w:p/>
    <w:p/>
    <w:p/>
    <w:p/>
    <w:p/>
    <w:p/>
    <w:p/>
    <w:p/>
    <w:p/>
    <w:p/>
    <w:p/>
    <w:p/>
    <w:p/>
    <w:p/>
    <w:p/>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15"/>
        <w:spacing w:line="560" w:lineRule="exact"/>
        <w:ind w:firstLine="640"/>
        <w:rPr>
          <w:rFonts w:ascii="仿宋" w:hAnsi="仿宋" w:eastAsia="仿宋" w:cs="仿宋"/>
          <w:sz w:val="32"/>
          <w:szCs w:val="32"/>
        </w:rPr>
      </w:pPr>
      <w:r>
        <w:rPr>
          <w:rFonts w:hint="eastAsia" w:ascii="仿宋" w:hAnsi="仿宋" w:eastAsia="仿宋" w:cs="仿宋"/>
          <w:sz w:val="32"/>
          <w:szCs w:val="32"/>
        </w:rPr>
        <w:t>（一）贯彻执行国家、省、市有关建设工作的方针、政策及法规，起草有关建设方面的地方性政策、发展规划并组织实施。</w:t>
      </w:r>
    </w:p>
    <w:p>
      <w:pPr>
        <w:pStyle w:val="15"/>
        <w:spacing w:line="560" w:lineRule="exact"/>
        <w:ind w:firstLine="640"/>
        <w:rPr>
          <w:rFonts w:ascii="仿宋" w:hAnsi="仿宋" w:eastAsia="仿宋" w:cs="仿宋"/>
          <w:sz w:val="32"/>
          <w:szCs w:val="32"/>
        </w:rPr>
      </w:pPr>
      <w:r>
        <w:rPr>
          <w:rFonts w:hint="eastAsia" w:ascii="仿宋" w:hAnsi="仿宋" w:eastAsia="仿宋" w:cs="仿宋"/>
          <w:sz w:val="32"/>
          <w:szCs w:val="32"/>
        </w:rPr>
        <w:t>（二）负责行使在县城规划区内街道、广场、公园、绿地及公共场所范围内有关管理权、处罚权以及占地费、占道费、广告设置费的征收。</w:t>
      </w:r>
    </w:p>
    <w:p>
      <w:pPr>
        <w:pStyle w:val="15"/>
        <w:spacing w:line="560" w:lineRule="exact"/>
        <w:ind w:firstLine="640"/>
        <w:rPr>
          <w:rFonts w:ascii="仿宋" w:hAnsi="仿宋" w:eastAsia="仿宋" w:cs="仿宋"/>
          <w:sz w:val="32"/>
          <w:szCs w:val="32"/>
        </w:rPr>
      </w:pPr>
      <w:r>
        <w:rPr>
          <w:rFonts w:hint="eastAsia" w:ascii="仿宋" w:hAnsi="仿宋" w:eastAsia="仿宋" w:cs="仿宋"/>
          <w:sz w:val="32"/>
          <w:szCs w:val="32"/>
        </w:rPr>
        <w:t>（三）负责工程造价管理，研究制定王程建凌标准定额和工程造价管理的规章制度，会同有关部门组织制订建设项目可行性研究经济评价方法、经济参数和建设标准、投资估算、建设工期定额、建设用地指标。</w:t>
      </w:r>
    </w:p>
    <w:p>
      <w:pPr>
        <w:pStyle w:val="15"/>
        <w:spacing w:line="560" w:lineRule="exact"/>
        <w:ind w:firstLine="640"/>
        <w:rPr>
          <w:rFonts w:ascii="仿宋" w:hAnsi="仿宋" w:eastAsia="仿宋" w:cs="仿宋"/>
          <w:sz w:val="32"/>
          <w:szCs w:val="32"/>
        </w:rPr>
      </w:pPr>
      <w:r>
        <w:rPr>
          <w:rFonts w:hint="eastAsia" w:ascii="仿宋" w:hAnsi="仿宋" w:eastAsia="仿宋" w:cs="仿宋"/>
          <w:sz w:val="32"/>
          <w:szCs w:val="32"/>
        </w:rPr>
        <w:t>（四）对工程建设实施阶段进行监管，监督建设程序的执行，监督管理有关工程建设勘察、设计、施工招投标；负责工程合同备案管理；负责施工许可、竣工验收和安全生产管理工作；负责建筑工程和市政工程质量监督检测工作，综合管理全县建筑市场。负责工程勘察设计、建筑安装、装饰装修（包括进出成安县队伍）、建设监理等行业管理。</w:t>
      </w:r>
      <w:r>
        <w:rPr>
          <w:rFonts w:ascii="仿宋" w:hAnsi="仿宋" w:eastAsia="仿宋" w:cs="仿宋"/>
          <w:sz w:val="32"/>
          <w:szCs w:val="32"/>
        </w:rPr>
        <w:t xml:space="preserve"> </w:t>
      </w:r>
    </w:p>
    <w:p>
      <w:pPr>
        <w:pStyle w:val="15"/>
        <w:spacing w:line="560" w:lineRule="exact"/>
        <w:ind w:firstLine="640"/>
        <w:rPr>
          <w:rFonts w:ascii="仿宋" w:hAnsi="仿宋" w:eastAsia="仿宋" w:cs="仿宋"/>
          <w:sz w:val="32"/>
          <w:szCs w:val="32"/>
        </w:rPr>
      </w:pPr>
      <w:r>
        <w:rPr>
          <w:rFonts w:hint="eastAsia" w:ascii="仿宋" w:hAnsi="仿宋" w:eastAsia="仿宋" w:cs="仿宋"/>
          <w:sz w:val="32"/>
          <w:szCs w:val="32"/>
        </w:rPr>
        <w:t>（五）研究制订本县建设备行业的发展规划，编制城镇及乡村建设资金使用计划安排和资金筹措、管理工作。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（六）综合管理全县各类建筑的抗震设防和抗震防灾工作。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（七）负责管理和指导全县墙体材料革新、建筑节能、粉煤灰综合利用工作。</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（八）负责人防工程的建设、开发利用和维护管理工作；“结建”项目的审批、验收、收费管理工作；人民防空通信、警报网的建设和管理工作；人防工程建设费的征收工作。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研究制订有关房地产市场和房地产业的有关政策，负责全县各类房屋产权产籍管理，对全县房地产市场的管理，私人建房的审核管理，房地产纠纷案件的调解工作，全县房屋安全管理工作，全县房地产行业管理，全县物业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（十）负责保障性住房建设管理，对城镇中低收入住房和困难家庭实施住房保障。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（十一）负责建设系统的普法、培训和行政执法证件的审报、发放和管理，以及建设系统的行政执法监督工作。</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（十二）承办县委、县政府交办的其它事项，承办县人大、县政协建议、提案事宜。</w:t>
      </w:r>
    </w:p>
    <w:p>
      <w:pPr>
        <w:keepNext/>
        <w:keepLines/>
        <w:spacing w:line="580" w:lineRule="exact"/>
        <w:ind w:firstLine="640" w:firstLineChars="200"/>
        <w:jc w:val="left"/>
        <w:outlineLvl w:val="0"/>
        <w:rPr>
          <w:rFonts w:ascii="仿宋" w:hAnsi="仿宋" w:eastAsia="仿宋" w:cs="黑体"/>
          <w:kern w:val="0"/>
          <w:sz w:val="32"/>
          <w:szCs w:val="32"/>
        </w:rPr>
      </w:pPr>
      <w:r>
        <w:rPr>
          <w:rFonts w:hint="eastAsia" w:ascii="仿宋" w:hAnsi="仿宋" w:eastAsia="仿宋" w:cs="黑体"/>
          <w:kern w:val="0"/>
          <w:sz w:val="32"/>
          <w:szCs w:val="32"/>
        </w:rPr>
        <w:t>二、机构设置</w:t>
      </w:r>
    </w:p>
    <w:p>
      <w:pPr>
        <w:ind w:firstLine="480" w:firstLineChars="150"/>
        <w:rPr>
          <w:rFonts w:ascii="仿宋" w:hAnsi="仿宋" w:eastAsia="仿宋"/>
          <w:sz w:val="32"/>
          <w:szCs w:val="32"/>
        </w:rPr>
      </w:pPr>
      <w:r>
        <w:rPr>
          <w:rFonts w:hint="eastAsia" w:ascii="仿宋" w:hAnsi="仿宋" w:eastAsia="仿宋"/>
          <w:sz w:val="32"/>
          <w:szCs w:val="32"/>
        </w:rPr>
        <w:t>县住房和城乡建设局设下列内设机构</w:t>
      </w:r>
      <w:r>
        <w:rPr>
          <w:rFonts w:ascii="仿宋" w:hAnsi="仿宋" w:eastAsia="仿宋"/>
          <w:sz w:val="32"/>
          <w:szCs w:val="32"/>
        </w:rPr>
        <w:t>:</w:t>
      </w:r>
    </w:p>
    <w:p>
      <w:pPr>
        <w:pStyle w:val="17"/>
        <w:numPr>
          <w:ilvl w:val="0"/>
          <w:numId w:val="1"/>
        </w:numPr>
        <w:ind w:firstLineChars="0"/>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建管综合股</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负责机关日常运转工作</w:t>
      </w:r>
      <w:r>
        <w:rPr>
          <w:rFonts w:ascii="仿宋" w:hAnsi="仿宋" w:eastAsia="仿宋"/>
          <w:sz w:val="32"/>
          <w:szCs w:val="32"/>
        </w:rPr>
        <w:t>;</w:t>
      </w:r>
      <w:r>
        <w:rPr>
          <w:rFonts w:hint="eastAsia" w:ascii="仿宋" w:hAnsi="仿宋" w:eastAsia="仿宋"/>
          <w:sz w:val="32"/>
          <w:szCs w:val="32"/>
        </w:rPr>
        <w:t>组织协调机关办公、对处联络和政务接待</w:t>
      </w:r>
      <w:r>
        <w:rPr>
          <w:rFonts w:ascii="仿宋" w:hAnsi="仿宋" w:eastAsia="仿宋"/>
          <w:sz w:val="32"/>
          <w:szCs w:val="32"/>
        </w:rPr>
        <w:t>;</w:t>
      </w:r>
      <w:r>
        <w:rPr>
          <w:rFonts w:hint="eastAsia" w:ascii="仿宋" w:hAnsi="仿宋" w:eastAsia="仿宋"/>
          <w:sz w:val="32"/>
          <w:szCs w:val="32"/>
        </w:rPr>
        <w:t>负责机关文秘、机要档案、信访、文印、安全、保密、政务公开、对外宣传和信息报道工作</w:t>
      </w:r>
      <w:r>
        <w:rPr>
          <w:rFonts w:ascii="仿宋" w:hAnsi="仿宋" w:eastAsia="仿宋"/>
          <w:sz w:val="32"/>
          <w:szCs w:val="32"/>
        </w:rPr>
        <w:t>;</w:t>
      </w:r>
      <w:r>
        <w:rPr>
          <w:rFonts w:hint="eastAsia" w:ascii="仿宋" w:hAnsi="仿宋" w:eastAsia="仿宋"/>
          <w:sz w:val="32"/>
          <w:szCs w:val="32"/>
        </w:rPr>
        <w:t>承担规范性文件的合法性审核和备案工作，负责全局会议组织与协调，起草局重要文件，综合协调全局业务工作</w:t>
      </w:r>
      <w:r>
        <w:rPr>
          <w:rFonts w:ascii="仿宋" w:hAnsi="仿宋" w:eastAsia="仿宋"/>
          <w:sz w:val="32"/>
          <w:szCs w:val="32"/>
        </w:rPr>
        <w:t>;</w:t>
      </w:r>
      <w:r>
        <w:rPr>
          <w:rFonts w:hint="eastAsia" w:ascii="仿宋" w:hAnsi="仿宋" w:eastAsia="仿宋"/>
          <w:sz w:val="32"/>
          <w:szCs w:val="32"/>
        </w:rPr>
        <w:t>负责机关行政后勤管理</w:t>
      </w:r>
      <w:r>
        <w:rPr>
          <w:rFonts w:ascii="仿宋" w:hAnsi="仿宋" w:eastAsia="仿宋"/>
          <w:sz w:val="32"/>
          <w:szCs w:val="32"/>
        </w:rPr>
        <w:t>;</w:t>
      </w:r>
      <w:r>
        <w:rPr>
          <w:rFonts w:hint="eastAsia" w:ascii="仿宋" w:hAnsi="仿宋" w:eastAsia="仿宋"/>
          <w:sz w:val="32"/>
          <w:szCs w:val="32"/>
        </w:rPr>
        <w:t>组织办理人大代表的建议、政协委员的提案，承担有关行政复议行政应诉和有关信访稳定工作。指导和管理档案工作，负责局系统精神文明建设和工会工作</w:t>
      </w:r>
      <w:r>
        <w:rPr>
          <w:rFonts w:ascii="仿宋" w:hAnsi="仿宋" w:eastAsia="仿宋"/>
          <w:sz w:val="32"/>
          <w:szCs w:val="32"/>
        </w:rPr>
        <w:t>;</w:t>
      </w:r>
      <w:r>
        <w:rPr>
          <w:rFonts w:hint="eastAsia" w:ascii="仿宋" w:hAnsi="仿宋" w:eastAsia="仿宋"/>
          <w:sz w:val="32"/>
          <w:szCs w:val="32"/>
        </w:rPr>
        <w:t>完成上级交办的其它工作事宜。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贯彻落实规范建筑市场各方主体行为、施工许可、竣工验收备案、工程风险管理的规章制度并监督执行</w:t>
      </w:r>
      <w:r>
        <w:rPr>
          <w:rFonts w:ascii="仿宋" w:hAnsi="仿宋" w:eastAsia="仿宋"/>
          <w:sz w:val="32"/>
          <w:szCs w:val="32"/>
        </w:rPr>
        <w:t>;</w:t>
      </w:r>
      <w:r>
        <w:rPr>
          <w:rFonts w:hint="eastAsia" w:ascii="仿宋" w:hAnsi="仿宋" w:eastAsia="仿宋"/>
          <w:sz w:val="32"/>
          <w:szCs w:val="32"/>
        </w:rPr>
        <w:t>负责国家规定必须招标的房屋建筑和市政基础设施工程招标投标活动的监督工作</w:t>
      </w:r>
      <w:r>
        <w:rPr>
          <w:rFonts w:ascii="仿宋" w:hAnsi="仿宋" w:eastAsia="仿宋"/>
          <w:sz w:val="32"/>
          <w:szCs w:val="32"/>
        </w:rPr>
        <w:t>;</w:t>
      </w:r>
      <w:r>
        <w:rPr>
          <w:rFonts w:hint="eastAsia" w:ascii="仿宋" w:hAnsi="仿宋" w:eastAsia="仿宋"/>
          <w:sz w:val="32"/>
          <w:szCs w:val="32"/>
        </w:rPr>
        <w:t>负责国有资金投资建设工程招标的最高投标限价及其成果文件备案</w:t>
      </w:r>
      <w:r>
        <w:rPr>
          <w:rFonts w:ascii="仿宋" w:hAnsi="仿宋" w:eastAsia="仿宋"/>
          <w:sz w:val="32"/>
          <w:szCs w:val="32"/>
        </w:rPr>
        <w:t>;</w:t>
      </w:r>
      <w:r>
        <w:rPr>
          <w:rFonts w:hint="eastAsia" w:ascii="仿宋" w:hAnsi="仿宋" w:eastAsia="仿宋"/>
          <w:sz w:val="32"/>
          <w:szCs w:val="32"/>
        </w:rPr>
        <w:t>指导建筑市场信用体系建设和管理</w:t>
      </w:r>
      <w:r>
        <w:rPr>
          <w:rFonts w:ascii="仿宋" w:hAnsi="仿宋" w:eastAsia="仿宋"/>
          <w:sz w:val="32"/>
          <w:szCs w:val="32"/>
        </w:rPr>
        <w:t>;</w:t>
      </w:r>
      <w:r>
        <w:rPr>
          <w:rFonts w:hint="eastAsia" w:ascii="仿宋" w:hAnsi="仿宋" w:eastAsia="仿宋"/>
          <w:sz w:val="32"/>
          <w:szCs w:val="32"/>
        </w:rPr>
        <w:t>拟订建筑业行业发展办法，指导建筑业的发展改革</w:t>
      </w:r>
      <w:r>
        <w:rPr>
          <w:rFonts w:ascii="仿宋" w:hAnsi="仿宋" w:eastAsia="仿宋"/>
          <w:sz w:val="32"/>
          <w:szCs w:val="32"/>
        </w:rPr>
        <w:t>;</w:t>
      </w:r>
      <w:r>
        <w:rPr>
          <w:rFonts w:hint="eastAsia" w:ascii="仿宋" w:hAnsi="仿宋" w:eastAsia="仿宋"/>
          <w:sz w:val="32"/>
          <w:szCs w:val="32"/>
        </w:rPr>
        <w:t>组织编制地方建设工程量计量规则，指导监督各类建设标准定额和工程造价计价</w:t>
      </w:r>
      <w:r>
        <w:rPr>
          <w:rFonts w:ascii="仿宋" w:hAnsi="仿宋" w:eastAsia="仿宋"/>
          <w:sz w:val="32"/>
          <w:szCs w:val="32"/>
        </w:rPr>
        <w:t>;</w:t>
      </w:r>
      <w:r>
        <w:rPr>
          <w:rFonts w:hint="eastAsia" w:ascii="仿宋" w:hAnsi="仿宋" w:eastAsia="仿宋"/>
          <w:sz w:val="32"/>
          <w:szCs w:val="32"/>
        </w:rPr>
        <w:t>组织收集、发布工程材料、人工、机械设备使用等市场价格信息</w:t>
      </w:r>
      <w:r>
        <w:rPr>
          <w:rFonts w:ascii="仿宋" w:hAnsi="仿宋" w:eastAsia="仿宋"/>
          <w:sz w:val="32"/>
          <w:szCs w:val="32"/>
        </w:rPr>
        <w:t>;</w:t>
      </w:r>
      <w:r>
        <w:rPr>
          <w:rFonts w:hint="eastAsia" w:ascii="仿宋" w:hAnsi="仿宋" w:eastAsia="仿宋"/>
          <w:sz w:val="32"/>
          <w:szCs w:val="32"/>
        </w:rPr>
        <w:t>负责建筑业企业、工程造价咨询单位资质管理</w:t>
      </w:r>
      <w:r>
        <w:rPr>
          <w:rFonts w:ascii="仿宋" w:hAnsi="仿宋" w:eastAsia="仿宋"/>
          <w:sz w:val="32"/>
          <w:szCs w:val="32"/>
        </w:rPr>
        <w:t>;</w:t>
      </w:r>
      <w:r>
        <w:rPr>
          <w:rFonts w:hint="eastAsia" w:ascii="仿宋" w:hAnsi="仿宋" w:eastAsia="仿宋"/>
          <w:sz w:val="32"/>
          <w:szCs w:val="32"/>
        </w:rPr>
        <w:t>负责建筑业、装饰装修、建设机械材料设备、工程造价行业管理</w:t>
      </w:r>
      <w:r>
        <w:rPr>
          <w:rFonts w:ascii="仿宋" w:hAnsi="仿宋" w:eastAsia="仿宋"/>
          <w:sz w:val="32"/>
          <w:szCs w:val="32"/>
        </w:rPr>
        <w:t>;</w:t>
      </w:r>
      <w:r>
        <w:rPr>
          <w:rFonts w:hint="eastAsia" w:ascii="仿宋" w:hAnsi="仿宋" w:eastAsia="仿宋"/>
          <w:sz w:val="32"/>
          <w:szCs w:val="32"/>
        </w:rPr>
        <w:t>指导建筑业企业开拓国内外市场，负责进出县建筑业企业管理工作</w:t>
      </w:r>
      <w:r>
        <w:rPr>
          <w:rFonts w:ascii="仿宋" w:hAnsi="仿宋" w:eastAsia="仿宋"/>
          <w:sz w:val="32"/>
          <w:szCs w:val="32"/>
        </w:rPr>
        <w:t>;</w:t>
      </w:r>
      <w:r>
        <w:rPr>
          <w:rFonts w:hint="eastAsia" w:ascii="仿宋" w:hAnsi="仿宋" w:eastAsia="仿宋"/>
          <w:sz w:val="32"/>
          <w:szCs w:val="32"/>
        </w:rPr>
        <w:t>负责全县清欠工作的协调督导、统计报表，负责全县建设领域拖欠工程款和农民工工资的整体工作。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研究制定房地产开发建设的发展规划、办法并监督实施负责房地产开发行业管理，落实房地产开发管理政策和制度负责房地产开发企业资质的监督管理</w:t>
      </w:r>
      <w:r>
        <w:rPr>
          <w:rFonts w:ascii="仿宋" w:hAnsi="仿宋" w:eastAsia="仿宋"/>
          <w:sz w:val="32"/>
          <w:szCs w:val="32"/>
        </w:rPr>
        <w:t>;</w:t>
      </w:r>
      <w:r>
        <w:rPr>
          <w:rFonts w:hint="eastAsia" w:ascii="仿宋" w:hAnsi="仿宋" w:eastAsia="仿宋"/>
          <w:sz w:val="32"/>
          <w:szCs w:val="32"/>
        </w:rPr>
        <w:t>参与住房制度改革与房地产项目设计方案论证工作</w:t>
      </w:r>
      <w:r>
        <w:rPr>
          <w:rFonts w:ascii="仿宋" w:hAnsi="仿宋" w:eastAsia="仿宋"/>
          <w:sz w:val="32"/>
          <w:szCs w:val="32"/>
        </w:rPr>
        <w:t>;</w:t>
      </w:r>
      <w:r>
        <w:rPr>
          <w:rFonts w:hint="eastAsia" w:ascii="仿宋" w:hAnsi="仿宋" w:eastAsia="仿宋"/>
          <w:sz w:val="32"/>
          <w:szCs w:val="32"/>
        </w:rPr>
        <w:t>研究制定旧城和城中村改造政策，推进全县旧城和城中村改造工作</w:t>
      </w:r>
      <w:r>
        <w:rPr>
          <w:rFonts w:ascii="仿宋" w:hAnsi="仿宋" w:eastAsia="仿宋"/>
          <w:sz w:val="32"/>
          <w:szCs w:val="32"/>
        </w:rPr>
        <w:t>;</w:t>
      </w:r>
      <w:r>
        <w:rPr>
          <w:rFonts w:hint="eastAsia" w:ascii="仿宋" w:hAnsi="仿宋" w:eastAsia="仿宋"/>
          <w:sz w:val="32"/>
          <w:szCs w:val="32"/>
        </w:rPr>
        <w:t>指导房地产市场信用体系建设和管理</w:t>
      </w:r>
      <w:r>
        <w:rPr>
          <w:rFonts w:ascii="仿宋" w:hAnsi="仿宋" w:eastAsia="仿宋"/>
          <w:sz w:val="32"/>
          <w:szCs w:val="32"/>
        </w:rPr>
        <w:t>;</w:t>
      </w:r>
      <w:r>
        <w:rPr>
          <w:rFonts w:hint="eastAsia" w:ascii="仿宋" w:hAnsi="仿宋" w:eastAsia="仿宋"/>
          <w:sz w:val="32"/>
          <w:szCs w:val="32"/>
        </w:rPr>
        <w:t>指导国有土地上房屋征收与补偿工作。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拟订城区建设相关制度</w:t>
      </w:r>
      <w:r>
        <w:rPr>
          <w:rFonts w:ascii="仿宋" w:hAnsi="仿宋" w:eastAsia="仿宋"/>
          <w:sz w:val="32"/>
          <w:szCs w:val="32"/>
        </w:rPr>
        <w:t>;</w:t>
      </w:r>
      <w:r>
        <w:rPr>
          <w:rFonts w:hint="eastAsia" w:ascii="仿宋" w:hAnsi="仿宋" w:eastAsia="仿宋"/>
          <w:sz w:val="32"/>
          <w:szCs w:val="32"/>
        </w:rPr>
        <w:t>研究制定全县建设行业的发展规划</w:t>
      </w:r>
      <w:r>
        <w:rPr>
          <w:rFonts w:ascii="仿宋" w:hAnsi="仿宋" w:eastAsia="仿宋"/>
          <w:sz w:val="32"/>
          <w:szCs w:val="32"/>
        </w:rPr>
        <w:t>;</w:t>
      </w:r>
      <w:r>
        <w:rPr>
          <w:rFonts w:hint="eastAsia" w:ascii="仿宋" w:hAnsi="仿宋" w:eastAsia="仿宋"/>
          <w:sz w:val="32"/>
          <w:szCs w:val="32"/>
        </w:rPr>
        <w:t>指导城市建设行业相关专业规划编制并监督实施</w:t>
      </w:r>
      <w:r>
        <w:rPr>
          <w:rFonts w:ascii="仿宋" w:hAnsi="仿宋" w:eastAsia="仿宋"/>
          <w:sz w:val="32"/>
          <w:szCs w:val="32"/>
        </w:rPr>
        <w:t>;</w:t>
      </w:r>
      <w:r>
        <w:rPr>
          <w:rFonts w:hint="eastAsia" w:ascii="仿宋" w:hAnsi="仿宋" w:eastAsia="仿宋"/>
          <w:sz w:val="32"/>
          <w:szCs w:val="32"/>
        </w:rPr>
        <w:t>组织编制城乡建设行业发展规划</w:t>
      </w:r>
      <w:r>
        <w:rPr>
          <w:rFonts w:ascii="仿宋" w:hAnsi="仿宋" w:eastAsia="仿宋"/>
          <w:sz w:val="32"/>
          <w:szCs w:val="32"/>
        </w:rPr>
        <w:t>;</w:t>
      </w:r>
      <w:r>
        <w:rPr>
          <w:rFonts w:hint="eastAsia" w:ascii="仿宋" w:hAnsi="仿宋" w:eastAsia="仿宋"/>
          <w:sz w:val="32"/>
          <w:szCs w:val="32"/>
        </w:rPr>
        <w:t>参与研究建设领域财税价格政策指导市政基础设施建设领域政府和社会资本合作模式的应用协调编制城市建设行业的中长期计划，协调制定城市建设资金的有关办法，编制城市维护费使用负责监督实施</w:t>
      </w:r>
      <w:r>
        <w:rPr>
          <w:rFonts w:ascii="仿宋" w:hAnsi="仿宋" w:eastAsia="仿宋"/>
          <w:sz w:val="32"/>
          <w:szCs w:val="32"/>
        </w:rPr>
        <w:t>;</w:t>
      </w:r>
      <w:r>
        <w:rPr>
          <w:rFonts w:hint="eastAsia" w:ascii="仿宋" w:hAnsi="仿宋" w:eastAsia="仿宋"/>
          <w:sz w:val="32"/>
          <w:szCs w:val="32"/>
        </w:rPr>
        <w:t>组织城市建设年度统计</w:t>
      </w:r>
      <w:r>
        <w:rPr>
          <w:rFonts w:ascii="仿宋" w:hAnsi="仿宋" w:eastAsia="仿宋"/>
          <w:sz w:val="32"/>
          <w:szCs w:val="32"/>
        </w:rPr>
        <w:t>;</w:t>
      </w:r>
      <w:r>
        <w:rPr>
          <w:rFonts w:hint="eastAsia" w:ascii="仿宋" w:hAnsi="仿宋" w:eastAsia="仿宋"/>
          <w:sz w:val="32"/>
          <w:szCs w:val="32"/>
        </w:rPr>
        <w:t>负责谋划、编制县本级基础设施建设项目，编制县本级年度建设资金使用计划和资金使用管理</w:t>
      </w:r>
      <w:r>
        <w:rPr>
          <w:rFonts w:ascii="仿宋" w:hAnsi="仿宋" w:eastAsia="仿宋"/>
          <w:sz w:val="32"/>
          <w:szCs w:val="32"/>
        </w:rPr>
        <w:t>;</w:t>
      </w:r>
      <w:r>
        <w:rPr>
          <w:rFonts w:hint="eastAsia" w:ascii="仿宋" w:hAnsi="仿宋" w:eastAsia="仿宋"/>
          <w:sz w:val="32"/>
          <w:szCs w:val="32"/>
        </w:rPr>
        <w:t>负责市政公用城市照明施工企业的监督管理</w:t>
      </w:r>
      <w:r>
        <w:rPr>
          <w:rFonts w:ascii="仿宋" w:hAnsi="仿宋" w:eastAsia="仿宋"/>
          <w:sz w:val="32"/>
          <w:szCs w:val="32"/>
        </w:rPr>
        <w:t>;</w:t>
      </w:r>
      <w:r>
        <w:rPr>
          <w:rFonts w:hint="eastAsia" w:ascii="仿宋" w:hAnsi="仿宋" w:eastAsia="仿宋"/>
          <w:sz w:val="32"/>
          <w:szCs w:val="32"/>
        </w:rPr>
        <w:t>负责市政公用设施监督检查和考核评价。</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研究制定村镇建设办法并指导实施</w:t>
      </w:r>
      <w:r>
        <w:rPr>
          <w:rFonts w:ascii="仿宋" w:hAnsi="仿宋" w:eastAsia="仿宋"/>
          <w:sz w:val="32"/>
          <w:szCs w:val="32"/>
        </w:rPr>
        <w:t>;</w:t>
      </w:r>
      <w:r>
        <w:rPr>
          <w:rFonts w:hint="eastAsia" w:ascii="仿宋" w:hAnsi="仿宋" w:eastAsia="仿宋"/>
          <w:sz w:val="32"/>
          <w:szCs w:val="32"/>
        </w:rPr>
        <w:t>负责农村住房建设住房安全及危房改造</w:t>
      </w:r>
      <w:r>
        <w:rPr>
          <w:rFonts w:ascii="仿宋" w:hAnsi="仿宋" w:eastAsia="仿宋"/>
          <w:sz w:val="32"/>
          <w:szCs w:val="32"/>
        </w:rPr>
        <w:t>;</w:t>
      </w:r>
      <w:r>
        <w:rPr>
          <w:rFonts w:hint="eastAsia" w:ascii="仿宋" w:hAnsi="仿宋" w:eastAsia="仿宋"/>
          <w:sz w:val="32"/>
          <w:szCs w:val="32"/>
        </w:rPr>
        <w:t>组织开展村镇建设试点，负责重点镇和特色小城镇建设</w:t>
      </w:r>
      <w:r>
        <w:rPr>
          <w:rFonts w:ascii="仿宋" w:hAnsi="仿宋" w:eastAsia="仿宋"/>
          <w:sz w:val="32"/>
          <w:szCs w:val="32"/>
        </w:rPr>
        <w:t>;</w:t>
      </w:r>
      <w:r>
        <w:rPr>
          <w:rFonts w:hint="eastAsia" w:ascii="仿宋" w:hAnsi="仿宋" w:eastAsia="仿宋"/>
          <w:sz w:val="32"/>
          <w:szCs w:val="32"/>
        </w:rPr>
        <w:t>指导村镇建设工程标准、民居通用设计图的编制研究和推广工作</w:t>
      </w:r>
      <w:r>
        <w:rPr>
          <w:rFonts w:ascii="仿宋" w:hAnsi="仿宋" w:eastAsia="仿宋"/>
          <w:sz w:val="32"/>
          <w:szCs w:val="32"/>
        </w:rPr>
        <w:t>;</w:t>
      </w:r>
      <w:r>
        <w:rPr>
          <w:rFonts w:hint="eastAsia" w:ascii="仿宋" w:hAnsi="仿宋" w:eastAsia="仿宋"/>
          <w:sz w:val="32"/>
          <w:szCs w:val="32"/>
        </w:rPr>
        <w:t>负责村镇建设补助经费计划的编制并径导落实</w:t>
      </w:r>
      <w:r>
        <w:rPr>
          <w:rFonts w:ascii="仿宋" w:hAnsi="仿宋" w:eastAsia="仿宋"/>
          <w:sz w:val="32"/>
          <w:szCs w:val="32"/>
        </w:rPr>
        <w:t>;</w:t>
      </w:r>
      <w:r>
        <w:rPr>
          <w:rFonts w:hint="eastAsia" w:ascii="仿宋" w:hAnsi="仿宋" w:eastAsia="仿宋"/>
          <w:sz w:val="32"/>
          <w:szCs w:val="32"/>
        </w:rPr>
        <w:t>指导村镇建设资金管理</w:t>
      </w:r>
      <w:r>
        <w:rPr>
          <w:rFonts w:ascii="仿宋" w:hAnsi="仿宋" w:eastAsia="仿宋"/>
          <w:sz w:val="32"/>
          <w:szCs w:val="32"/>
        </w:rPr>
        <w:t>;</w:t>
      </w:r>
      <w:r>
        <w:rPr>
          <w:rFonts w:hint="eastAsia" w:ascii="仿宋" w:hAnsi="仿宋" w:eastAsia="仿宋"/>
          <w:sz w:val="32"/>
          <w:szCs w:val="32"/>
        </w:rPr>
        <w:t>负责园林绿化建设管理，负责园林城市和生态园林城市创建工作</w:t>
      </w:r>
      <w:r>
        <w:rPr>
          <w:rFonts w:ascii="仿宋" w:hAnsi="仿宋" w:eastAsia="仿宋"/>
          <w:sz w:val="32"/>
          <w:szCs w:val="32"/>
        </w:rPr>
        <w:t>;</w:t>
      </w:r>
      <w:r>
        <w:rPr>
          <w:rFonts w:hint="eastAsia" w:ascii="仿宋" w:hAnsi="仿宋" w:eastAsia="仿宋"/>
          <w:sz w:val="32"/>
          <w:szCs w:val="32"/>
        </w:rPr>
        <w:t>承办人居环境奖的组织评选</w:t>
      </w:r>
      <w:r>
        <w:rPr>
          <w:rFonts w:ascii="仿宋" w:hAnsi="仿宋" w:eastAsia="仿宋"/>
          <w:sz w:val="32"/>
          <w:szCs w:val="32"/>
        </w:rPr>
        <w:t>;</w:t>
      </w:r>
      <w:r>
        <w:rPr>
          <w:rFonts w:hint="eastAsia" w:ascii="仿宋" w:hAnsi="仿宋" w:eastAsia="仿宋"/>
          <w:sz w:val="32"/>
          <w:szCs w:val="32"/>
        </w:rPr>
        <w:t>负责历史文化名城名镇名村保护和管理工作，负责历史文化名镇名村和传统村落保护工作。承担城镇古树名木保护工。</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组织实施工程建设勘察设计的国家标准及全国统一的行业标准</w:t>
      </w:r>
      <w:r>
        <w:rPr>
          <w:rFonts w:ascii="仿宋" w:hAnsi="仿宋" w:eastAsia="仿宋"/>
          <w:sz w:val="32"/>
          <w:szCs w:val="32"/>
        </w:rPr>
        <w:t>;</w:t>
      </w:r>
      <w:r>
        <w:rPr>
          <w:rFonts w:hint="eastAsia" w:ascii="仿宋" w:hAnsi="仿宋" w:eastAsia="仿宋"/>
          <w:sz w:val="32"/>
          <w:szCs w:val="32"/>
        </w:rPr>
        <w:t>组织实施房屋建筑和市政基础设施工程建设地方标准</w:t>
      </w:r>
      <w:r>
        <w:rPr>
          <w:rFonts w:ascii="仿宋" w:hAnsi="仿宋" w:eastAsia="仿宋"/>
          <w:sz w:val="32"/>
          <w:szCs w:val="32"/>
        </w:rPr>
        <w:t>;</w:t>
      </w:r>
      <w:r>
        <w:rPr>
          <w:rFonts w:hint="eastAsia" w:ascii="仿宋" w:hAnsi="仿宋" w:eastAsia="仿宋"/>
          <w:sz w:val="32"/>
          <w:szCs w:val="32"/>
        </w:rPr>
        <w:t>负责全县勘察设计行业管理，监督工程建设勘察设计市场行为</w:t>
      </w:r>
      <w:r>
        <w:rPr>
          <w:rFonts w:ascii="仿宋" w:hAnsi="仿宋" w:eastAsia="仿宋"/>
          <w:sz w:val="32"/>
          <w:szCs w:val="32"/>
        </w:rPr>
        <w:t>;</w:t>
      </w:r>
      <w:r>
        <w:rPr>
          <w:rFonts w:hint="eastAsia" w:ascii="仿宋" w:hAnsi="仿宋" w:eastAsia="仿宋"/>
          <w:sz w:val="32"/>
          <w:szCs w:val="32"/>
        </w:rPr>
        <w:t>指导落实勘察设计行业发展规划、产业政策和规章制度并监督执行</w:t>
      </w:r>
      <w:r>
        <w:rPr>
          <w:rFonts w:ascii="仿宋" w:hAnsi="仿宋" w:eastAsia="仿宋"/>
          <w:sz w:val="32"/>
          <w:szCs w:val="32"/>
        </w:rPr>
        <w:t>;</w:t>
      </w:r>
      <w:r>
        <w:rPr>
          <w:rFonts w:hint="eastAsia" w:ascii="仿宋" w:hAnsi="仿宋" w:eastAsia="仿宋"/>
          <w:sz w:val="32"/>
          <w:szCs w:val="32"/>
        </w:rPr>
        <w:t>负责全县建设工程施工图审査机构的监督管理</w:t>
      </w:r>
      <w:r>
        <w:rPr>
          <w:rFonts w:ascii="仿宋" w:hAnsi="仿宋" w:eastAsia="仿宋"/>
          <w:sz w:val="32"/>
          <w:szCs w:val="32"/>
        </w:rPr>
        <w:t>;</w:t>
      </w:r>
      <w:r>
        <w:rPr>
          <w:rFonts w:hint="eastAsia" w:ascii="仿宋" w:hAnsi="仿宋" w:eastAsia="仿宋"/>
          <w:sz w:val="32"/>
          <w:szCs w:val="32"/>
        </w:rPr>
        <w:t>指导监督各类工程建设勘察设计规范、标准的应用</w:t>
      </w:r>
      <w:r>
        <w:rPr>
          <w:rFonts w:ascii="仿宋" w:hAnsi="仿宋" w:eastAsia="仿宋"/>
          <w:sz w:val="32"/>
          <w:szCs w:val="32"/>
        </w:rPr>
        <w:t>;</w:t>
      </w:r>
      <w:r>
        <w:rPr>
          <w:rFonts w:hint="eastAsia" w:ascii="仿宋" w:hAnsi="仿宋" w:eastAsia="仿宋"/>
          <w:sz w:val="32"/>
          <w:szCs w:val="32"/>
        </w:rPr>
        <w:t>监督管理全县勘察设计行业各类注册人员的执业行为</w:t>
      </w:r>
      <w:r>
        <w:rPr>
          <w:rFonts w:ascii="仿宋" w:hAnsi="仿宋" w:eastAsia="仿宋"/>
          <w:sz w:val="32"/>
          <w:szCs w:val="32"/>
        </w:rPr>
        <w:t>;</w:t>
      </w:r>
      <w:r>
        <w:rPr>
          <w:rFonts w:hint="eastAsia" w:ascii="仿宋" w:hAnsi="仿宋" w:eastAsia="仿宋"/>
          <w:sz w:val="32"/>
          <w:szCs w:val="32"/>
        </w:rPr>
        <w:t>监督实施房屋建筑及其附属设施、城市市政基础设施的建设工程勘察设计规范和抗震技术规范</w:t>
      </w:r>
      <w:r>
        <w:rPr>
          <w:rFonts w:ascii="仿宋" w:hAnsi="仿宋" w:eastAsia="仿宋"/>
          <w:sz w:val="32"/>
          <w:szCs w:val="32"/>
        </w:rPr>
        <w:t>;</w:t>
      </w:r>
      <w:r>
        <w:rPr>
          <w:rFonts w:hint="eastAsia" w:ascii="仿宋" w:hAnsi="仿宋" w:eastAsia="仿宋"/>
          <w:sz w:val="32"/>
          <w:szCs w:val="32"/>
        </w:rPr>
        <w:t>监督指导超限高层建筑工程抗震设防施工图审查工作</w:t>
      </w:r>
      <w:r>
        <w:rPr>
          <w:rFonts w:ascii="仿宋" w:hAnsi="仿宋" w:eastAsia="仿宋"/>
          <w:sz w:val="32"/>
          <w:szCs w:val="32"/>
        </w:rPr>
        <w:t>;</w:t>
      </w:r>
      <w:r>
        <w:rPr>
          <w:rFonts w:hint="eastAsia" w:ascii="仿宋" w:hAnsi="仿宋" w:eastAsia="仿宋"/>
          <w:sz w:val="32"/>
          <w:szCs w:val="32"/>
        </w:rPr>
        <w:t>负责房屋建筑和市政基础设施工程抗震设防监督管理</w:t>
      </w:r>
      <w:r>
        <w:rPr>
          <w:rFonts w:ascii="仿宋" w:hAnsi="仿宋" w:eastAsia="仿宋"/>
          <w:sz w:val="32"/>
          <w:szCs w:val="32"/>
        </w:rPr>
        <w:t>;</w:t>
      </w:r>
      <w:r>
        <w:rPr>
          <w:rFonts w:hint="eastAsia" w:ascii="仿宋" w:hAnsi="仿宋" w:eastAsia="仿宋"/>
          <w:sz w:val="32"/>
          <w:szCs w:val="32"/>
        </w:rPr>
        <w:t>监督房屋建筑和市政基础设施工程施工图设计审查制度的落实</w:t>
      </w:r>
      <w:r>
        <w:rPr>
          <w:rFonts w:ascii="仿宋" w:hAnsi="仿宋" w:eastAsia="仿宋"/>
          <w:sz w:val="32"/>
          <w:szCs w:val="32"/>
        </w:rPr>
        <w:t>;</w:t>
      </w:r>
      <w:r>
        <w:rPr>
          <w:rFonts w:hint="eastAsia" w:ascii="仿宋" w:hAnsi="仿宋" w:eastAsia="仿宋"/>
          <w:sz w:val="32"/>
          <w:szCs w:val="32"/>
        </w:rPr>
        <w:t>指导建设工程消防设计审查工作。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贯彻落实建设科技及绿色建筑和建设行业信息化的发展规划和政策并指导实施</w:t>
      </w:r>
      <w:r>
        <w:rPr>
          <w:rFonts w:ascii="仿宋" w:hAnsi="仿宋" w:eastAsia="仿宋"/>
          <w:sz w:val="32"/>
          <w:szCs w:val="32"/>
        </w:rPr>
        <w:t>;</w:t>
      </w:r>
      <w:r>
        <w:rPr>
          <w:rFonts w:hint="eastAsia" w:ascii="仿宋" w:hAnsi="仿宋" w:eastAsia="仿宋"/>
          <w:sz w:val="32"/>
          <w:szCs w:val="32"/>
        </w:rPr>
        <w:t>贯彻落实建筑节能发展规划和政策并指导实施</w:t>
      </w:r>
      <w:r>
        <w:rPr>
          <w:rFonts w:ascii="仿宋" w:hAnsi="仿宋" w:eastAsia="仿宋"/>
          <w:sz w:val="32"/>
          <w:szCs w:val="32"/>
        </w:rPr>
        <w:t>;</w:t>
      </w:r>
      <w:r>
        <w:rPr>
          <w:rFonts w:hint="eastAsia" w:ascii="仿宋" w:hAnsi="仿宋" w:eastAsia="仿宋"/>
          <w:sz w:val="32"/>
          <w:szCs w:val="32"/>
        </w:rPr>
        <w:t>组织重大科技课题研究和重大建筑节能项目实施</w:t>
      </w:r>
      <w:r>
        <w:rPr>
          <w:rFonts w:ascii="仿宋" w:hAnsi="仿宋" w:eastAsia="仿宋"/>
          <w:sz w:val="32"/>
          <w:szCs w:val="32"/>
        </w:rPr>
        <w:t>;</w:t>
      </w:r>
      <w:r>
        <w:rPr>
          <w:rFonts w:hint="eastAsia" w:ascii="仿宋" w:hAnsi="仿宋" w:eastAsia="仿宋"/>
          <w:sz w:val="32"/>
          <w:szCs w:val="32"/>
        </w:rPr>
        <w:t>指导关键共性技术研发和科技成果及新技术、新产品、新工艺、新材料的认定转化推广应用</w:t>
      </w:r>
      <w:r>
        <w:rPr>
          <w:rFonts w:ascii="仿宋" w:hAnsi="仿宋" w:eastAsia="仿宋"/>
          <w:sz w:val="32"/>
          <w:szCs w:val="32"/>
        </w:rPr>
        <w:t>;</w:t>
      </w:r>
      <w:r>
        <w:rPr>
          <w:rFonts w:hint="eastAsia" w:ascii="仿宋" w:hAnsi="仿宋" w:eastAsia="仿宋"/>
          <w:sz w:val="32"/>
          <w:szCs w:val="32"/>
        </w:rPr>
        <w:t>指导和推动建筑节能减排、绿色建筑发展和建筑产业现代化</w:t>
      </w:r>
      <w:r>
        <w:rPr>
          <w:rFonts w:ascii="仿宋" w:hAnsi="仿宋" w:eastAsia="仿宋"/>
          <w:sz w:val="32"/>
          <w:szCs w:val="32"/>
        </w:rPr>
        <w:t>;</w:t>
      </w:r>
      <w:r>
        <w:rPr>
          <w:rFonts w:hint="eastAsia" w:ascii="仿宋" w:hAnsi="仿宋" w:eastAsia="仿宋"/>
          <w:sz w:val="32"/>
          <w:szCs w:val="32"/>
        </w:rPr>
        <w:t>指导和管理建设工程材料设备使用</w:t>
      </w:r>
      <w:r>
        <w:rPr>
          <w:rFonts w:ascii="仿宋" w:hAnsi="仿宋" w:eastAsia="仿宋"/>
          <w:sz w:val="32"/>
          <w:szCs w:val="32"/>
        </w:rPr>
        <w:t>;</w:t>
      </w:r>
      <w:r>
        <w:rPr>
          <w:rFonts w:hint="eastAsia" w:ascii="仿宋" w:hAnsi="仿宋" w:eastAsia="仿宋"/>
          <w:sz w:val="32"/>
          <w:szCs w:val="32"/>
        </w:rPr>
        <w:t>指导和管理绿色建筑评价、绿色建材评价标识</w:t>
      </w:r>
      <w:r>
        <w:rPr>
          <w:rFonts w:ascii="仿宋" w:hAnsi="仿宋" w:eastAsia="仿宋"/>
          <w:sz w:val="32"/>
          <w:szCs w:val="32"/>
        </w:rPr>
        <w:t>;</w:t>
      </w:r>
      <w:r>
        <w:rPr>
          <w:rFonts w:hint="eastAsia" w:ascii="仿宋" w:hAnsi="仿宋" w:eastAsia="仿宋"/>
          <w:sz w:val="32"/>
          <w:szCs w:val="32"/>
        </w:rPr>
        <w:t>推广建筑垃圾资源化利用技术</w:t>
      </w:r>
      <w:r>
        <w:rPr>
          <w:rFonts w:ascii="仿宋" w:hAnsi="仿宋" w:eastAsia="仿宋"/>
          <w:sz w:val="32"/>
          <w:szCs w:val="32"/>
        </w:rPr>
        <w:t>;</w:t>
      </w:r>
      <w:r>
        <w:rPr>
          <w:rFonts w:hint="eastAsia" w:ascii="仿宋" w:hAnsi="仿宋" w:eastAsia="仿宋"/>
          <w:sz w:val="32"/>
          <w:szCs w:val="32"/>
        </w:rPr>
        <w:t>指导推广装配式建筑建设</w:t>
      </w:r>
      <w:r>
        <w:rPr>
          <w:rFonts w:ascii="仿宋" w:hAnsi="仿宋" w:eastAsia="仿宋"/>
          <w:sz w:val="32"/>
          <w:szCs w:val="32"/>
        </w:rPr>
        <w:t>;</w:t>
      </w:r>
      <w:r>
        <w:rPr>
          <w:rFonts w:hint="eastAsia" w:ascii="仿宋" w:hAnsi="仿宋" w:eastAsia="仿宋"/>
          <w:sz w:val="32"/>
          <w:szCs w:val="32"/>
        </w:rPr>
        <w:t>负责建筑施工企业各类人员培训</w:t>
      </w:r>
      <w:r>
        <w:rPr>
          <w:rFonts w:ascii="仿宋" w:hAnsi="仿宋" w:eastAsia="仿宋"/>
          <w:sz w:val="32"/>
          <w:szCs w:val="32"/>
        </w:rPr>
        <w:t>;</w:t>
      </w:r>
      <w:r>
        <w:rPr>
          <w:rFonts w:hint="eastAsia" w:ascii="仿宋" w:hAnsi="仿宋" w:eastAsia="仿宋"/>
          <w:sz w:val="32"/>
          <w:szCs w:val="32"/>
        </w:rPr>
        <w:t>指导建设行业人才队伍建设工作。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组织实施工程建设实施阶段的国家标准及全国统一的行业标准</w:t>
      </w:r>
      <w:r>
        <w:rPr>
          <w:rFonts w:ascii="仿宋" w:hAnsi="仿宋" w:eastAsia="仿宋"/>
          <w:sz w:val="32"/>
          <w:szCs w:val="32"/>
        </w:rPr>
        <w:t>;</w:t>
      </w:r>
      <w:r>
        <w:rPr>
          <w:rFonts w:hint="eastAsia" w:ascii="仿宋" w:hAnsi="仿宋" w:eastAsia="仿宋"/>
          <w:sz w:val="32"/>
          <w:szCs w:val="32"/>
        </w:rPr>
        <w:t>负责房屋建筑和市政基础设施工程建设相关工作</w:t>
      </w:r>
      <w:r>
        <w:rPr>
          <w:rFonts w:ascii="仿宋" w:hAnsi="仿宋" w:eastAsia="仿宋"/>
          <w:sz w:val="32"/>
          <w:szCs w:val="32"/>
        </w:rPr>
        <w:t>;</w:t>
      </w:r>
      <w:r>
        <w:rPr>
          <w:rFonts w:hint="eastAsia" w:ascii="仿宋" w:hAnsi="仿宋" w:eastAsia="仿宋"/>
          <w:sz w:val="32"/>
          <w:szCs w:val="32"/>
          <w:lang w:eastAsia="zh-CN"/>
        </w:rPr>
        <w:t>负责</w:t>
      </w:r>
      <w:r>
        <w:rPr>
          <w:rFonts w:hint="eastAsia" w:ascii="仿宋" w:hAnsi="仿宋" w:eastAsia="仿宋"/>
          <w:sz w:val="32"/>
          <w:szCs w:val="32"/>
        </w:rPr>
        <w:t>公共服务设施</w:t>
      </w:r>
      <w:r>
        <w:rPr>
          <w:rFonts w:ascii="仿宋" w:hAnsi="仿宋" w:eastAsia="仿宋"/>
          <w:sz w:val="32"/>
          <w:szCs w:val="32"/>
        </w:rPr>
        <w:t>(</w:t>
      </w:r>
      <w:r>
        <w:rPr>
          <w:rFonts w:hint="eastAsia" w:ascii="仿宋" w:hAnsi="仿宋" w:eastAsia="仿宋"/>
          <w:sz w:val="32"/>
          <w:szCs w:val="32"/>
        </w:rPr>
        <w:t>不含通信设施</w:t>
      </w:r>
      <w:r>
        <w:rPr>
          <w:rFonts w:ascii="仿宋" w:hAnsi="仿宋" w:eastAsia="仿宋"/>
          <w:sz w:val="32"/>
          <w:szCs w:val="32"/>
        </w:rPr>
        <w:t>)</w:t>
      </w:r>
      <w:r>
        <w:rPr>
          <w:rFonts w:hint="eastAsia" w:ascii="仿宋" w:hAnsi="仿宋" w:eastAsia="仿宋"/>
          <w:sz w:val="32"/>
          <w:szCs w:val="32"/>
        </w:rPr>
        <w:t>建设相关工作</w:t>
      </w:r>
      <w:r>
        <w:rPr>
          <w:rFonts w:ascii="仿宋" w:hAnsi="仿宋" w:eastAsia="仿宋"/>
          <w:sz w:val="32"/>
          <w:szCs w:val="32"/>
        </w:rPr>
        <w:t>;</w:t>
      </w:r>
      <w:r>
        <w:rPr>
          <w:rFonts w:hint="eastAsia" w:ascii="仿宋" w:hAnsi="仿宋" w:eastAsia="仿宋"/>
          <w:sz w:val="32"/>
          <w:szCs w:val="32"/>
        </w:rPr>
        <w:t>指导工程建设标准的实施</w:t>
      </w:r>
      <w:r>
        <w:rPr>
          <w:rFonts w:ascii="仿宋" w:hAnsi="仿宋" w:eastAsia="仿宋"/>
          <w:sz w:val="32"/>
          <w:szCs w:val="32"/>
        </w:rPr>
        <w:t>;</w:t>
      </w:r>
      <w:r>
        <w:rPr>
          <w:rFonts w:hint="eastAsia" w:ascii="仿宋" w:hAnsi="仿宋" w:eastAsia="仿宋"/>
          <w:sz w:val="32"/>
          <w:szCs w:val="32"/>
        </w:rPr>
        <w:t>负责房屋建筑和市政基础设施工程质量的监督管理，贯彻落实建筑工程质量和竣工验收备案的政策、规章制度并监督执行</w:t>
      </w:r>
      <w:r>
        <w:rPr>
          <w:rFonts w:ascii="仿宋" w:hAnsi="仿宋" w:eastAsia="仿宋"/>
          <w:sz w:val="32"/>
          <w:szCs w:val="32"/>
        </w:rPr>
        <w:t>;</w:t>
      </w:r>
      <w:r>
        <w:rPr>
          <w:rFonts w:hint="eastAsia" w:ascii="仿宋" w:hAnsi="仿宋" w:eastAsia="仿宋"/>
          <w:sz w:val="32"/>
          <w:szCs w:val="32"/>
        </w:rPr>
        <w:t>负责工程质量检测、工程监理行业管理。</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负责房屋建筑和市政基础设施施工安全的监督管理，贯彻落实建筑施工安全和竣工验收备案的政策、规章制度并监督执行</w:t>
      </w:r>
      <w:r>
        <w:rPr>
          <w:rFonts w:ascii="仿宋" w:hAnsi="仿宋" w:eastAsia="仿宋"/>
          <w:sz w:val="32"/>
          <w:szCs w:val="32"/>
        </w:rPr>
        <w:t>;</w:t>
      </w:r>
      <w:r>
        <w:rPr>
          <w:rFonts w:hint="eastAsia" w:ascii="仿宋" w:hAnsi="仿宋" w:eastAsia="仿宋"/>
          <w:sz w:val="32"/>
          <w:szCs w:val="32"/>
        </w:rPr>
        <w:t>组织或参与工程重大质量、安全事故的调查处理</w:t>
      </w:r>
      <w:r>
        <w:rPr>
          <w:rFonts w:ascii="仿宋" w:hAnsi="仿宋" w:eastAsia="仿宋"/>
          <w:sz w:val="32"/>
          <w:szCs w:val="32"/>
        </w:rPr>
        <w:t>;</w:t>
      </w:r>
      <w:r>
        <w:rPr>
          <w:rFonts w:hint="eastAsia" w:ascii="仿宋" w:hAnsi="仿宋" w:eastAsia="仿宋"/>
          <w:sz w:val="32"/>
          <w:szCs w:val="32"/>
          <w:lang w:eastAsia="zh-CN"/>
        </w:rPr>
        <w:t>负责</w:t>
      </w:r>
      <w:r>
        <w:rPr>
          <w:rFonts w:hint="eastAsia" w:ascii="仿宋" w:hAnsi="仿宋" w:eastAsia="仿宋"/>
          <w:sz w:val="32"/>
          <w:szCs w:val="32"/>
        </w:rPr>
        <w:t>建筑施工企业安全生产许可。贯彻落实建筑生态发展规划和政策并指导实施</w:t>
      </w:r>
      <w:r>
        <w:rPr>
          <w:rFonts w:ascii="仿宋" w:hAnsi="仿宋" w:eastAsia="仿宋"/>
          <w:sz w:val="32"/>
          <w:szCs w:val="32"/>
        </w:rPr>
        <w:t>;</w:t>
      </w:r>
      <w:r>
        <w:rPr>
          <w:rFonts w:hint="eastAsia" w:ascii="仿宋" w:hAnsi="仿宋" w:eastAsia="仿宋"/>
          <w:sz w:val="32"/>
          <w:szCs w:val="32"/>
        </w:rPr>
        <w:t>负责全县建筑施工扬尘治理工作</w:t>
      </w:r>
      <w:r>
        <w:rPr>
          <w:rFonts w:ascii="仿宋" w:hAnsi="仿宋" w:eastAsia="仿宋"/>
          <w:sz w:val="32"/>
          <w:szCs w:val="32"/>
        </w:rPr>
        <w:t>;</w:t>
      </w:r>
      <w:r>
        <w:rPr>
          <w:rFonts w:hint="eastAsia" w:ascii="仿宋" w:hAnsi="仿宋" w:eastAsia="仿宋"/>
          <w:sz w:val="32"/>
          <w:szCs w:val="32"/>
        </w:rPr>
        <w:t>负责全县建筑工程管理的信息化建设、应用和全具建设行业信用体系建设工作。</w:t>
      </w:r>
    </w:p>
    <w:p>
      <w:pPr>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房管股</w:t>
      </w:r>
    </w:p>
    <w:p>
      <w:pPr>
        <w:ind w:firstLine="480" w:firstLineChars="150"/>
        <w:rPr>
          <w:rFonts w:ascii="仿宋" w:hAnsi="仿宋" w:eastAsia="仿宋"/>
          <w:sz w:val="32"/>
          <w:szCs w:val="32"/>
        </w:rPr>
      </w:pPr>
      <w:r>
        <w:rPr>
          <w:rFonts w:hint="eastAsia" w:ascii="仿宋" w:hAnsi="仿宋" w:eastAsia="仿宋"/>
          <w:sz w:val="32"/>
          <w:szCs w:val="32"/>
        </w:rPr>
        <w:t>负责住房保障和房产管理法律、法规和规章的宣传教育和普及工作</w:t>
      </w:r>
      <w:r>
        <w:rPr>
          <w:rFonts w:ascii="仿宋" w:hAnsi="仿宋" w:eastAsia="仿宋"/>
          <w:sz w:val="32"/>
          <w:szCs w:val="32"/>
        </w:rPr>
        <w:t>;</w:t>
      </w:r>
      <w:r>
        <w:rPr>
          <w:rFonts w:hint="eastAsia" w:ascii="仿宋" w:hAnsi="仿宋" w:eastAsia="仿宋"/>
          <w:sz w:val="32"/>
          <w:szCs w:val="32"/>
        </w:rPr>
        <w:t>负责住房保障、房产管理、住房制度改革、物管理规范性文件的审核工作</w:t>
      </w:r>
      <w:r>
        <w:rPr>
          <w:rFonts w:ascii="仿宋" w:hAnsi="仿宋" w:eastAsia="仿宋"/>
          <w:sz w:val="32"/>
          <w:szCs w:val="32"/>
        </w:rPr>
        <w:t>;</w:t>
      </w:r>
      <w:r>
        <w:rPr>
          <w:rFonts w:hint="eastAsia" w:ascii="仿宋" w:hAnsi="仿宋" w:eastAsia="仿宋"/>
          <w:sz w:val="32"/>
          <w:szCs w:val="32"/>
        </w:rPr>
        <w:t>负责房产政策调研、咨询工作</w:t>
      </w:r>
      <w:r>
        <w:rPr>
          <w:rFonts w:ascii="仿宋" w:hAnsi="仿宋" w:eastAsia="仿宋"/>
          <w:sz w:val="32"/>
          <w:szCs w:val="32"/>
        </w:rPr>
        <w:t>;</w:t>
      </w:r>
      <w:r>
        <w:rPr>
          <w:rFonts w:hint="eastAsia" w:ascii="仿宋" w:hAnsi="仿宋" w:eastAsia="仿宋"/>
          <w:sz w:val="32"/>
          <w:szCs w:val="32"/>
        </w:rPr>
        <w:t>负责房产行政执法机构的执法监督、评议考核及执法人员的培训和执法证件的管理</w:t>
      </w:r>
      <w:r>
        <w:rPr>
          <w:rFonts w:ascii="仿宋" w:hAnsi="仿宋" w:eastAsia="仿宋"/>
          <w:sz w:val="32"/>
          <w:szCs w:val="32"/>
        </w:rPr>
        <w:t>;</w:t>
      </w:r>
      <w:r>
        <w:rPr>
          <w:rFonts w:hint="eastAsia" w:ascii="仿宋" w:hAnsi="仿宋" w:eastAsia="仿宋"/>
          <w:sz w:val="32"/>
          <w:szCs w:val="32"/>
        </w:rPr>
        <w:t>负责房产行政复议和涉法应诉案件的协调工作。负责拟订全县住房保障制度、配套办法并贯彻实施</w:t>
      </w:r>
      <w:r>
        <w:rPr>
          <w:rFonts w:ascii="仿宋" w:hAnsi="仿宋" w:eastAsia="仿宋"/>
          <w:sz w:val="32"/>
          <w:szCs w:val="32"/>
        </w:rPr>
        <w:t>;</w:t>
      </w:r>
      <w:r>
        <w:rPr>
          <w:rFonts w:hint="eastAsia" w:ascii="仿宋" w:hAnsi="仿宋" w:eastAsia="仿宋"/>
          <w:sz w:val="32"/>
          <w:szCs w:val="32"/>
        </w:rPr>
        <w:t>负责拟订全县住房保障发展规划、年度计划并监督实施</w:t>
      </w:r>
      <w:r>
        <w:rPr>
          <w:rFonts w:ascii="仿宋" w:hAnsi="仿宋" w:eastAsia="仿宋"/>
          <w:sz w:val="32"/>
          <w:szCs w:val="32"/>
        </w:rPr>
        <w:t>;</w:t>
      </w:r>
      <w:r>
        <w:rPr>
          <w:rFonts w:hint="eastAsia" w:ascii="仿宋" w:hAnsi="仿宋" w:eastAsia="仿宋"/>
          <w:sz w:val="32"/>
          <w:szCs w:val="32"/>
        </w:rPr>
        <w:t>负责全县保障性安居工程信息数据的汇总统计工作</w:t>
      </w:r>
      <w:r>
        <w:rPr>
          <w:rFonts w:ascii="仿宋" w:hAnsi="仿宋" w:eastAsia="仿宋"/>
          <w:sz w:val="32"/>
          <w:szCs w:val="32"/>
        </w:rPr>
        <w:t>;</w:t>
      </w:r>
      <w:r>
        <w:rPr>
          <w:rFonts w:hint="eastAsia" w:ascii="仿宋" w:hAnsi="仿宋" w:eastAsia="仿宋"/>
          <w:sz w:val="32"/>
          <w:szCs w:val="32"/>
        </w:rPr>
        <w:t>指导保障性住房的安全使用</w:t>
      </w:r>
      <w:r>
        <w:rPr>
          <w:rFonts w:ascii="仿宋" w:hAnsi="仿宋" w:eastAsia="仿宋"/>
          <w:sz w:val="32"/>
          <w:szCs w:val="32"/>
        </w:rPr>
        <w:t>;</w:t>
      </w:r>
      <w:r>
        <w:rPr>
          <w:rFonts w:hint="eastAsia" w:ascii="仿宋" w:hAnsi="仿宋" w:eastAsia="仿宋"/>
          <w:sz w:val="32"/>
          <w:szCs w:val="32"/>
        </w:rPr>
        <w:t>牵头拟订适合县情的住房政策，推动住房制度改革。</w:t>
      </w:r>
    </w:p>
    <w:p>
      <w:pPr>
        <w:ind w:firstLine="480" w:firstLineChars="150"/>
        <w:rPr>
          <w:rFonts w:ascii="仿宋" w:hAnsi="仿宋" w:eastAsia="仿宋"/>
          <w:sz w:val="32"/>
          <w:szCs w:val="32"/>
        </w:rPr>
      </w:pPr>
      <w:r>
        <w:rPr>
          <w:rFonts w:hint="eastAsia" w:ascii="仿宋" w:hAnsi="仿宋" w:eastAsia="仿宋"/>
          <w:sz w:val="32"/>
          <w:szCs w:val="32"/>
        </w:rPr>
        <w:t>会同有关部门拟订房地产调控办法并监督执行。负责拟订房屋交易、房屋租赁、房地产估价与经纪管理的相关制度并监督实施</w:t>
      </w:r>
      <w:r>
        <w:rPr>
          <w:rFonts w:ascii="仿宋" w:hAnsi="仿宋" w:eastAsia="仿宋"/>
          <w:sz w:val="32"/>
          <w:szCs w:val="32"/>
        </w:rPr>
        <w:t>;</w:t>
      </w:r>
      <w:r>
        <w:rPr>
          <w:rFonts w:hint="eastAsia" w:ascii="仿宋" w:hAnsi="仿宋" w:eastAsia="仿宋"/>
          <w:sz w:val="32"/>
          <w:szCs w:val="32"/>
        </w:rPr>
        <w:t>负责房产交易市场信息的动态监测和运行分析。负责研究拟订全县物业管理的制度、规定，并宣传贯彻</w:t>
      </w:r>
      <w:r>
        <w:rPr>
          <w:rFonts w:ascii="仿宋" w:hAnsi="仿宋" w:eastAsia="仿宋"/>
          <w:sz w:val="32"/>
          <w:szCs w:val="32"/>
        </w:rPr>
        <w:t>;</w:t>
      </w:r>
      <w:r>
        <w:rPr>
          <w:rFonts w:hint="eastAsia" w:ascii="仿宋" w:hAnsi="仿宋" w:eastAsia="仿宋"/>
          <w:sz w:val="32"/>
          <w:szCs w:val="32"/>
        </w:rPr>
        <w:t>负责公有住房出售、职工购房补贴相关工作</w:t>
      </w:r>
      <w:r>
        <w:rPr>
          <w:rFonts w:ascii="仿宋" w:hAnsi="仿宋" w:eastAsia="仿宋"/>
          <w:sz w:val="32"/>
          <w:szCs w:val="32"/>
        </w:rPr>
        <w:t>;</w:t>
      </w:r>
      <w:r>
        <w:rPr>
          <w:rFonts w:hint="eastAsia" w:ascii="仿宋" w:hAnsi="仿宋" w:eastAsia="仿宋"/>
          <w:sz w:val="32"/>
          <w:szCs w:val="32"/>
        </w:rPr>
        <w:t>负责全县直管公房的管理工作</w:t>
      </w:r>
      <w:r>
        <w:rPr>
          <w:rFonts w:ascii="仿宋" w:hAnsi="仿宋" w:eastAsia="仿宋"/>
          <w:sz w:val="32"/>
          <w:szCs w:val="32"/>
        </w:rPr>
        <w:t>;</w:t>
      </w:r>
      <w:r>
        <w:rPr>
          <w:rFonts w:hint="eastAsia" w:ascii="仿宋" w:hAnsi="仿宋" w:eastAsia="仿宋"/>
          <w:sz w:val="32"/>
          <w:szCs w:val="32"/>
        </w:rPr>
        <w:t>负责县物业行业管理工作。负责研究拟定全县房屋安全鉴定管理的相关制度并组织实施，负责危险房屋的鉴定和治理工作。</w:t>
      </w:r>
    </w:p>
    <w:p>
      <w:pPr>
        <w:ind w:firstLine="480" w:firstLineChars="150"/>
        <w:rPr>
          <w:rFonts w:ascii="仿宋" w:hAnsi="仿宋" w:eastAsia="仿宋"/>
          <w:color w:val="000000"/>
          <w:sz w:val="32"/>
          <w:szCs w:val="32"/>
        </w:rPr>
      </w:pPr>
      <w:r>
        <w:rPr>
          <w:rFonts w:hint="eastAsia" w:ascii="仿宋" w:hAnsi="仿宋" w:eastAsia="仿宋"/>
          <w:sz w:val="32"/>
          <w:szCs w:val="32"/>
        </w:rPr>
        <w:t>负责新建商品房预售资金和存量房交易资金监管工作；</w:t>
      </w:r>
      <w:r>
        <w:rPr>
          <w:rFonts w:hint="eastAsia" w:ascii="仿宋" w:hAnsi="仿宋" w:eastAsia="仿宋"/>
          <w:color w:val="000000"/>
          <w:sz w:val="32"/>
          <w:szCs w:val="32"/>
        </w:rPr>
        <w:t>协同有关部门做好国家、省、市、县保障住房资金申报工作负责全县住宅专项维修资金管理工作</w:t>
      </w:r>
      <w:r>
        <w:rPr>
          <w:rFonts w:ascii="仿宋" w:hAnsi="仿宋" w:eastAsia="仿宋"/>
          <w:color w:val="000000"/>
          <w:sz w:val="32"/>
          <w:szCs w:val="32"/>
        </w:rPr>
        <w:t>;</w:t>
      </w:r>
      <w:r>
        <w:rPr>
          <w:rFonts w:hint="eastAsia" w:ascii="仿宋" w:hAnsi="仿宋" w:eastAsia="仿宋"/>
          <w:color w:val="000000"/>
          <w:sz w:val="32"/>
          <w:szCs w:val="32"/>
        </w:rPr>
        <w:t>负责落实上级有关住宅产业化方面的政策。协同有关部门编制住宅建设中长期规划和年度计划。组织重大科技课题研究和住房保障建设项目实施负责房地产业协会的监督指导工作</w:t>
      </w:r>
      <w:r>
        <w:rPr>
          <w:rFonts w:ascii="仿宋" w:hAnsi="仿宋" w:eastAsia="仿宋"/>
          <w:color w:val="000000"/>
          <w:sz w:val="32"/>
          <w:szCs w:val="32"/>
        </w:rPr>
        <w:t>;</w:t>
      </w:r>
      <w:r>
        <w:rPr>
          <w:rFonts w:hint="eastAsia" w:ascii="仿宋" w:hAnsi="仿宋" w:eastAsia="仿宋"/>
          <w:color w:val="000000"/>
          <w:sz w:val="32"/>
          <w:szCs w:val="32"/>
        </w:rPr>
        <w:t>负责制定全县住宅室内装饰装修管理制度。负责测绘成果管理工作。</w:t>
      </w:r>
    </w:p>
    <w:p>
      <w:pPr>
        <w:ind w:left="482"/>
        <w:rPr>
          <w:rFonts w:ascii="仿宋" w:hAnsi="仿宋" w:eastAsia="仿宋"/>
          <w:b/>
          <w:color w:val="000000"/>
          <w:sz w:val="32"/>
          <w:szCs w:val="32"/>
        </w:rPr>
      </w:pPr>
      <w:r>
        <w:rPr>
          <w:rFonts w:hint="eastAsia" w:ascii="仿宋" w:hAnsi="仿宋" w:eastAsia="仿宋"/>
          <w:b/>
          <w:color w:val="000000"/>
          <w:sz w:val="32"/>
          <w:szCs w:val="32"/>
        </w:rPr>
        <w:t>（三）综合执法股</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负责组织拟订全县市政设施、园林绿化、市容市貌、环境卫生、公用事业的专项规划、中长期发展规划和年度计划</w:t>
      </w:r>
      <w:r>
        <w:rPr>
          <w:rFonts w:ascii="仿宋" w:hAnsi="仿宋" w:eastAsia="仿宋"/>
          <w:color w:val="000000"/>
          <w:sz w:val="32"/>
          <w:szCs w:val="32"/>
        </w:rPr>
        <w:t>;</w:t>
      </w:r>
      <w:r>
        <w:rPr>
          <w:rFonts w:hint="eastAsia" w:ascii="仿宋" w:hAnsi="仿宋" w:eastAsia="仿宋"/>
          <w:color w:val="000000"/>
          <w:sz w:val="32"/>
          <w:szCs w:val="32"/>
        </w:rPr>
        <w:t>研究拟订推进市政公用事业城乡一体化的发展规划和计划</w:t>
      </w:r>
      <w:r>
        <w:rPr>
          <w:rFonts w:ascii="仿宋" w:hAnsi="仿宋" w:eastAsia="仿宋"/>
          <w:color w:val="000000"/>
          <w:sz w:val="32"/>
          <w:szCs w:val="32"/>
        </w:rPr>
        <w:t>;</w:t>
      </w:r>
      <w:r>
        <w:rPr>
          <w:rFonts w:hint="eastAsia" w:ascii="仿宋" w:hAnsi="仿宋" w:eastAsia="仿宋"/>
          <w:color w:val="000000"/>
          <w:sz w:val="32"/>
          <w:szCs w:val="32"/>
        </w:rPr>
        <w:t>组织编制市政公用工程建设项目的资金计划，审査市政公用工程建设项目预决算</w:t>
      </w:r>
      <w:r>
        <w:rPr>
          <w:rFonts w:ascii="仿宋" w:hAnsi="仿宋" w:eastAsia="仿宋"/>
          <w:color w:val="000000"/>
          <w:sz w:val="32"/>
          <w:szCs w:val="32"/>
        </w:rPr>
        <w:t>;</w:t>
      </w:r>
      <w:r>
        <w:rPr>
          <w:rFonts w:hint="eastAsia" w:ascii="仿宋" w:hAnsi="仿宋" w:eastAsia="仿宋"/>
          <w:color w:val="000000"/>
          <w:sz w:val="32"/>
          <w:szCs w:val="32"/>
        </w:rPr>
        <w:t>负责相关行业固定资产投资项目的立项申报</w:t>
      </w:r>
      <w:r>
        <w:rPr>
          <w:rFonts w:ascii="仿宋" w:hAnsi="仿宋" w:eastAsia="仿宋"/>
          <w:color w:val="000000"/>
          <w:sz w:val="32"/>
          <w:szCs w:val="32"/>
        </w:rPr>
        <w:t>;</w:t>
      </w:r>
      <w:r>
        <w:rPr>
          <w:rFonts w:hint="eastAsia" w:ascii="仿宋" w:hAnsi="仿宋" w:eastAsia="仿宋"/>
          <w:color w:val="000000"/>
          <w:sz w:val="32"/>
          <w:szCs w:val="32"/>
        </w:rPr>
        <w:t>负责市政公用事业特许经营项目合同的签订工作</w:t>
      </w:r>
      <w:r>
        <w:rPr>
          <w:rFonts w:ascii="仿宋" w:hAnsi="仿宋" w:eastAsia="仿宋"/>
          <w:color w:val="000000"/>
          <w:sz w:val="32"/>
          <w:szCs w:val="32"/>
        </w:rPr>
        <w:t>;</w:t>
      </w:r>
      <w:r>
        <w:rPr>
          <w:rFonts w:hint="eastAsia" w:ascii="仿宋" w:hAnsi="仿宋" w:eastAsia="仿宋"/>
          <w:color w:val="000000"/>
          <w:sz w:val="32"/>
          <w:szCs w:val="32"/>
        </w:rPr>
        <w:t>负责招商引资和行业统计分析工作。</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负责全县市政设施和园林绿化的管理工作。拟定并组织实施相关行业的专项规划、建设规划和年度计划</w:t>
      </w:r>
      <w:r>
        <w:rPr>
          <w:rFonts w:ascii="仿宋" w:hAnsi="仿宋" w:eastAsia="仿宋"/>
          <w:color w:val="000000"/>
          <w:sz w:val="32"/>
          <w:szCs w:val="32"/>
        </w:rPr>
        <w:t>;</w:t>
      </w:r>
      <w:r>
        <w:rPr>
          <w:rFonts w:hint="eastAsia" w:ascii="仿宋" w:hAnsi="仿宋" w:eastAsia="仿宋"/>
          <w:color w:val="000000"/>
          <w:sz w:val="32"/>
          <w:szCs w:val="32"/>
        </w:rPr>
        <w:t>组织拟订相关行业管理标准及规范，并监督实施</w:t>
      </w:r>
      <w:r>
        <w:rPr>
          <w:rFonts w:ascii="仿宋" w:hAnsi="仿宋" w:eastAsia="仿宋"/>
          <w:color w:val="000000"/>
          <w:sz w:val="32"/>
          <w:szCs w:val="32"/>
        </w:rPr>
        <w:t>;</w:t>
      </w:r>
      <w:r>
        <w:rPr>
          <w:rFonts w:hint="eastAsia" w:ascii="仿宋" w:hAnsi="仿宋" w:eastAsia="仿宋"/>
          <w:color w:val="000000"/>
          <w:sz w:val="32"/>
          <w:szCs w:val="32"/>
        </w:rPr>
        <w:t>负责市政设施和园林绿化的设计、建设、维护工作，负责市政设施和园林绿化的安全运行、文明施工和优质服务工作</w:t>
      </w:r>
      <w:r>
        <w:rPr>
          <w:rFonts w:ascii="仿宋" w:hAnsi="仿宋" w:eastAsia="仿宋"/>
          <w:color w:val="000000"/>
          <w:sz w:val="32"/>
          <w:szCs w:val="32"/>
        </w:rPr>
        <w:t>;</w:t>
      </w:r>
      <w:r>
        <w:rPr>
          <w:rFonts w:hint="eastAsia" w:ascii="仿宋" w:hAnsi="仿宋" w:eastAsia="仿宋"/>
          <w:color w:val="000000"/>
          <w:sz w:val="32"/>
          <w:szCs w:val="32"/>
        </w:rPr>
        <w:t>负责组织市政工程建设项目的设计审查、技术交底和竣工验收，参与工程预决算工作</w:t>
      </w:r>
      <w:r>
        <w:rPr>
          <w:rFonts w:ascii="仿宋" w:hAnsi="仿宋" w:eastAsia="仿宋"/>
          <w:color w:val="000000"/>
          <w:sz w:val="32"/>
          <w:szCs w:val="32"/>
        </w:rPr>
        <w:t>;</w:t>
      </w:r>
      <w:r>
        <w:rPr>
          <w:rFonts w:hint="eastAsia" w:ascii="仿宋" w:hAnsi="仿宋" w:eastAsia="仿宋"/>
          <w:color w:val="000000"/>
          <w:sz w:val="32"/>
          <w:szCs w:val="32"/>
        </w:rPr>
        <w:t>参与公共交通的场站规划建设工作</w:t>
      </w:r>
      <w:r>
        <w:rPr>
          <w:rFonts w:ascii="仿宋" w:hAnsi="仿宋" w:eastAsia="仿宋"/>
          <w:color w:val="000000"/>
          <w:sz w:val="32"/>
          <w:szCs w:val="32"/>
        </w:rPr>
        <w:t>;</w:t>
      </w:r>
      <w:r>
        <w:rPr>
          <w:rFonts w:hint="eastAsia" w:ascii="仿宋" w:hAnsi="仿宋" w:eastAsia="仿宋"/>
          <w:color w:val="000000"/>
          <w:sz w:val="32"/>
          <w:szCs w:val="32"/>
        </w:rPr>
        <w:t>负责城市道路照明亮化的监督管理</w:t>
      </w:r>
      <w:r>
        <w:rPr>
          <w:rFonts w:ascii="仿宋" w:hAnsi="仿宋" w:eastAsia="仿宋"/>
          <w:color w:val="000000"/>
          <w:sz w:val="32"/>
          <w:szCs w:val="32"/>
        </w:rPr>
        <w:t>;</w:t>
      </w:r>
      <w:r>
        <w:rPr>
          <w:rFonts w:hint="eastAsia" w:ascii="仿宋" w:hAnsi="仿宋" w:eastAsia="仿宋"/>
          <w:color w:val="000000"/>
          <w:sz w:val="32"/>
          <w:szCs w:val="32"/>
        </w:rPr>
        <w:t>参与停车场规划，牵头负责停车场建设工作</w:t>
      </w:r>
      <w:r>
        <w:rPr>
          <w:rFonts w:ascii="仿宋" w:hAnsi="仿宋" w:eastAsia="仿宋"/>
          <w:color w:val="000000"/>
          <w:sz w:val="32"/>
          <w:szCs w:val="32"/>
        </w:rPr>
        <w:t>;</w:t>
      </w:r>
      <w:r>
        <w:rPr>
          <w:rFonts w:hint="eastAsia" w:ascii="仿宋" w:hAnsi="仿宋" w:eastAsia="仿宋"/>
          <w:color w:val="000000"/>
          <w:sz w:val="32"/>
          <w:szCs w:val="32"/>
        </w:rPr>
        <w:t>参与城市防汛、防震抗震和城市环境综合整治工作，负责市政公用事业建设用地的征迁和补偿，协调征迁工作中的相关问题</w:t>
      </w:r>
      <w:r>
        <w:rPr>
          <w:rFonts w:ascii="仿宋" w:hAnsi="仿宋" w:eastAsia="仿宋"/>
          <w:color w:val="000000"/>
          <w:sz w:val="32"/>
          <w:szCs w:val="32"/>
        </w:rPr>
        <w:t>;</w:t>
      </w:r>
      <w:r>
        <w:rPr>
          <w:rFonts w:hint="eastAsia" w:ascii="仿宋" w:hAnsi="仿宋" w:eastAsia="仿宋"/>
          <w:color w:val="000000"/>
          <w:sz w:val="32"/>
          <w:szCs w:val="32"/>
        </w:rPr>
        <w:t>负责征迁资金的管理和使用，参与征迁工程预决算审查。</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负责全县城市燃气、城市排水和再生水利用的行业管理工作。拟订城市燃气、城市排水和再生水利用方面的专项规划发展规划和年度计划，并组织实施</w:t>
      </w:r>
      <w:r>
        <w:rPr>
          <w:rFonts w:ascii="仿宋" w:hAnsi="仿宋" w:eastAsia="仿宋"/>
          <w:color w:val="000000"/>
          <w:sz w:val="32"/>
          <w:szCs w:val="32"/>
        </w:rPr>
        <w:t>;</w:t>
      </w:r>
      <w:r>
        <w:rPr>
          <w:rFonts w:hint="eastAsia" w:ascii="仿宋" w:hAnsi="仿宋" w:eastAsia="仿宋"/>
          <w:color w:val="000000"/>
          <w:sz w:val="32"/>
          <w:szCs w:val="32"/>
        </w:rPr>
        <w:t>组织拟订城市燃气、城市排水和再生水利用行业管理的相关标准及规范，并监督实施</w:t>
      </w:r>
      <w:r>
        <w:rPr>
          <w:rFonts w:ascii="仿宋" w:hAnsi="仿宋" w:eastAsia="仿宋"/>
          <w:color w:val="000000"/>
          <w:sz w:val="32"/>
          <w:szCs w:val="32"/>
        </w:rPr>
        <w:t>;</w:t>
      </w:r>
      <w:r>
        <w:rPr>
          <w:rFonts w:hint="eastAsia" w:ascii="仿宋" w:hAnsi="仿宋" w:eastAsia="仿宋"/>
          <w:color w:val="000000"/>
          <w:sz w:val="32"/>
          <w:szCs w:val="32"/>
        </w:rPr>
        <w:t>负责城市燃气、城市排水和再生水利用设施的建设、维护与管理</w:t>
      </w:r>
      <w:r>
        <w:rPr>
          <w:rFonts w:ascii="仿宋" w:hAnsi="仿宋" w:eastAsia="仿宋"/>
          <w:color w:val="000000"/>
          <w:sz w:val="32"/>
          <w:szCs w:val="32"/>
        </w:rPr>
        <w:t>;</w:t>
      </w:r>
      <w:r>
        <w:rPr>
          <w:rFonts w:hint="eastAsia" w:ascii="仿宋" w:hAnsi="仿宋" w:eastAsia="仿宋"/>
          <w:color w:val="000000"/>
          <w:sz w:val="32"/>
          <w:szCs w:val="32"/>
        </w:rPr>
        <w:t>监督检査行业安全运行和优质服务工作</w:t>
      </w:r>
      <w:r>
        <w:rPr>
          <w:rFonts w:ascii="仿宋" w:hAnsi="仿宋" w:eastAsia="仿宋"/>
          <w:color w:val="000000"/>
          <w:sz w:val="32"/>
          <w:szCs w:val="32"/>
        </w:rPr>
        <w:t>;</w:t>
      </w:r>
      <w:r>
        <w:rPr>
          <w:rFonts w:hint="eastAsia" w:ascii="仿宋" w:hAnsi="仿宋" w:eastAsia="仿宋"/>
          <w:color w:val="000000"/>
          <w:sz w:val="32"/>
          <w:szCs w:val="32"/>
        </w:rPr>
        <w:t>承担城市然气坡市排水和再生水利用特许经营项目的监管责任</w:t>
      </w:r>
      <w:r>
        <w:rPr>
          <w:rFonts w:ascii="仿宋" w:hAnsi="仿宋" w:eastAsia="仿宋"/>
          <w:color w:val="000000"/>
          <w:sz w:val="32"/>
          <w:szCs w:val="32"/>
        </w:rPr>
        <w:t>;</w:t>
      </w:r>
      <w:r>
        <w:rPr>
          <w:rFonts w:hint="eastAsia" w:ascii="仿宋" w:hAnsi="仿宋" w:eastAsia="仿宋"/>
          <w:color w:val="000000"/>
          <w:sz w:val="32"/>
          <w:szCs w:val="32"/>
        </w:rPr>
        <w:t>负责燃气加气站规划、液化石油气经营、燃气燃烧器具安装及维修、污水处理运行和再生水利用的监督管理</w:t>
      </w:r>
      <w:r>
        <w:rPr>
          <w:rFonts w:ascii="仿宋" w:hAnsi="仿宋" w:eastAsia="仿宋"/>
          <w:color w:val="000000"/>
          <w:sz w:val="32"/>
          <w:szCs w:val="32"/>
        </w:rPr>
        <w:t>;</w:t>
      </w:r>
      <w:r>
        <w:rPr>
          <w:rFonts w:hint="eastAsia" w:ascii="仿宋" w:hAnsi="仿宋" w:eastAsia="仿宋"/>
          <w:color w:val="000000"/>
          <w:sz w:val="32"/>
          <w:szCs w:val="32"/>
        </w:rPr>
        <w:t>参与城市环境综合整治工作。</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负责全县市容市貌、城市环境综合整治工作和城市管理重大活动。拟订市容市貌的专项规划、整治规划和年度计划，并组织实施</w:t>
      </w:r>
      <w:r>
        <w:rPr>
          <w:rFonts w:ascii="仿宋" w:hAnsi="仿宋" w:eastAsia="仿宋"/>
          <w:color w:val="000000"/>
          <w:sz w:val="32"/>
          <w:szCs w:val="32"/>
        </w:rPr>
        <w:t>;</w:t>
      </w:r>
      <w:r>
        <w:rPr>
          <w:rFonts w:hint="eastAsia" w:ascii="仿宋" w:hAnsi="仿宋" w:eastAsia="仿宋"/>
          <w:color w:val="000000"/>
          <w:sz w:val="32"/>
          <w:szCs w:val="32"/>
        </w:rPr>
        <w:t>组织拟订市容管理的标准及规范，并监督实施</w:t>
      </w:r>
      <w:r>
        <w:rPr>
          <w:rFonts w:ascii="仿宋" w:hAnsi="仿宋" w:eastAsia="仿宋"/>
          <w:color w:val="000000"/>
          <w:sz w:val="32"/>
          <w:szCs w:val="32"/>
        </w:rPr>
        <w:t>;</w:t>
      </w:r>
      <w:r>
        <w:rPr>
          <w:rFonts w:hint="eastAsia" w:ascii="仿宋" w:hAnsi="仿宋" w:eastAsia="仿宋"/>
          <w:color w:val="000000"/>
          <w:sz w:val="32"/>
          <w:szCs w:val="32"/>
        </w:rPr>
        <w:t>督导“五包责任制”的落实</w:t>
      </w:r>
      <w:r>
        <w:rPr>
          <w:rFonts w:ascii="仿宋" w:hAnsi="仿宋" w:eastAsia="仿宋"/>
          <w:color w:val="000000"/>
          <w:sz w:val="32"/>
          <w:szCs w:val="32"/>
        </w:rPr>
        <w:t>;</w:t>
      </w:r>
      <w:r>
        <w:rPr>
          <w:rFonts w:hint="eastAsia" w:ascii="仿宋" w:hAnsi="仿宋" w:eastAsia="仿宋"/>
          <w:color w:val="000000"/>
          <w:sz w:val="32"/>
          <w:szCs w:val="32"/>
        </w:rPr>
        <w:t>负责全县临街建筑物及设施和户外广告、宣传牌、寞虹灯、灯箱、电子屏幕、画廊设置等市容市貌的统筹协调、业务指导、监督检査和考核考评</w:t>
      </w:r>
      <w:r>
        <w:rPr>
          <w:rFonts w:ascii="仿宋" w:hAnsi="仿宋" w:eastAsia="仿宋"/>
          <w:color w:val="000000"/>
          <w:sz w:val="32"/>
          <w:szCs w:val="32"/>
        </w:rPr>
        <w:t>;</w:t>
      </w:r>
      <w:r>
        <w:rPr>
          <w:rFonts w:hint="eastAsia" w:ascii="仿宋" w:hAnsi="仿宋" w:eastAsia="仿宋"/>
          <w:color w:val="000000"/>
          <w:sz w:val="32"/>
          <w:szCs w:val="32"/>
        </w:rPr>
        <w:t>牵头负责停车场的管理工作</w:t>
      </w:r>
      <w:r>
        <w:rPr>
          <w:rFonts w:ascii="仿宋" w:hAnsi="仿宋" w:eastAsia="仿宋"/>
          <w:color w:val="000000"/>
          <w:sz w:val="32"/>
          <w:szCs w:val="32"/>
        </w:rPr>
        <w:t>;</w:t>
      </w:r>
      <w:r>
        <w:rPr>
          <w:rFonts w:hint="eastAsia" w:ascii="仿宋" w:hAnsi="仿宋" w:eastAsia="仿宋"/>
          <w:color w:val="000000"/>
          <w:sz w:val="32"/>
          <w:szCs w:val="32"/>
        </w:rPr>
        <w:t>负责机动车洗车场和夜景亮化的监督管理。</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负责环境卫生的组织管理和监督检査工作。拟订环境卫生的专项规划、发展规划和年度计划，并组织实施</w:t>
      </w:r>
      <w:r>
        <w:rPr>
          <w:rFonts w:ascii="仿宋" w:hAnsi="仿宋" w:eastAsia="仿宋"/>
          <w:color w:val="000000"/>
          <w:sz w:val="32"/>
          <w:szCs w:val="32"/>
        </w:rPr>
        <w:t>;</w:t>
      </w:r>
      <w:r>
        <w:rPr>
          <w:rFonts w:hint="eastAsia" w:ascii="仿宋" w:hAnsi="仿宋" w:eastAsia="仿宋"/>
          <w:color w:val="000000"/>
          <w:sz w:val="32"/>
          <w:szCs w:val="32"/>
        </w:rPr>
        <w:t>组织拟定环境卫生管理的标准及规范，并监督实施</w:t>
      </w:r>
      <w:r>
        <w:rPr>
          <w:rFonts w:ascii="仿宋" w:hAnsi="仿宋" w:eastAsia="仿宋"/>
          <w:color w:val="000000"/>
          <w:sz w:val="32"/>
          <w:szCs w:val="32"/>
        </w:rPr>
        <w:t>;</w:t>
      </w:r>
      <w:r>
        <w:rPr>
          <w:rFonts w:hint="eastAsia" w:ascii="仿宋" w:hAnsi="仿宋" w:eastAsia="仿宋"/>
          <w:color w:val="000000"/>
          <w:sz w:val="32"/>
          <w:szCs w:val="32"/>
        </w:rPr>
        <w:t>负责生活垃、餐垃扱无公害处理和消纳方面的监督管理</w:t>
      </w:r>
      <w:r>
        <w:rPr>
          <w:rFonts w:ascii="仿宋" w:hAnsi="仿宋" w:eastAsia="仿宋"/>
          <w:color w:val="000000"/>
          <w:sz w:val="32"/>
          <w:szCs w:val="32"/>
        </w:rPr>
        <w:t>;</w:t>
      </w:r>
      <w:r>
        <w:rPr>
          <w:rFonts w:hint="eastAsia" w:ascii="仿宋" w:hAnsi="仿宋" w:eastAsia="仿宋"/>
          <w:color w:val="000000"/>
          <w:sz w:val="32"/>
          <w:szCs w:val="32"/>
        </w:rPr>
        <w:t>负责建筑</w:t>
      </w:r>
      <w:bookmarkStart w:id="0" w:name="_GoBack"/>
      <w:bookmarkEnd w:id="0"/>
      <w:r>
        <w:rPr>
          <w:rFonts w:hint="eastAsia" w:ascii="仿宋" w:hAnsi="仿宋" w:eastAsia="仿宋"/>
          <w:color w:val="000000"/>
          <w:sz w:val="32"/>
          <w:szCs w:val="32"/>
          <w:lang w:eastAsia="zh-CN"/>
        </w:rPr>
        <w:t>垃圾</w:t>
      </w:r>
      <w:r>
        <w:rPr>
          <w:rFonts w:hint="eastAsia" w:ascii="仿宋" w:hAnsi="仿宋" w:eastAsia="仿宋"/>
          <w:color w:val="000000"/>
          <w:sz w:val="32"/>
          <w:szCs w:val="32"/>
        </w:rPr>
        <w:t>的收集、贮存、清运和处置的监督管理</w:t>
      </w:r>
      <w:r>
        <w:rPr>
          <w:rFonts w:ascii="仿宋" w:hAnsi="仿宋" w:eastAsia="仿宋"/>
          <w:color w:val="000000"/>
          <w:sz w:val="32"/>
          <w:szCs w:val="32"/>
        </w:rPr>
        <w:t>;</w:t>
      </w:r>
      <w:r>
        <w:rPr>
          <w:rFonts w:hint="eastAsia" w:ascii="仿宋" w:hAnsi="仿宋" w:eastAsia="仿宋"/>
          <w:color w:val="000000"/>
          <w:sz w:val="32"/>
          <w:szCs w:val="32"/>
        </w:rPr>
        <w:t>负责医疗废物无害化处理工作</w:t>
      </w:r>
      <w:r>
        <w:rPr>
          <w:rFonts w:ascii="仿宋" w:hAnsi="仿宋" w:eastAsia="仿宋"/>
          <w:color w:val="000000"/>
          <w:sz w:val="32"/>
          <w:szCs w:val="32"/>
        </w:rPr>
        <w:t>;</w:t>
      </w:r>
      <w:r>
        <w:rPr>
          <w:rFonts w:hint="eastAsia" w:ascii="仿宋" w:hAnsi="仿宋" w:eastAsia="仿宋"/>
          <w:color w:val="000000"/>
          <w:sz w:val="32"/>
          <w:szCs w:val="32"/>
        </w:rPr>
        <w:t>承担垃扱处理特许经营项目的监管责任。</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负责全县城市管理综合行政执法装备、环卫机械设备的计划编制和产权管理工作</w:t>
      </w:r>
      <w:r>
        <w:rPr>
          <w:rFonts w:ascii="仿宋" w:hAnsi="仿宋" w:eastAsia="仿宋"/>
          <w:color w:val="000000"/>
          <w:sz w:val="32"/>
          <w:szCs w:val="32"/>
        </w:rPr>
        <w:t>;</w:t>
      </w:r>
      <w:r>
        <w:rPr>
          <w:rFonts w:hint="eastAsia" w:ascii="仿宋" w:hAnsi="仿宋" w:eastAsia="仿宋"/>
          <w:color w:val="000000"/>
          <w:sz w:val="32"/>
          <w:szCs w:val="32"/>
        </w:rPr>
        <w:t>负责环卫基础设施工程项目的建设和管理工作负责全县供热的管理工作。拟定供热行业的专项规划、发展规划和年度计划，并组织实施</w:t>
      </w:r>
      <w:r>
        <w:rPr>
          <w:rFonts w:ascii="仿宋" w:hAnsi="仿宋" w:eastAsia="仿宋"/>
          <w:color w:val="000000"/>
          <w:sz w:val="32"/>
          <w:szCs w:val="32"/>
        </w:rPr>
        <w:t>;</w:t>
      </w:r>
      <w:r>
        <w:rPr>
          <w:rFonts w:hint="eastAsia" w:ascii="仿宋" w:hAnsi="仿宋" w:eastAsia="仿宋"/>
          <w:color w:val="000000"/>
          <w:sz w:val="32"/>
          <w:szCs w:val="32"/>
        </w:rPr>
        <w:t>组织拟订供热行业管理的标准及规范，并监督实施</w:t>
      </w:r>
      <w:r>
        <w:rPr>
          <w:rFonts w:ascii="仿宋" w:hAnsi="仿宋" w:eastAsia="仿宋"/>
          <w:color w:val="000000"/>
          <w:sz w:val="32"/>
          <w:szCs w:val="32"/>
        </w:rPr>
        <w:t>;</w:t>
      </w:r>
      <w:r>
        <w:rPr>
          <w:rFonts w:hint="eastAsia" w:ascii="仿宋" w:hAnsi="仿宋" w:eastAsia="仿宋"/>
          <w:color w:val="000000"/>
          <w:sz w:val="32"/>
          <w:szCs w:val="32"/>
        </w:rPr>
        <w:t>指导城市供热行业的设计、建设及维护工作，监督检査行业安全运行和优质服务工作</w:t>
      </w:r>
      <w:r>
        <w:rPr>
          <w:rFonts w:ascii="仿宋" w:hAnsi="仿宋" w:eastAsia="仿宋"/>
          <w:color w:val="000000"/>
          <w:sz w:val="32"/>
          <w:szCs w:val="32"/>
        </w:rPr>
        <w:t>;</w:t>
      </w:r>
      <w:r>
        <w:rPr>
          <w:rFonts w:hint="eastAsia" w:ascii="仿宋" w:hAnsi="仿宋" w:eastAsia="仿宋"/>
          <w:color w:val="000000"/>
          <w:sz w:val="32"/>
          <w:szCs w:val="32"/>
        </w:rPr>
        <w:t>承担供热特许经营项目的监管责任</w:t>
      </w:r>
      <w:r>
        <w:rPr>
          <w:rFonts w:ascii="仿宋" w:hAnsi="仿宋" w:eastAsia="仿宋"/>
          <w:color w:val="000000"/>
          <w:sz w:val="32"/>
          <w:szCs w:val="32"/>
        </w:rPr>
        <w:t>;</w:t>
      </w:r>
      <w:r>
        <w:rPr>
          <w:rFonts w:hint="eastAsia" w:ascii="仿宋" w:hAnsi="仿宋" w:eastAsia="仿宋"/>
          <w:color w:val="000000"/>
          <w:sz w:val="32"/>
          <w:szCs w:val="32"/>
        </w:rPr>
        <w:t>负责城市供热经营的监督管理参与城市环境综合整治工作</w:t>
      </w:r>
      <w:r>
        <w:rPr>
          <w:rFonts w:ascii="仿宋" w:hAnsi="仿宋" w:eastAsia="仿宋"/>
          <w:color w:val="000000"/>
          <w:sz w:val="32"/>
          <w:szCs w:val="32"/>
        </w:rPr>
        <w:t>;</w:t>
      </w:r>
      <w:r>
        <w:rPr>
          <w:rFonts w:hint="eastAsia" w:ascii="仿宋" w:hAnsi="仿宋" w:eastAsia="仿宋"/>
          <w:color w:val="000000"/>
          <w:sz w:val="32"/>
          <w:szCs w:val="32"/>
        </w:rPr>
        <w:t>负责提出行业产品价格、服务收费的调整建议。</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负责数字化城市管理系统的建设、运行、维护工作和考核结果的运用</w:t>
      </w:r>
      <w:r>
        <w:rPr>
          <w:rFonts w:ascii="仿宋" w:hAnsi="仿宋" w:eastAsia="仿宋"/>
          <w:color w:val="000000"/>
          <w:sz w:val="32"/>
          <w:szCs w:val="32"/>
        </w:rPr>
        <w:t>;</w:t>
      </w:r>
      <w:r>
        <w:rPr>
          <w:rFonts w:hint="eastAsia" w:ascii="仿宋" w:hAnsi="仿宋" w:eastAsia="仿宋"/>
          <w:color w:val="000000"/>
          <w:sz w:val="32"/>
          <w:szCs w:val="32"/>
        </w:rPr>
        <w:t>负责城市运行监测平台相关数据与信息的采集分析和综合协调</w:t>
      </w:r>
      <w:r>
        <w:rPr>
          <w:rFonts w:ascii="仿宋" w:hAnsi="仿宋" w:eastAsia="仿宋"/>
          <w:color w:val="000000"/>
          <w:sz w:val="32"/>
          <w:szCs w:val="32"/>
        </w:rPr>
        <w:t>;</w:t>
      </w:r>
      <w:r>
        <w:rPr>
          <w:rFonts w:hint="eastAsia" w:ascii="仿宋" w:hAnsi="仿宋" w:eastAsia="仿宋"/>
          <w:color w:val="000000"/>
          <w:sz w:val="32"/>
          <w:szCs w:val="32"/>
        </w:rPr>
        <w:t>负责城市管理部件和事件问题的任务分配、协调及督办</w:t>
      </w:r>
      <w:r>
        <w:rPr>
          <w:rFonts w:ascii="仿宋" w:hAnsi="仿宋" w:eastAsia="仿宋"/>
          <w:color w:val="000000"/>
          <w:sz w:val="32"/>
          <w:szCs w:val="32"/>
        </w:rPr>
        <w:t>;</w:t>
      </w:r>
      <w:r>
        <w:rPr>
          <w:rFonts w:hint="eastAsia" w:ascii="仿宋" w:hAnsi="仿宋" w:eastAsia="仿宋"/>
          <w:color w:val="000000"/>
          <w:sz w:val="32"/>
          <w:szCs w:val="32"/>
        </w:rPr>
        <w:t>负责县城市管理联席会议目常工作，协调督导议定事项的落实工作</w:t>
      </w:r>
      <w:r>
        <w:rPr>
          <w:rFonts w:ascii="仿宋" w:hAnsi="仿宋" w:eastAsia="仿宋"/>
          <w:color w:val="000000"/>
          <w:sz w:val="32"/>
          <w:szCs w:val="32"/>
        </w:rPr>
        <w:t>;</w:t>
      </w:r>
      <w:r>
        <w:rPr>
          <w:rFonts w:hint="eastAsia" w:ascii="仿宋" w:hAnsi="仿宋" w:eastAsia="仿宋"/>
          <w:color w:val="000000"/>
          <w:sz w:val="32"/>
          <w:szCs w:val="32"/>
        </w:rPr>
        <w:t>负责拟定城市精细化管理工作的标准规范，并进行督导、协调、落实。</w:t>
      </w:r>
    </w:p>
    <w:p>
      <w:pPr>
        <w:ind w:firstLine="482" w:firstLineChars="150"/>
        <w:rPr>
          <w:rFonts w:ascii="仿宋" w:hAnsi="仿宋" w:eastAsia="仿宋"/>
          <w:b/>
          <w:color w:val="000000"/>
          <w:sz w:val="32"/>
          <w:szCs w:val="32"/>
        </w:rPr>
      </w:pPr>
      <w:r>
        <w:rPr>
          <w:rFonts w:hint="eastAsia" w:ascii="仿宋" w:hAnsi="仿宋" w:eastAsia="仿宋"/>
          <w:b/>
          <w:color w:val="000000"/>
          <w:sz w:val="32"/>
          <w:szCs w:val="32"/>
        </w:rPr>
        <w:t>（四）人防股</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编制人民防空工程规划，参与重要经济目标防护建设总体规划、城市地下空间开发利用规划编制组织工作，审核城市总体规划中人民防空内容。负责人民防空工程建设技术、质量、造价管理，指导城市地下空间开发利用落实兼顾人民防空要求，会同有关部门指导利用人民防空工程、硫散地域</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建设防灾应急避难场所，指导重要经济目标单位落实防护建设要求，战时负责对遭空袭破坏的人民防空工程和疏散地城</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等防护设施进行抢险抢修。</w:t>
      </w:r>
    </w:p>
    <w:p>
      <w:pPr>
        <w:rPr>
          <w:rFonts w:ascii="仿宋" w:hAnsi="仿宋" w:eastAsia="仿宋"/>
          <w:sz w:val="32"/>
          <w:szCs w:val="32"/>
        </w:rPr>
      </w:pPr>
      <w:r>
        <w:rPr>
          <w:rFonts w:hint="eastAsia" w:ascii="仿宋" w:hAnsi="仿宋" w:eastAsia="仿宋"/>
          <w:color w:val="000000"/>
          <w:sz w:val="32"/>
          <w:szCs w:val="32"/>
        </w:rPr>
        <w:t>负责人民防空工程维护与使用管理，负责防护建设执法监督检查。战时负责组织描指导人民防空工程和疏散地城</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等防护设施平战转换，负责重要经济目标单位防空袭工作，负责组织编制县级人民防空计划方案，负责县人防指挥部日常工作</w:t>
      </w:r>
      <w:r>
        <w:rPr>
          <w:rFonts w:ascii="仿宋" w:hAnsi="仿宋" w:eastAsia="仿宋"/>
          <w:color w:val="000000"/>
          <w:sz w:val="32"/>
          <w:szCs w:val="32"/>
        </w:rPr>
        <w:t>.</w:t>
      </w:r>
      <w:r>
        <w:rPr>
          <w:rFonts w:hint="eastAsia" w:ascii="仿宋" w:hAnsi="仿宋" w:eastAsia="仿宋"/>
          <w:color w:val="000000"/>
          <w:sz w:val="32"/>
          <w:szCs w:val="32"/>
        </w:rPr>
        <w:t>负责制定人民防空训练演练计划，组织开展人民防空训练演练和考核组织指导群众防空组织整组、训练和遂行应急支援任务。组织开展人民防空宣传教育。组织全县战时人口疏散地域</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建设，负责人口疏散地域</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建设。负责指挥动员执法监督检查负责组织编制人民防空信息建设规划。组织开展人民防空信息化建设。对人民防空信息系统实施技术和质量管理。协调利用军队和地方通信网保障人民防空通信警报工作。负责防空警报试鸣和利用警报发放空情、灾情警报相关工作，负责战备信息执法监督检査。战时负责人民防空行动组织指挥保障任务。组织指挥群众防空组织集结，做好遂行任务准备。组织开展防空袭斗争宣传动员工作。组织实施全县人民防空行动信息保障工作</w:t>
      </w:r>
    </w:p>
    <w:p>
      <w:pPr>
        <w:spacing w:line="580" w:lineRule="exact"/>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从决算编报单位构成看，纳入</w:t>
      </w:r>
      <w:r>
        <w:rPr>
          <w:rFonts w:ascii="仿宋" w:hAnsi="仿宋" w:eastAsia="仿宋" w:cs="ArialUnicodeMS"/>
          <w:kern w:val="0"/>
          <w:sz w:val="32"/>
          <w:szCs w:val="32"/>
        </w:rPr>
        <w:t xml:space="preserve">2019 </w:t>
      </w:r>
      <w:r>
        <w:rPr>
          <w:rFonts w:hint="eastAsia" w:ascii="仿宋" w:hAnsi="仿宋" w:eastAsia="仿宋" w:cs="ArialUnicodeMS"/>
          <w:kern w:val="0"/>
          <w:sz w:val="32"/>
          <w:szCs w:val="32"/>
        </w:rPr>
        <w:t>年度本部门决算汇编范围的独立核算单位（以下简称“单位”）共</w:t>
      </w:r>
      <w:r>
        <w:rPr>
          <w:rFonts w:ascii="仿宋" w:hAnsi="仿宋" w:eastAsia="仿宋" w:cs="ArialUnicodeMS"/>
          <w:kern w:val="0"/>
          <w:sz w:val="32"/>
          <w:szCs w:val="32"/>
        </w:rPr>
        <w:t xml:space="preserve"> 1</w:t>
      </w:r>
      <w:r>
        <w:rPr>
          <w:rFonts w:hint="eastAsia" w:ascii="仿宋" w:hAnsi="仿宋" w:eastAsia="仿宋"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 w:hAnsi="仿宋" w:eastAsia="仿宋" w:cs="ArialUnicodeMS"/>
                <w:b/>
                <w:bCs/>
                <w:kern w:val="0"/>
                <w:sz w:val="32"/>
                <w:szCs w:val="32"/>
              </w:rPr>
            </w:pPr>
            <w:r>
              <w:rPr>
                <w:rFonts w:hint="eastAsia" w:ascii="仿宋" w:hAnsi="仿宋" w:eastAsia="仿宋" w:cs="ArialUnicodeMS"/>
                <w:b/>
                <w:bCs/>
                <w:kern w:val="0"/>
                <w:sz w:val="32"/>
                <w:szCs w:val="32"/>
              </w:rPr>
              <w:t>序号</w:t>
            </w:r>
          </w:p>
        </w:tc>
        <w:tc>
          <w:tcPr>
            <w:tcW w:w="3485" w:type="dxa"/>
            <w:vAlign w:val="center"/>
          </w:tcPr>
          <w:p>
            <w:pPr>
              <w:spacing w:line="560" w:lineRule="exact"/>
              <w:jc w:val="center"/>
              <w:rPr>
                <w:rFonts w:ascii="仿宋" w:hAnsi="仿宋" w:eastAsia="仿宋" w:cs="ArialUnicodeMS"/>
                <w:b/>
                <w:bCs/>
                <w:kern w:val="0"/>
                <w:sz w:val="32"/>
                <w:szCs w:val="32"/>
              </w:rPr>
            </w:pPr>
            <w:r>
              <w:rPr>
                <w:rFonts w:hint="eastAsia" w:ascii="仿宋" w:hAnsi="仿宋" w:eastAsia="仿宋" w:cs="ArialUnicodeMS"/>
                <w:b/>
                <w:bCs/>
                <w:kern w:val="0"/>
                <w:sz w:val="32"/>
                <w:szCs w:val="32"/>
              </w:rPr>
              <w:t>单位名称</w:t>
            </w:r>
          </w:p>
        </w:tc>
        <w:tc>
          <w:tcPr>
            <w:tcW w:w="2445" w:type="dxa"/>
            <w:vAlign w:val="center"/>
          </w:tcPr>
          <w:p>
            <w:pPr>
              <w:spacing w:line="560" w:lineRule="exact"/>
              <w:jc w:val="center"/>
              <w:rPr>
                <w:rFonts w:ascii="仿宋" w:hAnsi="仿宋" w:eastAsia="仿宋" w:cs="ArialUnicodeMS"/>
                <w:b/>
                <w:bCs/>
                <w:kern w:val="0"/>
                <w:sz w:val="32"/>
                <w:szCs w:val="32"/>
              </w:rPr>
            </w:pPr>
            <w:r>
              <w:rPr>
                <w:rFonts w:hint="eastAsia" w:ascii="仿宋" w:hAnsi="仿宋" w:eastAsia="仿宋" w:cs="ArialUnicodeMS"/>
                <w:b/>
                <w:bCs/>
                <w:kern w:val="0"/>
                <w:sz w:val="32"/>
                <w:szCs w:val="32"/>
              </w:rPr>
              <w:t>单位基本性质</w:t>
            </w:r>
          </w:p>
        </w:tc>
        <w:tc>
          <w:tcPr>
            <w:tcW w:w="2665" w:type="dxa"/>
            <w:vAlign w:val="center"/>
          </w:tcPr>
          <w:p>
            <w:pPr>
              <w:spacing w:line="560" w:lineRule="exact"/>
              <w:jc w:val="center"/>
              <w:rPr>
                <w:rFonts w:ascii="仿宋" w:hAnsi="仿宋" w:eastAsia="仿宋" w:cs="ArialUnicodeMS"/>
                <w:b/>
                <w:bCs/>
                <w:kern w:val="0"/>
                <w:sz w:val="32"/>
                <w:szCs w:val="32"/>
              </w:rPr>
            </w:pPr>
            <w:r>
              <w:rPr>
                <w:rFonts w:hint="eastAsia" w:ascii="仿宋" w:hAnsi="仿宋" w:eastAsia="仿宋" w:cs="ArialUnicodeMS"/>
                <w:b/>
                <w:bCs/>
                <w:kern w:val="0"/>
                <w:sz w:val="32"/>
                <w:szCs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 w:hAnsi="仿宋" w:eastAsia="仿宋" w:cs="ArialUnicodeMS"/>
                <w:kern w:val="0"/>
                <w:sz w:val="32"/>
                <w:szCs w:val="32"/>
              </w:rPr>
            </w:pPr>
            <w:r>
              <w:rPr>
                <w:rFonts w:ascii="仿宋" w:hAnsi="仿宋" w:eastAsia="仿宋" w:cs="ArialUnicodeMS"/>
                <w:kern w:val="0"/>
                <w:sz w:val="32"/>
                <w:szCs w:val="32"/>
              </w:rPr>
              <w:t>1</w:t>
            </w:r>
          </w:p>
        </w:tc>
        <w:tc>
          <w:tcPr>
            <w:tcW w:w="3485"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成安县住房和城乡建设局</w:t>
            </w:r>
          </w:p>
        </w:tc>
        <w:tc>
          <w:tcPr>
            <w:tcW w:w="2445"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行政单位</w:t>
            </w:r>
          </w:p>
        </w:tc>
        <w:tc>
          <w:tcPr>
            <w:tcW w:w="2665" w:type="dxa"/>
            <w:vAlign w:val="center"/>
          </w:tcPr>
          <w:p>
            <w:pPr>
              <w:spacing w:line="300" w:lineRule="exact"/>
              <w:jc w:val="center"/>
              <w:rPr>
                <w:rFonts w:ascii="仿宋" w:hAnsi="仿宋" w:eastAsia="仿宋"/>
                <w:sz w:val="32"/>
                <w:szCs w:val="32"/>
              </w:rPr>
            </w:pPr>
            <w:r>
              <w:rPr>
                <w:rFonts w:hint="eastAsia" w:ascii="仿宋" w:hAnsi="仿宋" w:eastAsia="仿宋" w:cs="ArialUnicodeMS"/>
                <w:kern w:val="0"/>
                <w:sz w:val="32"/>
                <w:szCs w:val="32"/>
              </w:rPr>
              <w:t>财政拨款</w:t>
            </w:r>
          </w:p>
        </w:tc>
      </w:tr>
    </w:tbl>
    <w:p>
      <w:pPr>
        <w:widowControl/>
        <w:spacing w:after="160" w:line="580" w:lineRule="exact"/>
        <w:rPr>
          <w:rFonts w:ascii="仿宋" w:hAnsi="仿宋" w:eastAsia="仿宋"/>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仿宋" w:hAnsi="仿宋" w:eastAsia="仿宋"/>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rPr>
          <w:rFonts w:ascii="仿宋" w:hAnsi="仿宋" w:eastAsia="仿宋"/>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38" o:spid="_x0000_s1038" o:spt="202" type="#_x0000_t202" style="position:absolute;left:0pt;margin-left:-85.7pt;margin-top:238.15pt;height:173.25pt;width:613.65pt;z-index:251667456;mso-width-relative:page;mso-height-relative:page;" filled="f" stroked="f" coordsize="21600,2160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rPr>
          <w:rFonts w:ascii="黑体" w:hAnsi="黑体" w:eastAsia="黑体" w:cs="黑体"/>
          <w:sz w:val="56"/>
          <w:szCs w:val="72"/>
        </w:rPr>
      </w:pPr>
    </w:p>
    <w:p>
      <w:pPr>
        <w:jc w:val="center"/>
        <w:rPr>
          <w:rFonts w:ascii="黑体" w:hAnsi="黑体" w:eastAsia="黑体" w:cs="黑体"/>
          <w:sz w:val="56"/>
          <w:szCs w:val="72"/>
        </w:rPr>
      </w:pPr>
      <w: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v:path/>
            <v:fill type="pattern" on="t" focussize="0,0" r:id="rId13"/>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年度决算相比，收支各增加</w:t>
      </w:r>
      <w:r>
        <w:rPr>
          <w:rFonts w:ascii="仿宋_GB2312" w:hAnsi="Times New Roman" w:eastAsia="仿宋_GB2312" w:cs="DengXian-Regular"/>
          <w:sz w:val="32"/>
          <w:szCs w:val="32"/>
        </w:rPr>
        <w:t>204.6</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8.7%</w:t>
      </w:r>
      <w:r>
        <w:rPr>
          <w:rFonts w:hint="eastAsia" w:ascii="仿宋_GB2312" w:hAnsi="Times New Roman" w:eastAsia="仿宋_GB2312" w:cs="DengXian-Regular"/>
          <w:sz w:val="32"/>
          <w:szCs w:val="32"/>
        </w:rPr>
        <w:t>，主要原因是</w:t>
      </w:r>
      <w:r>
        <w:rPr>
          <w:rFonts w:ascii="仿宋_GB2312" w:eastAsia="仿宋_GB2312" w:cs="DengXian-Regular"/>
          <w:sz w:val="32"/>
          <w:szCs w:val="32"/>
        </w:rPr>
        <w:t>2019</w:t>
      </w:r>
      <w:r>
        <w:rPr>
          <w:rFonts w:hint="eastAsia" w:ascii="仿宋_GB2312" w:eastAsia="仿宋_GB2312" w:cs="DengXian-Regular"/>
          <w:sz w:val="32"/>
          <w:szCs w:val="32"/>
        </w:rPr>
        <w:t>年两大项目收支增加：人防物资储备库工程、六个小区供暖补贴项目。造成</w:t>
      </w:r>
      <w:r>
        <w:rPr>
          <w:rFonts w:ascii="仿宋_GB2312" w:eastAsia="仿宋_GB2312" w:cs="DengXian-Regular"/>
          <w:sz w:val="32"/>
          <w:szCs w:val="32"/>
        </w:rPr>
        <w:t>2019</w:t>
      </w:r>
      <w:r>
        <w:rPr>
          <w:rFonts w:hint="eastAsia" w:ascii="仿宋_GB2312" w:eastAsia="仿宋_GB2312" w:cs="DengXian-Regular"/>
          <w:sz w:val="32"/>
          <w:szCs w:val="32"/>
        </w:rPr>
        <w:t>年度收支较去年增加。</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keepNext/>
        <w:keepLines/>
        <w:snapToGrid w:val="0"/>
        <w:spacing w:line="580" w:lineRule="exact"/>
        <w:ind w:firstLine="640" w:firstLineChars="200"/>
        <w:outlineLvl w:val="1"/>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；事业收入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；经营收入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；其他收入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0</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420" w:firstLineChars="200"/>
        <w:rPr>
          <w:rFonts w:ascii="仿宋_GB2312" w:hAnsi="Times New Roman" w:eastAsia="仿宋_GB2312" w:cs="DengXian-Regular"/>
          <w:sz w:val="32"/>
          <w:szCs w:val="32"/>
        </w:rPr>
      </w:pPr>
      <w:r>
        <w:pict>
          <v:shape id="_x0000_s1040" o:spid="_x0000_s1040" o:spt="75" type="#_x0000_t75" style="position:absolute;left:0pt;margin-left:45pt;margin-top:88.8pt;height:217.75pt;width:334.2pt;mso-wrap-distance-bottom:0pt;mso-wrap-distance-left:9pt;mso-wrap-distance-right:9pt;mso-wrap-distance-top:0pt;z-index:251672576;mso-width-relative:page;mso-height-relative:page;" o:ole="t" filled="f" o:preferrelative="t" stroked="f" coordsize="21600,21600">
            <v:path/>
            <v:fill on="f" focussize="0,0"/>
            <v:stroke on="f" joinstyle="miter"/>
            <v:imagedata r:id="rId15" o:title=""/>
            <o:lock v:ext="edit" aspectratio="t"/>
            <w10:wrap type="square" side="right"/>
          </v:shape>
          <o:OLEObject Type="Embed" ProgID="MSGraph.Chart.8" ShapeID="_x0000_s1040" DrawAspect="Content" ObjectID="_1468075725" r:id="rId14">
            <o:LockedField>false</o:LockedField>
          </o:OLEObject>
        </w:pic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1001.52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39.17%</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1555.45</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60.83%</w:t>
      </w:r>
      <w:r>
        <w:rPr>
          <w:rFonts w:hint="eastAsia" w:ascii="仿宋_GB2312" w:hAnsi="Times New Roman" w:eastAsia="仿宋_GB2312" w:cs="DengXian-Regular"/>
          <w:sz w:val="32"/>
          <w:szCs w:val="32"/>
        </w:rPr>
        <w:t>；经营支出</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。如图所示：</w:t>
      </w:r>
    </w:p>
    <w:p>
      <w:pPr>
        <w:tabs>
          <w:tab w:val="left" w:pos="3365"/>
        </w:tabs>
        <w:adjustRightInd w:val="0"/>
        <w:snapToGrid w:val="0"/>
        <w:spacing w:line="580" w:lineRule="exact"/>
        <w:rPr>
          <w:rFonts w:ascii="仿宋_GB2312" w:hAnsi="Times New Roman" w:eastAsia="仿宋_GB2312" w:cs="DengXian-Regular"/>
          <w:sz w:val="32"/>
          <w:szCs w:val="32"/>
        </w:rPr>
      </w:pPr>
      <w:r>
        <w:rPr>
          <w:rFonts w:ascii="仿宋_GB2312" w:hAnsi="Times New Roman" w:eastAsia="仿宋_GB2312" w:cs="DengXian-Regular"/>
          <w:sz w:val="32"/>
          <w:szCs w:val="32"/>
        </w:rPr>
        <w:tab/>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ascii="仿宋_GB2312" w:hAnsi="Times New Roman" w:eastAsia="仿宋_GB2312" w:cs="DengXian-Regular"/>
          <w:sz w:val="32"/>
          <w:szCs w:val="32"/>
        </w:rPr>
        <w:t>204.6</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8.7%</w:t>
      </w:r>
      <w:r>
        <w:rPr>
          <w:rFonts w:hint="eastAsia" w:ascii="仿宋_GB2312" w:hAnsi="Times New Roman" w:eastAsia="仿宋_GB2312" w:cs="DengXian-Regular"/>
          <w:sz w:val="32"/>
          <w:szCs w:val="32"/>
        </w:rPr>
        <w:t>，主要是</w:t>
      </w:r>
      <w:r>
        <w:rPr>
          <w:rFonts w:ascii="仿宋_GB2312" w:eastAsia="仿宋_GB2312" w:cs="DengXian-Regular"/>
          <w:sz w:val="32"/>
          <w:szCs w:val="32"/>
        </w:rPr>
        <w:t>2019</w:t>
      </w:r>
      <w:r>
        <w:rPr>
          <w:rFonts w:hint="eastAsia" w:ascii="仿宋_GB2312" w:eastAsia="仿宋_GB2312" w:cs="DengXian-Regular"/>
          <w:sz w:val="32"/>
          <w:szCs w:val="32"/>
        </w:rPr>
        <w:t>年两大项目收入增加：人防物资储备库工程、六个小区供暖补贴项目，造成</w:t>
      </w:r>
      <w:r>
        <w:rPr>
          <w:rFonts w:ascii="仿宋_GB2312" w:eastAsia="仿宋_GB2312" w:cs="DengXian-Regular"/>
          <w:sz w:val="32"/>
          <w:szCs w:val="32"/>
        </w:rPr>
        <w:t>2019</w:t>
      </w:r>
      <w:r>
        <w:rPr>
          <w:rFonts w:hint="eastAsia" w:ascii="仿宋_GB2312" w:eastAsia="仿宋_GB2312" w:cs="DengXian-Regular"/>
          <w:sz w:val="32"/>
          <w:szCs w:val="32"/>
        </w:rPr>
        <w:t>年度收入较去年增加；</w:t>
      </w:r>
      <w:r>
        <w:rPr>
          <w:rFonts w:hint="eastAsia" w:ascii="仿宋_GB2312" w:hAnsi="Times New Roman" w:eastAsia="仿宋_GB2312" w:cs="DengXian-Regular"/>
          <w:sz w:val="32"/>
          <w:szCs w:val="32"/>
        </w:rPr>
        <w:t>本年支出</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万元，增加</w:t>
      </w:r>
      <w:r>
        <w:rPr>
          <w:rFonts w:ascii="仿宋_GB2312" w:hAnsi="Times New Roman" w:eastAsia="仿宋_GB2312" w:cs="DengXian-Regular"/>
          <w:sz w:val="32"/>
          <w:szCs w:val="32"/>
        </w:rPr>
        <w:t>204.6</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8.7%</w:t>
      </w:r>
      <w:r>
        <w:rPr>
          <w:rFonts w:hint="eastAsia" w:ascii="仿宋_GB2312" w:hAnsi="Times New Roman" w:eastAsia="仿宋_GB2312" w:cs="DengXian-Regular"/>
          <w:sz w:val="32"/>
          <w:szCs w:val="32"/>
        </w:rPr>
        <w:t>，主要是</w:t>
      </w:r>
      <w:r>
        <w:rPr>
          <w:rFonts w:ascii="仿宋_GB2312" w:eastAsia="仿宋_GB2312" w:cs="DengXian-Regular"/>
          <w:sz w:val="32"/>
          <w:szCs w:val="32"/>
        </w:rPr>
        <w:t>2019</w:t>
      </w:r>
      <w:r>
        <w:rPr>
          <w:rFonts w:hint="eastAsia" w:ascii="仿宋_GB2312" w:eastAsia="仿宋_GB2312" w:cs="DengXian-Regular"/>
          <w:sz w:val="32"/>
          <w:szCs w:val="32"/>
        </w:rPr>
        <w:t>年两大项目支出增加：人防物资储备库工程、六个小区供暖补贴项目，造成</w:t>
      </w:r>
      <w:r>
        <w:rPr>
          <w:rFonts w:ascii="仿宋_GB2312" w:eastAsia="仿宋_GB2312" w:cs="DengXian-Regular"/>
          <w:sz w:val="32"/>
          <w:szCs w:val="32"/>
        </w:rPr>
        <w:t>2019</w:t>
      </w:r>
      <w:r>
        <w:rPr>
          <w:rFonts w:hint="eastAsia" w:ascii="仿宋_GB2312" w:eastAsia="仿宋_GB2312" w:cs="DengXian-Regular"/>
          <w:sz w:val="32"/>
          <w:szCs w:val="32"/>
        </w:rPr>
        <w:t>年度支出较去年增加。</w:t>
      </w:r>
    </w:p>
    <w:p>
      <w:pPr>
        <w:adjustRightInd w:val="0"/>
        <w:snapToGrid w:val="0"/>
        <w:ind w:firstLine="640" w:firstLineChars="200"/>
        <w:rPr>
          <w:rFonts w:ascii="仿宋_GB2312" w:hAnsi="Times New Roman" w:eastAsia="仿宋_GB2312" w:cs="DengXian-Regular"/>
          <w:sz w:val="32"/>
          <w:szCs w:val="32"/>
          <w:highlight w:val="yellow"/>
        </w:rPr>
      </w:pPr>
    </w:p>
    <w:p>
      <w:pPr>
        <w:adjustRightInd w:val="0"/>
        <w:snapToGrid w:val="0"/>
        <w:ind w:firstLine="640" w:firstLineChars="200"/>
        <w:rPr>
          <w:rFonts w:ascii="仿宋_GB2312" w:hAnsi="Times New Roman" w:eastAsia="仿宋_GB2312" w:cs="DengXian-Regular"/>
          <w:sz w:val="32"/>
          <w:szCs w:val="32"/>
          <w:highlight w:val="yellow"/>
        </w:rPr>
      </w:pPr>
      <w:r>
        <w:rPr>
          <w:rFonts w:ascii="仿宋_GB2312" w:eastAsia="仿宋_GB2312" w:cs="DengXian-Regular"/>
          <w:sz w:val="32"/>
          <w:szCs w:val="32"/>
        </w:rPr>
        <w:object>
          <v:shape id="_x0000_i1025" o:spt="75" type="#_x0000_t75" style="height:175.5pt;width:409.5pt;" o:ole="t" filled="f" o:preferrelative="t" stroked="f" coordsize="21600,21600">
            <v:path/>
            <v:fill on="f" focussize="0,0"/>
            <v:stroke on="f" joinstyle="miter"/>
            <v:imagedata r:id="rId17" o:title=""/>
            <o:lock v:ext="edit" aspectratio="t"/>
            <w10:wrap type="none"/>
            <w10:anchorlock/>
          </v:shape>
          <o:OLEObject Type="Embed" ProgID="MSGraph.Chart.8" ShapeID="_x0000_i1025" DrawAspect="Content" ObjectID="_1468075726" r:id="rId16">
            <o:LockedField>false</o:LockedField>
          </o:OLEObject>
        </w:objec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98.35</w:t>
      </w:r>
      <w:r>
        <w:rPr>
          <w:rFonts w:ascii="仿宋_GB2312" w:hAnsi="Times New Roman" w:eastAsia="仿宋_GB2312" w:cs="DengXian-Regular"/>
          <w:sz w:val="32"/>
          <w:szCs w:val="32"/>
        </w:rPr>
        <w:t>%,</w:t>
      </w:r>
      <w:r>
        <w:rPr>
          <w:rFonts w:ascii="仿宋_GB2312" w:eastAsia="仿宋_GB2312" w:cs="DengXian-Regular"/>
          <w:sz w:val="32"/>
          <w:szCs w:val="32"/>
        </w:rPr>
        <w:t xml:space="preserve"> </w:t>
      </w:r>
      <w:r>
        <w:rPr>
          <w:rFonts w:hint="eastAsia" w:ascii="仿宋_GB2312" w:eastAsia="仿宋_GB2312" w:cs="DengXian-Regular"/>
          <w:sz w:val="32"/>
          <w:szCs w:val="32"/>
        </w:rPr>
        <w:t>决算数</w:t>
      </w:r>
      <w:r>
        <w:rPr>
          <w:rFonts w:hint="eastAsia" w:ascii="仿宋_GB2312" w:eastAsia="仿宋_GB2312" w:cs="DengXian-Regular"/>
          <w:sz w:val="32"/>
          <w:szCs w:val="32"/>
          <w:lang w:val="en-US" w:eastAsia="zh-CN"/>
        </w:rPr>
        <w:t>比</w:t>
      </w:r>
      <w:r>
        <w:rPr>
          <w:rFonts w:hint="eastAsia" w:ascii="仿宋_GB2312" w:eastAsia="仿宋_GB2312" w:cs="DengXian-Regular"/>
          <w:color w:val="000000"/>
          <w:sz w:val="32"/>
          <w:szCs w:val="32"/>
        </w:rPr>
        <w:t>年初预算数</w:t>
      </w:r>
      <w:r>
        <w:rPr>
          <w:rFonts w:hint="eastAsia" w:ascii="仿宋_GB2312" w:eastAsia="仿宋_GB2312" w:cs="DengXian-Regular"/>
          <w:color w:val="000000"/>
          <w:sz w:val="32"/>
          <w:szCs w:val="32"/>
          <w:lang w:val="en-US" w:eastAsia="zh-CN"/>
        </w:rPr>
        <w:t>减少43.03万元</w:t>
      </w:r>
      <w:r>
        <w:rPr>
          <w:rFonts w:hint="eastAsia" w:ascii="仿宋_GB2312" w:hAnsi="Times New Roman" w:eastAsia="仿宋_GB2312" w:cs="DengXian-Regular"/>
          <w:sz w:val="32"/>
          <w:szCs w:val="32"/>
        </w:rPr>
        <w:t>；本年支出</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rPr>
        <w:t>完成年初预算的</w:t>
      </w:r>
      <w:r>
        <w:rPr>
          <w:rFonts w:hint="eastAsia" w:ascii="仿宋_GB2312" w:eastAsia="仿宋_GB2312" w:cs="DengXian-Regular"/>
          <w:sz w:val="32"/>
          <w:szCs w:val="32"/>
          <w:lang w:val="en-US" w:eastAsia="zh-CN"/>
        </w:rPr>
        <w:t>98.35</w:t>
      </w:r>
      <w:r>
        <w:rPr>
          <w:rFonts w:ascii="仿宋_GB2312" w:eastAsia="仿宋_GB2312" w:cs="DengXian-Regular"/>
          <w:sz w:val="32"/>
          <w:szCs w:val="32"/>
        </w:rPr>
        <w:t>%,</w:t>
      </w:r>
      <w:r>
        <w:rPr>
          <w:rFonts w:hint="eastAsia" w:ascii="仿宋_GB2312" w:eastAsia="仿宋_GB2312" w:cs="DengXian-Regular"/>
          <w:sz w:val="32"/>
          <w:szCs w:val="32"/>
        </w:rPr>
        <w:t>决算数</w:t>
      </w:r>
      <w:r>
        <w:rPr>
          <w:rFonts w:hint="eastAsia" w:ascii="仿宋_GB2312" w:eastAsia="仿宋_GB2312" w:cs="DengXian-Regular"/>
          <w:color w:val="000000"/>
          <w:sz w:val="32"/>
          <w:szCs w:val="32"/>
        </w:rPr>
        <w:t>与年初预算数</w:t>
      </w:r>
      <w:r>
        <w:rPr>
          <w:rFonts w:hint="eastAsia" w:ascii="仿宋_GB2312" w:eastAsia="仿宋_GB2312" w:cs="DengXian-Regular"/>
          <w:color w:val="000000"/>
          <w:sz w:val="32"/>
          <w:szCs w:val="32"/>
          <w:lang w:val="en-US" w:eastAsia="zh-CN"/>
        </w:rPr>
        <w:t>减少43.03万元，减少原因</w:t>
      </w:r>
      <w:r>
        <w:rPr>
          <w:rFonts w:hint="eastAsia" w:ascii="仿宋_GB2312" w:eastAsia="仿宋_GB2312" w:cs="DengXian-Regular"/>
          <w:sz w:val="32"/>
          <w:szCs w:val="32"/>
        </w:rPr>
        <w:t>人防物资储备库工程</w:t>
      </w:r>
      <w:r>
        <w:rPr>
          <w:rFonts w:hint="eastAsia" w:ascii="仿宋_GB2312" w:eastAsia="仿宋_GB2312" w:cs="DengXian-Regular"/>
          <w:sz w:val="32"/>
          <w:szCs w:val="32"/>
          <w:lang w:val="en-US" w:eastAsia="zh-CN"/>
        </w:rPr>
        <w:t>项目决算数比年初预算数减少</w:t>
      </w:r>
      <w:r>
        <w:rPr>
          <w:rFonts w:hint="eastAsia" w:ascii="仿宋_GB2312" w:eastAsia="仿宋_GB2312" w:cs="DengXian-Regular"/>
          <w:sz w:val="32"/>
          <w:szCs w:val="32"/>
        </w:rPr>
        <w:t>。</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万元，主要用于以下方面</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国防（类）支出</w:t>
      </w:r>
      <w:r>
        <w:rPr>
          <w:rFonts w:ascii="仿宋_GB2312" w:hAnsi="Times New Roman" w:eastAsia="仿宋_GB2312" w:cs="DengXian-Regular"/>
          <w:sz w:val="32"/>
          <w:szCs w:val="32"/>
        </w:rPr>
        <w:t>382.5</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14.96%</w:t>
      </w:r>
      <w:r>
        <w:rPr>
          <w:rFonts w:hint="eastAsia" w:ascii="仿宋_GB2312" w:hAnsi="Times New Roman" w:eastAsia="仿宋_GB2312" w:cs="DengXian-Regular"/>
          <w:sz w:val="32"/>
          <w:szCs w:val="32"/>
        </w:rPr>
        <w:t>，；社会保障和就业（类）支出</w:t>
      </w:r>
      <w:r>
        <w:rPr>
          <w:rFonts w:ascii="仿宋_GB2312" w:hAnsi="Times New Roman" w:eastAsia="仿宋_GB2312" w:cs="DengXian-Regular"/>
          <w:sz w:val="32"/>
          <w:szCs w:val="32"/>
        </w:rPr>
        <w:t>8.39</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0.33%</w:t>
      </w:r>
      <w:r>
        <w:rPr>
          <w:rFonts w:hint="eastAsia" w:ascii="仿宋_GB2312" w:hAnsi="Times New Roman" w:eastAsia="仿宋_GB2312" w:cs="DengXian-Regular"/>
          <w:sz w:val="32"/>
          <w:szCs w:val="32"/>
        </w:rPr>
        <w:t>；住房保障（类）支出</w:t>
      </w:r>
      <w:r>
        <w:rPr>
          <w:rFonts w:ascii="仿宋_GB2312" w:hAnsi="Times New Roman" w:eastAsia="仿宋_GB2312" w:cs="DengXian-Regular"/>
          <w:sz w:val="32"/>
          <w:szCs w:val="32"/>
        </w:rPr>
        <w:t>331.5</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12.96%</w:t>
      </w:r>
      <w:r>
        <w:rPr>
          <w:rFonts w:hint="eastAsia" w:ascii="仿宋_GB2312" w:hAnsi="Times New Roman" w:eastAsia="仿宋_GB2312" w:cs="DengXian-Regular"/>
          <w:sz w:val="32"/>
          <w:szCs w:val="32"/>
        </w:rPr>
        <w:t>；城乡社区（类）支出</w:t>
      </w:r>
      <w:r>
        <w:rPr>
          <w:rFonts w:ascii="仿宋_GB2312" w:hAnsi="Times New Roman" w:eastAsia="仿宋_GB2312" w:cs="DengXian-Regular"/>
          <w:sz w:val="32"/>
          <w:szCs w:val="32"/>
        </w:rPr>
        <w:t>1834.57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 xml:space="preserve"> 71.75%</w:t>
      </w:r>
      <w:r>
        <w:rPr>
          <w:rFonts w:hint="eastAsia" w:ascii="仿宋_GB2312" w:hAnsi="Times New Roman" w:eastAsia="仿宋_GB2312" w:cs="DengXian-Regular"/>
          <w:sz w:val="32"/>
          <w:szCs w:val="32"/>
        </w:rPr>
        <w:t>；。</w:t>
      </w:r>
    </w:p>
    <w:p>
      <w:pPr>
        <w:adjustRightInd w:val="0"/>
        <w:snapToGrid w:val="0"/>
        <w:rPr>
          <w:rFonts w:ascii="楷体_GB2312" w:hAnsi="Times New Roman" w:eastAsia="楷体_GB2312" w:cs="DengXian-Bold"/>
          <w:b/>
          <w:bCs/>
          <w:sz w:val="32"/>
          <w:szCs w:val="32"/>
        </w:rPr>
      </w:pPr>
      <w:r>
        <w:pict>
          <v:shape id="文本框 32" o:spid="_x0000_s1041" o:spt="202" type="#_x0000_t202" style="position:absolute;left:0pt;margin-left:72pt;margin-top:236.65pt;height:30.85pt;width:290.6pt;z-index:-251648000;mso-width-relative:page;mso-height-relative:page;" stroked="f" coordsize="21600,2160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w:t>
                  </w:r>
                  <w:r>
                    <w:rPr>
                      <w:rFonts w:ascii="仿宋_GB2312" w:hAnsi="Times New Roman" w:eastAsia="仿宋_GB2312" w:cs="DengXian-Regular"/>
                      <w:sz w:val="28"/>
                      <w:szCs w:val="28"/>
                    </w:rPr>
                    <w:t>3</w:t>
                  </w:r>
                  <w:r>
                    <w:rPr>
                      <w:rFonts w:hint="eastAsia" w:ascii="仿宋_GB2312" w:hAnsi="Times New Roman" w:eastAsia="仿宋_GB2312" w:cs="DengXian-Regular"/>
                      <w:sz w:val="28"/>
                      <w:szCs w:val="28"/>
                    </w:rPr>
                    <w:t>：财政拨款支出决算结构（按功能分类）</w:t>
                  </w:r>
                </w:p>
                <w:p>
                  <w:pPr>
                    <w:spacing w:after="160" w:line="480" w:lineRule="auto"/>
                    <w:rPr>
                      <w:rFonts w:ascii="Times New Roman" w:hAnsi="Times New Roman" w:eastAsia="宋体"/>
                      <w:sz w:val="20"/>
                    </w:rPr>
                  </w:pPr>
                </w:p>
              </w:txbxContent>
            </v:textbox>
          </v:shape>
        </w:pict>
      </w:r>
      <w:r>
        <w:rPr>
          <w:rFonts w:ascii="楷体_GB2312" w:hAnsi="Times New Roman" w:eastAsia="楷体_GB2312" w:cs="DengXian-Bold"/>
          <w:b/>
          <w:bCs/>
          <w:sz w:val="32"/>
          <w:szCs w:val="32"/>
        </w:rPr>
        <w:object>
          <v:shape id="_x0000_i1026" o:spt="75" type="#_x0000_t75" style="height:291pt;width:409.5pt;" o:ole="t" filled="f" o:preferrelative="t" stroked="f" coordsize="21600,21600">
            <v:path/>
            <v:fill on="f" focussize="0,0"/>
            <v:stroke on="f" joinstyle="miter"/>
            <v:imagedata r:id="rId19" o:title=""/>
            <o:lock v:ext="edit" aspectratio="t"/>
            <w10:wrap type="none"/>
            <w10:anchorlock/>
          </v:shape>
          <o:OLEObject Type="Embed" ProgID="MSGraph.Chart.8" ShapeID="_x0000_i1026" DrawAspect="Content" ObjectID="_1468075727" r:id="rId18">
            <o:LockedField>false</o:LockedField>
          </o:OLEObject>
        </w:objec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w:t>
      </w:r>
      <w:r>
        <w:rPr>
          <w:rFonts w:ascii="仿宋_GB2312" w:hAnsi="Times New Roman" w:eastAsia="仿宋_GB2312" w:cs="DengXian-Regular"/>
          <w:sz w:val="32"/>
          <w:szCs w:val="32"/>
        </w:rPr>
        <w:t>1001.52</w:t>
      </w:r>
      <w:r>
        <w:rPr>
          <w:rFonts w:hint="eastAsia" w:ascii="仿宋_GB2312" w:hAnsi="Times New Roman" w:eastAsia="仿宋_GB2312" w:cs="DengXian-Regular"/>
          <w:sz w:val="32"/>
          <w:szCs w:val="32"/>
        </w:rPr>
        <w:t>万元，其中：人员经费</w:t>
      </w:r>
      <w:r>
        <w:rPr>
          <w:rFonts w:ascii="仿宋_GB2312" w:hAnsi="Times New Roman" w:eastAsia="仿宋_GB2312" w:cs="DengXian-Regular"/>
          <w:sz w:val="32"/>
          <w:szCs w:val="32"/>
        </w:rPr>
        <w:t>912.99</w:t>
      </w:r>
      <w:r>
        <w:rPr>
          <w:rFonts w:hint="eastAsia" w:ascii="仿宋_GB2312" w:hAnsi="Times New Roman" w:eastAsia="仿宋_GB2312" w:cs="DengXian-Regular"/>
          <w:sz w:val="32"/>
          <w:szCs w:val="32"/>
        </w:rPr>
        <w:t>万元，主要包括基本工资</w:t>
      </w:r>
      <w:r>
        <w:rPr>
          <w:rFonts w:hint="eastAsia" w:ascii="仿宋_GB2312" w:hAnsi="Times New Roman" w:eastAsia="仿宋_GB2312" w:cs="DengXian-Regular"/>
          <w:sz w:val="32"/>
          <w:szCs w:val="32"/>
          <w:lang w:val="en-US" w:eastAsia="zh-CN"/>
        </w:rPr>
        <w:t>737.53万元</w:t>
      </w:r>
      <w:r>
        <w:rPr>
          <w:rFonts w:hint="eastAsia" w:ascii="仿宋_GB2312" w:hAnsi="Times New Roman" w:eastAsia="仿宋_GB2312" w:cs="DengXian-Regular"/>
          <w:sz w:val="32"/>
          <w:szCs w:val="32"/>
        </w:rPr>
        <w:t>、津贴补贴</w:t>
      </w:r>
      <w:r>
        <w:rPr>
          <w:rFonts w:hint="eastAsia" w:ascii="仿宋_GB2312" w:hAnsi="Times New Roman" w:eastAsia="仿宋_GB2312" w:cs="DengXian-Regular"/>
          <w:sz w:val="32"/>
          <w:szCs w:val="32"/>
          <w:lang w:val="en-US" w:eastAsia="zh-CN"/>
        </w:rPr>
        <w:t>10.39万元</w:t>
      </w:r>
      <w:r>
        <w:rPr>
          <w:rFonts w:hint="eastAsia" w:ascii="仿宋_GB2312" w:hAnsi="Times New Roman" w:eastAsia="仿宋_GB2312" w:cs="DengXian-Regular"/>
          <w:sz w:val="32"/>
          <w:szCs w:val="32"/>
        </w:rPr>
        <w:t>、绩效工资</w:t>
      </w:r>
      <w:r>
        <w:rPr>
          <w:rFonts w:hint="eastAsia" w:ascii="仿宋_GB2312" w:hAnsi="Times New Roman" w:eastAsia="仿宋_GB2312" w:cs="DengXian-Regular"/>
          <w:sz w:val="32"/>
          <w:szCs w:val="32"/>
          <w:lang w:val="en-US" w:eastAsia="zh-CN"/>
        </w:rPr>
        <w:t>14.08万元</w:t>
      </w:r>
      <w:r>
        <w:rPr>
          <w:rFonts w:hint="eastAsia" w:ascii="仿宋_GB2312" w:hAnsi="Times New Roman" w:eastAsia="仿宋_GB2312" w:cs="DengXian-Regular"/>
          <w:sz w:val="32"/>
          <w:szCs w:val="32"/>
        </w:rPr>
        <w:t>、机关事业单位基本养老保险缴费</w:t>
      </w:r>
      <w:r>
        <w:rPr>
          <w:rFonts w:hint="eastAsia" w:ascii="仿宋_GB2312" w:hAnsi="Times New Roman" w:eastAsia="仿宋_GB2312" w:cs="DengXian-Regular"/>
          <w:sz w:val="32"/>
          <w:szCs w:val="32"/>
          <w:lang w:val="en-US" w:eastAsia="zh-CN"/>
        </w:rPr>
        <w:t>88.56万元</w:t>
      </w:r>
      <w:r>
        <w:rPr>
          <w:rFonts w:hint="eastAsia" w:ascii="仿宋_GB2312" w:hAnsi="Times New Roman" w:eastAsia="仿宋_GB2312" w:cs="DengXian-Regular"/>
          <w:sz w:val="32"/>
          <w:szCs w:val="32"/>
        </w:rPr>
        <w:t>、职业年金缴费</w:t>
      </w:r>
      <w:r>
        <w:rPr>
          <w:rFonts w:hint="eastAsia" w:ascii="仿宋_GB2312" w:hAnsi="Times New Roman" w:eastAsia="仿宋_GB2312" w:cs="DengXian-Regular"/>
          <w:sz w:val="32"/>
          <w:szCs w:val="32"/>
          <w:lang w:val="en-US" w:eastAsia="zh-CN"/>
        </w:rPr>
        <w:t>9.87万元</w:t>
      </w:r>
      <w:r>
        <w:rPr>
          <w:rFonts w:hint="eastAsia" w:ascii="仿宋_GB2312" w:hAnsi="Times New Roman" w:eastAsia="仿宋_GB2312" w:cs="DengXian-Regular"/>
          <w:sz w:val="32"/>
          <w:szCs w:val="32"/>
        </w:rPr>
        <w:t>、职工基本医疗保险缴费</w:t>
      </w:r>
      <w:r>
        <w:rPr>
          <w:rFonts w:hint="eastAsia" w:ascii="仿宋_GB2312" w:hAnsi="Times New Roman" w:eastAsia="仿宋_GB2312" w:cs="DengXian-Regular"/>
          <w:sz w:val="32"/>
          <w:szCs w:val="32"/>
          <w:lang w:val="en-US" w:eastAsia="zh-CN"/>
        </w:rPr>
        <w:t>16.98万元</w:t>
      </w:r>
      <w:r>
        <w:rPr>
          <w:rFonts w:hint="eastAsia" w:ascii="仿宋_GB2312" w:hAnsi="Times New Roman" w:eastAsia="仿宋_GB2312" w:cs="DengXian-Regular"/>
          <w:sz w:val="32"/>
          <w:szCs w:val="32"/>
        </w:rPr>
        <w:t>、住房公积金</w:t>
      </w:r>
      <w:r>
        <w:rPr>
          <w:rFonts w:hint="eastAsia" w:ascii="仿宋_GB2312" w:hAnsi="Times New Roman" w:eastAsia="仿宋_GB2312" w:cs="DengXian-Regular"/>
          <w:sz w:val="32"/>
          <w:szCs w:val="32"/>
          <w:lang w:val="en-US" w:eastAsia="zh-CN"/>
        </w:rPr>
        <w:t>25.29万元</w:t>
      </w:r>
      <w:r>
        <w:rPr>
          <w:rFonts w:hint="eastAsia" w:ascii="仿宋_GB2312" w:hAnsi="Times New Roman" w:eastAsia="仿宋_GB2312" w:cs="DengXian-Regular"/>
          <w:sz w:val="32"/>
          <w:szCs w:val="32"/>
        </w:rPr>
        <w:t>、医疗费、其他社会保障缴费</w:t>
      </w:r>
      <w:r>
        <w:rPr>
          <w:rFonts w:hint="eastAsia" w:ascii="仿宋_GB2312" w:hAnsi="Times New Roman" w:eastAsia="仿宋_GB2312" w:cs="DengXian-Regular"/>
          <w:sz w:val="32"/>
          <w:szCs w:val="32"/>
          <w:lang w:val="en-US" w:eastAsia="zh-CN"/>
        </w:rPr>
        <w:t>0.99万元</w:t>
      </w:r>
      <w:r>
        <w:rPr>
          <w:rFonts w:hint="eastAsia" w:ascii="仿宋_GB2312" w:hAnsi="Times New Roman" w:eastAsia="仿宋_GB2312" w:cs="DengXian-Regular"/>
          <w:sz w:val="32"/>
          <w:szCs w:val="32"/>
        </w:rPr>
        <w:t>、其他对个人和家庭的补助支出</w:t>
      </w:r>
      <w:r>
        <w:rPr>
          <w:rFonts w:hint="eastAsia" w:ascii="仿宋_GB2312" w:hAnsi="Times New Roman" w:eastAsia="仿宋_GB2312" w:cs="DengXian-Regular"/>
          <w:sz w:val="32"/>
          <w:szCs w:val="32"/>
          <w:lang w:val="en-US" w:eastAsia="zh-CN"/>
        </w:rPr>
        <w:t>9.31万元</w:t>
      </w:r>
      <w:r>
        <w:rPr>
          <w:rFonts w:hint="eastAsia" w:ascii="仿宋_GB2312" w:hAnsi="Times New Roman" w:eastAsia="仿宋_GB2312" w:cs="DengXian-Regular"/>
          <w:sz w:val="32"/>
          <w:szCs w:val="32"/>
        </w:rPr>
        <w:t>；公用经费</w:t>
      </w:r>
      <w:r>
        <w:rPr>
          <w:rFonts w:ascii="仿宋_GB2312" w:hAnsi="Times New Roman" w:eastAsia="仿宋_GB2312" w:cs="DengXian-Regular"/>
          <w:sz w:val="32"/>
          <w:szCs w:val="32"/>
        </w:rPr>
        <w:t xml:space="preserve"> 88.53</w:t>
      </w:r>
      <w:r>
        <w:rPr>
          <w:rFonts w:hint="eastAsia" w:ascii="仿宋_GB2312" w:hAnsi="Times New Roman" w:eastAsia="仿宋_GB2312" w:cs="DengXian-Regular"/>
          <w:sz w:val="32"/>
          <w:szCs w:val="32"/>
        </w:rPr>
        <w:t>万元，主要包括办公费</w:t>
      </w:r>
      <w:r>
        <w:rPr>
          <w:rFonts w:hint="eastAsia" w:ascii="仿宋_GB2312" w:hAnsi="Times New Roman" w:eastAsia="仿宋_GB2312" w:cs="DengXian-Regular"/>
          <w:sz w:val="32"/>
          <w:szCs w:val="32"/>
          <w:lang w:val="en-US" w:eastAsia="zh-CN"/>
        </w:rPr>
        <w:t>11.29万元</w:t>
      </w:r>
      <w:r>
        <w:rPr>
          <w:rFonts w:hint="eastAsia" w:ascii="仿宋_GB2312" w:hAnsi="Times New Roman" w:eastAsia="仿宋_GB2312" w:cs="DengXian-Regular"/>
          <w:sz w:val="32"/>
          <w:szCs w:val="32"/>
        </w:rPr>
        <w:t>、印刷费</w:t>
      </w:r>
      <w:r>
        <w:rPr>
          <w:rFonts w:hint="eastAsia" w:ascii="仿宋_GB2312" w:hAnsi="Times New Roman" w:eastAsia="仿宋_GB2312" w:cs="DengXian-Regular"/>
          <w:sz w:val="32"/>
          <w:szCs w:val="32"/>
          <w:lang w:val="en-US" w:eastAsia="zh-CN"/>
        </w:rPr>
        <w:t>0.06万元</w:t>
      </w:r>
      <w:r>
        <w:rPr>
          <w:rFonts w:hint="eastAsia" w:ascii="仿宋_GB2312" w:hAnsi="Times New Roman" w:eastAsia="仿宋_GB2312" w:cs="DengXian-Regular"/>
          <w:sz w:val="32"/>
          <w:szCs w:val="32"/>
        </w:rPr>
        <w:t>、咨询费、手续费</w:t>
      </w:r>
      <w:r>
        <w:rPr>
          <w:rFonts w:hint="eastAsia" w:ascii="仿宋_GB2312" w:hAnsi="Times New Roman" w:eastAsia="仿宋_GB2312" w:cs="DengXian-Regular"/>
          <w:sz w:val="32"/>
          <w:szCs w:val="32"/>
          <w:lang w:val="en-US" w:eastAsia="zh-CN"/>
        </w:rPr>
        <w:t>0.22万元</w:t>
      </w:r>
      <w:r>
        <w:rPr>
          <w:rFonts w:hint="eastAsia" w:ascii="仿宋_GB2312" w:hAnsi="Times New Roman" w:eastAsia="仿宋_GB2312" w:cs="DengXian-Regular"/>
          <w:sz w:val="32"/>
          <w:szCs w:val="32"/>
        </w:rPr>
        <w:t>、水费</w:t>
      </w:r>
      <w:r>
        <w:rPr>
          <w:rFonts w:hint="eastAsia" w:ascii="仿宋_GB2312" w:hAnsi="Times New Roman" w:eastAsia="仿宋_GB2312" w:cs="DengXian-Regular"/>
          <w:sz w:val="32"/>
          <w:szCs w:val="32"/>
          <w:lang w:val="en-US" w:eastAsia="zh-CN"/>
        </w:rPr>
        <w:t>0.82万元</w:t>
      </w:r>
      <w:r>
        <w:rPr>
          <w:rFonts w:hint="eastAsia" w:ascii="仿宋_GB2312" w:hAnsi="Times New Roman" w:eastAsia="仿宋_GB2312" w:cs="DengXian-Regular"/>
          <w:sz w:val="32"/>
          <w:szCs w:val="32"/>
        </w:rPr>
        <w:t>、电费</w:t>
      </w:r>
      <w:r>
        <w:rPr>
          <w:rFonts w:hint="eastAsia" w:ascii="仿宋_GB2312" w:hAnsi="Times New Roman" w:eastAsia="仿宋_GB2312" w:cs="DengXian-Regular"/>
          <w:sz w:val="32"/>
          <w:szCs w:val="32"/>
          <w:lang w:val="en-US" w:eastAsia="zh-CN"/>
        </w:rPr>
        <w:t>12.41万元</w:t>
      </w:r>
      <w:r>
        <w:rPr>
          <w:rFonts w:hint="eastAsia" w:ascii="仿宋_GB2312" w:hAnsi="Times New Roman" w:eastAsia="仿宋_GB2312" w:cs="DengXian-Regular"/>
          <w:sz w:val="32"/>
          <w:szCs w:val="32"/>
        </w:rPr>
        <w:t>、邮电费</w:t>
      </w:r>
      <w:r>
        <w:rPr>
          <w:rFonts w:hint="eastAsia" w:ascii="仿宋_GB2312" w:hAnsi="Times New Roman" w:eastAsia="仿宋_GB2312" w:cs="DengXian-Regular"/>
          <w:sz w:val="32"/>
          <w:szCs w:val="32"/>
          <w:lang w:val="en-US" w:eastAsia="zh-CN"/>
        </w:rPr>
        <w:t>2.85万元</w:t>
      </w:r>
      <w:r>
        <w:rPr>
          <w:rFonts w:hint="eastAsia" w:ascii="仿宋_GB2312" w:hAnsi="Times New Roman" w:eastAsia="仿宋_GB2312" w:cs="DengXian-Regular"/>
          <w:sz w:val="32"/>
          <w:szCs w:val="32"/>
        </w:rPr>
        <w:t>、取暖费</w:t>
      </w:r>
      <w:r>
        <w:rPr>
          <w:rFonts w:hint="eastAsia" w:ascii="仿宋_GB2312" w:hAnsi="Times New Roman" w:eastAsia="仿宋_GB2312" w:cs="DengXian-Regular"/>
          <w:sz w:val="32"/>
          <w:szCs w:val="32"/>
          <w:lang w:val="en-US" w:eastAsia="zh-CN"/>
        </w:rPr>
        <w:t>5.05万元</w:t>
      </w:r>
      <w:r>
        <w:rPr>
          <w:rFonts w:hint="eastAsia" w:ascii="仿宋_GB2312" w:hAnsi="Times New Roman" w:eastAsia="仿宋_GB2312" w:cs="DengXian-Regular"/>
          <w:sz w:val="32"/>
          <w:szCs w:val="32"/>
        </w:rPr>
        <w:t>、物业管理费</w:t>
      </w:r>
      <w:r>
        <w:rPr>
          <w:rFonts w:hint="eastAsia" w:ascii="仿宋_GB2312" w:hAnsi="Times New Roman" w:eastAsia="仿宋_GB2312" w:cs="DengXian-Regular"/>
          <w:sz w:val="32"/>
          <w:szCs w:val="32"/>
          <w:lang w:val="en-US" w:eastAsia="zh-CN"/>
        </w:rPr>
        <w:t>17.96万元</w:t>
      </w:r>
      <w:r>
        <w:rPr>
          <w:rFonts w:hint="eastAsia" w:ascii="仿宋_GB2312" w:hAnsi="Times New Roman" w:eastAsia="仿宋_GB2312" w:cs="DengXian-Regular"/>
          <w:sz w:val="32"/>
          <w:szCs w:val="32"/>
        </w:rPr>
        <w:t>、差旅费</w:t>
      </w:r>
      <w:r>
        <w:rPr>
          <w:rFonts w:hint="eastAsia" w:ascii="仿宋_GB2312" w:hAnsi="Times New Roman" w:eastAsia="仿宋_GB2312" w:cs="DengXian-Regular"/>
          <w:sz w:val="32"/>
          <w:szCs w:val="32"/>
          <w:lang w:val="en-US" w:eastAsia="zh-CN"/>
        </w:rPr>
        <w:t>10.3万元</w:t>
      </w:r>
      <w:r>
        <w:rPr>
          <w:rFonts w:hint="eastAsia" w:ascii="仿宋_GB2312" w:hAnsi="Times New Roman" w:eastAsia="仿宋_GB2312" w:cs="DengXian-Regular"/>
          <w:sz w:val="32"/>
          <w:szCs w:val="32"/>
        </w:rPr>
        <w:t>、维修（护）费</w:t>
      </w:r>
      <w:r>
        <w:rPr>
          <w:rFonts w:hint="eastAsia" w:ascii="仿宋_GB2312" w:hAnsi="Times New Roman" w:eastAsia="仿宋_GB2312" w:cs="DengXian-Regular"/>
          <w:sz w:val="32"/>
          <w:szCs w:val="32"/>
          <w:lang w:val="en-US" w:eastAsia="zh-CN"/>
        </w:rPr>
        <w:t>0.52万元</w:t>
      </w:r>
      <w:r>
        <w:rPr>
          <w:rFonts w:hint="eastAsia" w:ascii="仿宋_GB2312" w:hAnsi="Times New Roman" w:eastAsia="仿宋_GB2312" w:cs="DengXian-Regular"/>
          <w:sz w:val="32"/>
          <w:szCs w:val="32"/>
        </w:rPr>
        <w:t>、工会经费</w:t>
      </w:r>
      <w:r>
        <w:rPr>
          <w:rFonts w:hint="eastAsia" w:ascii="仿宋_GB2312" w:hAnsi="Times New Roman" w:eastAsia="仿宋_GB2312" w:cs="DengXian-Regular"/>
          <w:sz w:val="32"/>
          <w:szCs w:val="32"/>
          <w:lang w:val="en-US" w:eastAsia="zh-CN"/>
        </w:rPr>
        <w:t>7.49万元</w:t>
      </w:r>
      <w:r>
        <w:rPr>
          <w:rFonts w:hint="eastAsia" w:ascii="仿宋_GB2312" w:hAnsi="Times New Roman" w:eastAsia="仿宋_GB2312" w:cs="DengXian-Regular"/>
          <w:sz w:val="32"/>
          <w:szCs w:val="32"/>
        </w:rPr>
        <w:t>、福利费、公务用车运行维护费</w:t>
      </w:r>
      <w:r>
        <w:rPr>
          <w:rFonts w:hint="eastAsia" w:ascii="仿宋_GB2312" w:hAnsi="Times New Roman" w:eastAsia="仿宋_GB2312" w:cs="DengXian-Regular"/>
          <w:sz w:val="32"/>
          <w:szCs w:val="32"/>
          <w:lang w:val="en-US" w:eastAsia="zh-CN"/>
        </w:rPr>
        <w:t>4.76万元</w:t>
      </w:r>
      <w:r>
        <w:rPr>
          <w:rFonts w:hint="eastAsia" w:ascii="仿宋_GB2312" w:hAnsi="Times New Roman" w:eastAsia="仿宋_GB2312" w:cs="DengXian-Regular"/>
          <w:sz w:val="32"/>
          <w:szCs w:val="32"/>
        </w:rPr>
        <w:t>、其他交通费用</w:t>
      </w:r>
      <w:r>
        <w:rPr>
          <w:rFonts w:hint="eastAsia" w:ascii="仿宋_GB2312" w:hAnsi="Times New Roman" w:eastAsia="仿宋_GB2312" w:cs="DengXian-Regular"/>
          <w:sz w:val="32"/>
          <w:szCs w:val="32"/>
          <w:lang w:val="en-US" w:eastAsia="zh-CN"/>
        </w:rPr>
        <w:t>2.04万元</w:t>
      </w:r>
      <w:r>
        <w:rPr>
          <w:rFonts w:hint="eastAsia" w:ascii="仿宋_GB2312" w:hAnsi="Times New Roman" w:eastAsia="仿宋_GB2312" w:cs="DengXian-Regular"/>
          <w:sz w:val="32"/>
          <w:szCs w:val="32"/>
        </w:rPr>
        <w:t>、其他商品和服务支出</w:t>
      </w:r>
      <w:r>
        <w:rPr>
          <w:rFonts w:hint="eastAsia" w:ascii="仿宋_GB2312" w:hAnsi="Times New Roman" w:eastAsia="仿宋_GB2312" w:cs="DengXian-Regular"/>
          <w:sz w:val="32"/>
          <w:szCs w:val="32"/>
          <w:lang w:val="en-US" w:eastAsia="zh-CN"/>
        </w:rPr>
        <w:t>7.96万元</w:t>
      </w:r>
      <w:r>
        <w:rPr>
          <w:rFonts w:hint="eastAsia" w:ascii="仿宋_GB2312" w:hAnsi="Times New Roman" w:eastAsia="仿宋_GB2312" w:cs="DengXian-Regular"/>
          <w:sz w:val="32"/>
          <w:szCs w:val="32"/>
        </w:rPr>
        <w:t>、办公设备购置</w:t>
      </w:r>
      <w:r>
        <w:rPr>
          <w:rFonts w:hint="eastAsia" w:ascii="仿宋_GB2312" w:hAnsi="Times New Roman" w:eastAsia="仿宋_GB2312" w:cs="DengXian-Regular"/>
          <w:sz w:val="32"/>
          <w:szCs w:val="32"/>
          <w:lang w:val="en-US" w:eastAsia="zh-CN"/>
        </w:rPr>
        <w:t>4.79万元</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ind w:firstLine="640"/>
        <w:rPr>
          <w:rFonts w:ascii="仿宋" w:hAnsi="仿宋" w:eastAsia="仿宋" w:cs="仿宋"/>
          <w:sz w:val="30"/>
          <w:szCs w:val="30"/>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w:t>
      </w:r>
      <w:r>
        <w:rPr>
          <w:rFonts w:ascii="仿宋_GB2312" w:hAnsi="Times New Roman" w:eastAsia="仿宋_GB2312" w:cs="DengXian-Regular"/>
          <w:sz w:val="32"/>
          <w:szCs w:val="32"/>
        </w:rPr>
        <w:t>4.76</w:t>
      </w:r>
      <w:r>
        <w:rPr>
          <w:rFonts w:hint="eastAsia" w:ascii="仿宋_GB2312" w:hAnsi="Times New Roman" w:eastAsia="仿宋_GB2312" w:cs="DengXian-Regular"/>
          <w:sz w:val="32"/>
          <w:szCs w:val="32"/>
        </w:rPr>
        <w:t>万元，完成预算的</w:t>
      </w:r>
      <w:r>
        <w:rPr>
          <w:rFonts w:ascii="仿宋_GB2312" w:hAnsi="Times New Roman" w:eastAsia="仿宋_GB2312" w:cs="DengXian-Regular"/>
          <w:sz w:val="32"/>
          <w:szCs w:val="32"/>
        </w:rPr>
        <w:t>79.33%,</w:t>
      </w:r>
      <w:r>
        <w:rPr>
          <w:rFonts w:hint="eastAsia" w:ascii="仿宋_GB2312" w:hAnsi="Times New Roman" w:eastAsia="仿宋_GB2312" w:cs="DengXian-Regular"/>
          <w:sz w:val="32"/>
          <w:szCs w:val="32"/>
        </w:rPr>
        <w:t>较预算减少</w:t>
      </w:r>
      <w:r>
        <w:rPr>
          <w:rFonts w:ascii="仿宋_GB2312" w:hAnsi="Times New Roman" w:eastAsia="仿宋_GB2312" w:cs="DengXian-Regular"/>
          <w:sz w:val="32"/>
          <w:szCs w:val="32"/>
        </w:rPr>
        <w:t>1.24</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20.67%</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r>
        <w:rPr>
          <w:rFonts w:hint="eastAsia" w:ascii="仿宋_GB2312" w:hAnsi="Times New Roman" w:eastAsia="仿宋_GB2312" w:cs="DengXian-Regular"/>
          <w:sz w:val="32"/>
          <w:szCs w:val="32"/>
        </w:rPr>
        <w:t>；较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ascii="仿宋_GB2312" w:hAnsi="Times New Roman" w:eastAsia="仿宋_GB2312" w:cs="DengXian-Regular"/>
          <w:sz w:val="32"/>
          <w:szCs w:val="32"/>
        </w:rPr>
        <w:t>0.11</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2.26%</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hint="default" w:ascii="仿宋" w:hAnsi="仿宋" w:eastAsia="仿宋" w:cs="DengXian-Regular"/>
          <w:color w:val="000000"/>
          <w:sz w:val="32"/>
          <w:szCs w:val="32"/>
          <w:lang w:val="en-US" w:eastAsia="zh-CN"/>
        </w:rPr>
      </w:pPr>
      <w:r>
        <w:rPr>
          <w:rFonts w:hint="eastAsia" w:ascii="楷体_GB2312" w:hAnsi="Times New Roman" w:eastAsia="楷体_GB2312" w:cs="DengXian-Bold"/>
          <w:b/>
          <w:bCs/>
          <w:sz w:val="32"/>
          <w:szCs w:val="32"/>
        </w:rPr>
        <w:t>（一）因公出国（境）费支出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 w:hAnsi="仿宋" w:eastAsia="仿宋" w:cs="DengXian-Bold"/>
          <w:bCs/>
          <w:sz w:val="32"/>
          <w:szCs w:val="32"/>
        </w:rPr>
        <w:t>因公出国（境）费支出</w:t>
      </w:r>
      <w:r>
        <w:rPr>
          <w:rFonts w:hint="eastAsia" w:ascii="仿宋" w:hAnsi="仿宋" w:eastAsia="仿宋" w:cs="DengXian-Regular"/>
          <w:color w:val="000000"/>
          <w:sz w:val="32"/>
          <w:szCs w:val="32"/>
        </w:rPr>
        <w:t>与年初预算持平。</w:t>
      </w:r>
      <w:r>
        <w:rPr>
          <w:rFonts w:hint="eastAsia" w:ascii="仿宋" w:hAnsi="仿宋" w:eastAsia="仿宋" w:cs="DengXian-Regular"/>
          <w:color w:val="000000"/>
          <w:sz w:val="32"/>
          <w:szCs w:val="32"/>
          <w:lang w:val="en-US" w:eastAsia="zh-CN"/>
        </w:rPr>
        <w:t>与上年数据一致。</w:t>
      </w:r>
    </w:p>
    <w:p>
      <w:pPr>
        <w:ind w:firstLine="640"/>
        <w:rPr>
          <w:rFonts w:ascii="仿宋" w:hAnsi="仿宋" w:eastAsia="仿宋" w:cs="仿宋"/>
          <w:sz w:val="30"/>
          <w:szCs w:val="30"/>
        </w:rPr>
      </w:pPr>
      <w:r>
        <w:rPr>
          <w:rFonts w:hint="eastAsia" w:ascii="楷体_GB2312" w:hAnsi="Times New Roman" w:eastAsia="楷体_GB2312" w:cs="DengXian-Bold"/>
          <w:b/>
          <w:bCs/>
          <w:sz w:val="32"/>
          <w:szCs w:val="32"/>
        </w:rPr>
        <w:t>（二）公务用车购置及运行维护费支出</w:t>
      </w:r>
      <w:r>
        <w:rPr>
          <w:rFonts w:ascii="楷体_GB2312" w:hAnsi="Times New Roman" w:eastAsia="楷体_GB2312" w:cs="DengXian-Bold"/>
          <w:b/>
          <w:bCs/>
          <w:sz w:val="32"/>
          <w:szCs w:val="32"/>
        </w:rPr>
        <w:t>4.76</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w:t>
      </w:r>
      <w:r>
        <w:rPr>
          <w:rFonts w:ascii="仿宋_GB2312" w:hAnsi="Times New Roman" w:eastAsia="仿宋_GB2312" w:cs="DengXian-Regular"/>
          <w:sz w:val="32"/>
          <w:szCs w:val="32"/>
        </w:rPr>
        <w:t>1.24</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20.67%,</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r>
        <w:rPr>
          <w:rFonts w:hint="eastAsia" w:ascii="仿宋_GB2312" w:hAnsi="Times New Roman" w:eastAsia="仿宋_GB2312" w:cs="DengXian-Regular"/>
          <w:sz w:val="32"/>
          <w:szCs w:val="32"/>
        </w:rPr>
        <w:t>；较上年减少</w:t>
      </w:r>
      <w:r>
        <w:rPr>
          <w:rFonts w:ascii="仿宋_GB2312" w:hAnsi="Times New Roman" w:eastAsia="仿宋_GB2312" w:cs="DengXian-Regular"/>
          <w:sz w:val="32"/>
          <w:szCs w:val="32"/>
        </w:rPr>
        <w:t>0.11</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2.26%,</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p>
    <w:p>
      <w:pPr>
        <w:ind w:firstLine="640"/>
        <w:rPr>
          <w:rFonts w:ascii="仿宋" w:hAnsi="仿宋" w:eastAsia="仿宋" w:cs="仿宋"/>
          <w:sz w:val="30"/>
          <w:szCs w:val="30"/>
        </w:rPr>
      </w:pP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color w:val="000000"/>
          <w:sz w:val="32"/>
          <w:szCs w:val="32"/>
          <w:lang w:val="en-US" w:eastAsia="zh-CN"/>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公务用车购置费支出</w:t>
      </w:r>
      <w:r>
        <w:rPr>
          <w:rFonts w:hint="eastAsia" w:ascii="仿宋_GB2312" w:eastAsia="仿宋_GB2312" w:cs="DengXian-Regular"/>
          <w:color w:val="000000"/>
          <w:sz w:val="32"/>
          <w:szCs w:val="32"/>
        </w:rPr>
        <w:t>与年初预算持平</w:t>
      </w:r>
      <w:r>
        <w:rPr>
          <w:rFonts w:hint="eastAsia" w:ascii="仿宋_GB2312" w:hAnsi="Times New Roman" w:eastAsia="仿宋_GB2312" w:cs="DengXian-Regular"/>
          <w:sz w:val="32"/>
          <w:szCs w:val="32"/>
          <w:lang w:eastAsia="zh-CN"/>
        </w:rPr>
        <w:t>，与上年决算持平。</w:t>
      </w:r>
    </w:p>
    <w:p>
      <w:pPr>
        <w:ind w:firstLine="640"/>
        <w:rPr>
          <w:rFonts w:ascii="仿宋" w:hAnsi="仿宋" w:eastAsia="仿宋" w:cs="仿宋"/>
          <w:sz w:val="30"/>
          <w:szCs w:val="30"/>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辆。公车运行维护费支出较预算减少</w:t>
      </w:r>
      <w:r>
        <w:rPr>
          <w:rFonts w:ascii="仿宋_GB2312" w:hAnsi="Times New Roman" w:eastAsia="仿宋_GB2312" w:cs="DengXian-Regular"/>
          <w:sz w:val="32"/>
          <w:szCs w:val="32"/>
        </w:rPr>
        <w:t>1.24</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20.67%,</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r>
        <w:rPr>
          <w:rFonts w:hint="eastAsia" w:ascii="仿宋_GB2312" w:hAnsi="Times New Roman" w:eastAsia="仿宋_GB2312" w:cs="DengXian-Regular"/>
          <w:sz w:val="32"/>
          <w:szCs w:val="32"/>
        </w:rPr>
        <w:t>；较上年减少</w:t>
      </w:r>
      <w:r>
        <w:rPr>
          <w:rFonts w:ascii="仿宋_GB2312" w:hAnsi="Times New Roman" w:eastAsia="仿宋_GB2312" w:cs="DengXian-Regular"/>
          <w:sz w:val="32"/>
          <w:szCs w:val="32"/>
        </w:rPr>
        <w:t>0.11</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2.26%</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批次、</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人次。</w:t>
      </w:r>
      <w:r>
        <w:rPr>
          <w:rFonts w:hint="eastAsia" w:ascii="仿宋_GB2312" w:eastAsia="仿宋_GB2312" w:cs="DengXian-Regular"/>
          <w:sz w:val="32"/>
          <w:szCs w:val="32"/>
        </w:rPr>
        <w:t>公务接待费支出</w:t>
      </w:r>
      <w:r>
        <w:rPr>
          <w:rFonts w:hint="eastAsia" w:ascii="仿宋_GB2312" w:eastAsia="仿宋_GB2312" w:cs="DengXian-Regular"/>
          <w:color w:val="000000"/>
          <w:sz w:val="32"/>
          <w:szCs w:val="32"/>
        </w:rPr>
        <w:t>与年初预算持平</w:t>
      </w:r>
      <w:r>
        <w:rPr>
          <w:rFonts w:hint="eastAsia" w:ascii="仿宋_GB2312" w:hAnsi="Times New Roman" w:eastAsia="仿宋_GB2312" w:cs="DengXian-Regular"/>
          <w:sz w:val="32"/>
          <w:szCs w:val="32"/>
          <w:lang w:eastAsia="zh-CN"/>
        </w:rPr>
        <w:t>，与上年决算持平。</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 w:hAnsi="仿宋" w:eastAsia="仿宋" w:cs="仿宋"/>
          <w:sz w:val="32"/>
          <w:szCs w:val="32"/>
        </w:rPr>
        <w:t>为全面贯彻实施预算绩效管理，根据县政府《关于全面实施预算绩效管理的实施意见》和成财字【</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28</w:t>
      </w:r>
      <w:r>
        <w:rPr>
          <w:rFonts w:hint="eastAsia" w:ascii="仿宋" w:hAnsi="仿宋" w:eastAsia="仿宋" w:cs="仿宋"/>
          <w:sz w:val="32"/>
          <w:szCs w:val="32"/>
        </w:rPr>
        <w:t>号《成安县财政局关于开展</w:t>
      </w:r>
      <w:r>
        <w:rPr>
          <w:rFonts w:ascii="仿宋" w:hAnsi="仿宋" w:eastAsia="仿宋" w:cs="仿宋"/>
          <w:sz w:val="32"/>
          <w:szCs w:val="32"/>
        </w:rPr>
        <w:t>2019</w:t>
      </w:r>
      <w:r>
        <w:rPr>
          <w:rFonts w:hint="eastAsia" w:ascii="仿宋" w:hAnsi="仿宋" w:eastAsia="仿宋" w:cs="仿宋"/>
          <w:sz w:val="32"/>
          <w:szCs w:val="32"/>
        </w:rPr>
        <w:t>年度财政项目支出绩效自评工作的通知》文件要求，对财政支出项目实施绩效自评。</w:t>
      </w:r>
      <w:r>
        <w:rPr>
          <w:rFonts w:hint="eastAsia" w:ascii="仿宋" w:hAnsi="仿宋" w:eastAsia="仿宋" w:cs="仿宋_GB2312"/>
          <w:sz w:val="32"/>
          <w:szCs w:val="32"/>
        </w:rPr>
        <w:t>本部</w:t>
      </w:r>
      <w:r>
        <w:rPr>
          <w:rFonts w:hint="eastAsia" w:ascii="仿宋_GB2312" w:hAnsi="仿宋_GB2312" w:eastAsia="仿宋_GB2312" w:cs="仿宋_GB2312"/>
          <w:sz w:val="32"/>
          <w:szCs w:val="32"/>
        </w:rPr>
        <w:t>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w:t>
      </w:r>
      <w:r>
        <w:rPr>
          <w:rFonts w:hint="eastAsia" w:ascii="仿宋_GB2312" w:eastAsia="仿宋_GB2312" w:cs="DengXian-Regular"/>
          <w:color w:val="000000"/>
          <w:sz w:val="32"/>
          <w:szCs w:val="32"/>
        </w:rPr>
        <w:t>大部分项目实施良好，能取得良好的社会和经济效益。有个别项目实施不太理想，存在工程进度慢，群众满意度不高等问题。通过开展项目绩效自评取得了很大的收获，在以后的工作中一定要对项目资金的实施使用情况进行跟踪。确保每一笔预算项目资金都会取得良好的效益。</w:t>
      </w:r>
    </w:p>
    <w:p>
      <w:pPr>
        <w:rPr>
          <w:rFonts w:ascii="宋体" w:eastAsia="宋体" w:cs="Arial"/>
          <w:bCs/>
          <w:sz w:val="32"/>
          <w:szCs w:val="32"/>
        </w:rPr>
      </w:pPr>
      <w:r>
        <w:rPr>
          <w:rFonts w:hint="eastAsia" w:ascii="仿宋_GB2312" w:eastAsia="仿宋_GB2312" w:cs="DengXian-Regular"/>
          <w:color w:val="000000"/>
          <w:sz w:val="32"/>
          <w:szCs w:val="32"/>
        </w:rPr>
        <w:t>我单位对</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年预算支出资金项目：</w:t>
      </w:r>
      <w:r>
        <w:rPr>
          <w:rFonts w:hint="eastAsia" w:ascii="仿宋_GB2312" w:hAnsi="仿宋_GB2312" w:eastAsia="仿宋_GB2312" w:cs="仿宋_GB2312"/>
          <w:sz w:val="32"/>
          <w:szCs w:val="32"/>
        </w:rPr>
        <w:t>其中，一级项目</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149.89</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。组织对“</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1#2#</w:t>
      </w:r>
      <w:r>
        <w:rPr>
          <w:rFonts w:hint="eastAsia" w:ascii="仿宋" w:hAnsi="仿宋" w:eastAsia="仿宋" w:cs="Arial"/>
          <w:bCs/>
          <w:sz w:val="32"/>
          <w:szCs w:val="32"/>
        </w:rPr>
        <w:t>暖气管道维修项目</w:t>
      </w:r>
      <w:r>
        <w:rPr>
          <w:rFonts w:hint="eastAsia" w:ascii="仿宋" w:hAnsi="仿宋" w:eastAsia="仿宋" w:cs="仿宋_GB2312"/>
          <w:sz w:val="32"/>
          <w:szCs w:val="32"/>
        </w:rPr>
        <w:t>”、</w:t>
      </w:r>
      <w:r>
        <w:rPr>
          <w:rFonts w:hint="eastAsia" w:ascii="仿宋_GB2312" w:hAnsi="仿宋_GB2312" w:eastAsia="仿宋_GB2312" w:cs="仿宋_GB2312"/>
          <w:sz w:val="32"/>
          <w:szCs w:val="32"/>
        </w:rPr>
        <w:t>“</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7#</w:t>
      </w:r>
      <w:r>
        <w:rPr>
          <w:rFonts w:hint="eastAsia" w:ascii="仿宋" w:hAnsi="仿宋" w:eastAsia="仿宋" w:cs="Arial"/>
          <w:bCs/>
          <w:sz w:val="32"/>
          <w:szCs w:val="32"/>
        </w:rPr>
        <w:t>暖气管道维修项目</w:t>
      </w:r>
      <w:r>
        <w:rPr>
          <w:rFonts w:hint="eastAsia" w:ascii="仿宋" w:hAnsi="仿宋" w:eastAsia="仿宋" w:cs="仿宋_GB2312"/>
          <w:sz w:val="32"/>
          <w:szCs w:val="32"/>
        </w:rPr>
        <w:t>”、“</w:t>
      </w:r>
      <w:r>
        <w:rPr>
          <w:rFonts w:ascii="仿宋" w:hAnsi="仿宋" w:eastAsia="仿宋" w:cs="Arial"/>
          <w:bCs/>
          <w:sz w:val="32"/>
          <w:szCs w:val="32"/>
        </w:rPr>
        <w:t xml:space="preserve"> </w:t>
      </w:r>
      <w:r>
        <w:rPr>
          <w:rFonts w:hint="eastAsia" w:ascii="仿宋" w:hAnsi="仿宋" w:eastAsia="仿宋" w:cs="Arial"/>
          <w:bCs/>
          <w:sz w:val="32"/>
          <w:szCs w:val="32"/>
        </w:rPr>
        <w:t>创建国家级园林县城及人民广场项目</w:t>
      </w:r>
      <w:r>
        <w:rPr>
          <w:rFonts w:hint="eastAsia" w:ascii="仿宋" w:hAnsi="仿宋" w:eastAsia="仿宋" w:cs="仿宋_GB2312"/>
          <w:sz w:val="32"/>
          <w:szCs w:val="32"/>
        </w:rPr>
        <w:t>”、“</w:t>
      </w:r>
      <w:r>
        <w:rPr>
          <w:rFonts w:ascii="仿宋" w:hAnsi="仿宋" w:eastAsia="仿宋" w:cs="黑体"/>
          <w:bCs/>
          <w:sz w:val="32"/>
          <w:szCs w:val="32"/>
        </w:rPr>
        <w:t>2019</w:t>
      </w:r>
      <w:r>
        <w:rPr>
          <w:rFonts w:hint="eastAsia" w:ascii="仿宋" w:hAnsi="仿宋" w:eastAsia="仿宋" w:cs="黑体"/>
          <w:bCs/>
          <w:sz w:val="32"/>
          <w:szCs w:val="32"/>
        </w:rPr>
        <w:t>年度危房改造资金</w:t>
      </w:r>
      <w:r>
        <w:rPr>
          <w:rFonts w:hint="eastAsia" w:ascii="仿宋" w:hAnsi="仿宋" w:eastAsia="仿宋" w:cs="Arial"/>
          <w:bCs/>
          <w:sz w:val="32"/>
          <w:szCs w:val="32"/>
        </w:rPr>
        <w:t>项目</w:t>
      </w:r>
      <w:r>
        <w:rPr>
          <w:rFonts w:hint="eastAsia" w:ascii="仿宋" w:hAnsi="仿宋" w:eastAsia="仿宋" w:cs="仿宋_GB2312"/>
          <w:sz w:val="32"/>
          <w:szCs w:val="32"/>
        </w:rPr>
        <w:t>”等</w:t>
      </w:r>
      <w:r>
        <w:rPr>
          <w:rFonts w:ascii="仿宋" w:hAnsi="仿宋" w:eastAsia="仿宋" w:cs="仿宋_GB2312"/>
          <w:sz w:val="32"/>
          <w:szCs w:val="32"/>
        </w:rPr>
        <w:t>4</w:t>
      </w:r>
      <w:r>
        <w:rPr>
          <w:rFonts w:hint="eastAsia" w:ascii="仿宋" w:hAnsi="仿宋" w:eastAsia="仿宋" w:cs="仿宋_GB2312"/>
          <w:sz w:val="32"/>
          <w:szCs w:val="32"/>
        </w:rPr>
        <w:t>个项目开展了部门评价，涉及一般公共预算支出</w:t>
      </w:r>
      <w:r>
        <w:rPr>
          <w:rFonts w:ascii="仿宋" w:hAnsi="仿宋" w:eastAsia="仿宋" w:cs="仿宋_GB2312"/>
          <w:sz w:val="32"/>
          <w:szCs w:val="32"/>
        </w:rPr>
        <w:t>149.89</w:t>
      </w:r>
      <w:r>
        <w:rPr>
          <w:rFonts w:hint="eastAsia" w:ascii="仿宋" w:hAnsi="仿宋" w:eastAsia="仿宋" w:cs="仿宋_GB2312"/>
          <w:sz w:val="32"/>
          <w:szCs w:val="32"/>
        </w:rPr>
        <w:t>万元</w:t>
      </w:r>
      <w:r>
        <w:rPr>
          <w:rFonts w:hint="eastAsia" w:ascii="仿宋_GB2312" w:hAnsi="仿宋_GB2312" w:eastAsia="仿宋_GB2312" w:cs="仿宋_GB2312"/>
          <w:sz w:val="32"/>
          <w:szCs w:val="32"/>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1#2#</w:t>
      </w:r>
      <w:r>
        <w:rPr>
          <w:rFonts w:hint="eastAsia" w:ascii="仿宋" w:hAnsi="仿宋" w:eastAsia="仿宋" w:cs="Arial"/>
          <w:bCs/>
          <w:sz w:val="32"/>
          <w:szCs w:val="32"/>
        </w:rPr>
        <w:t>暖气管道维修项目</w:t>
      </w:r>
      <w:r>
        <w:rPr>
          <w:rFonts w:hint="eastAsia" w:ascii="仿宋" w:hAnsi="仿宋" w:eastAsia="仿宋" w:cs="仿宋_GB2312"/>
          <w:sz w:val="32"/>
          <w:szCs w:val="32"/>
        </w:rPr>
        <w:t>”、</w:t>
      </w:r>
      <w:r>
        <w:rPr>
          <w:rFonts w:hint="eastAsia" w:ascii="仿宋_GB2312" w:hAnsi="仿宋_GB2312" w:eastAsia="仿宋_GB2312" w:cs="仿宋_GB2312"/>
          <w:sz w:val="32"/>
          <w:szCs w:val="32"/>
        </w:rPr>
        <w:t>“</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7#</w:t>
      </w:r>
      <w:r>
        <w:rPr>
          <w:rFonts w:hint="eastAsia" w:ascii="仿宋" w:hAnsi="仿宋" w:eastAsia="仿宋" w:cs="Arial"/>
          <w:bCs/>
          <w:sz w:val="32"/>
          <w:szCs w:val="32"/>
        </w:rPr>
        <w:t>暖气管道维修项目</w:t>
      </w:r>
      <w:r>
        <w:rPr>
          <w:rFonts w:hint="eastAsia" w:ascii="仿宋" w:hAnsi="仿宋" w:eastAsia="仿宋" w:cs="仿宋_GB2312"/>
          <w:sz w:val="32"/>
          <w:szCs w:val="32"/>
        </w:rPr>
        <w:t>”、“</w:t>
      </w:r>
      <w:r>
        <w:rPr>
          <w:rFonts w:ascii="仿宋" w:hAnsi="仿宋" w:eastAsia="仿宋" w:cs="Arial"/>
          <w:bCs/>
          <w:sz w:val="32"/>
          <w:szCs w:val="32"/>
        </w:rPr>
        <w:t xml:space="preserve"> </w:t>
      </w:r>
      <w:r>
        <w:rPr>
          <w:rFonts w:hint="eastAsia" w:ascii="仿宋" w:hAnsi="仿宋" w:eastAsia="仿宋" w:cs="Arial"/>
          <w:bCs/>
          <w:sz w:val="32"/>
          <w:szCs w:val="32"/>
        </w:rPr>
        <w:t>创建国家级园林县城及人民广场项目</w:t>
      </w:r>
      <w:r>
        <w:rPr>
          <w:rFonts w:hint="eastAsia" w:ascii="仿宋" w:hAnsi="仿宋" w:eastAsia="仿宋" w:cs="仿宋_GB2312"/>
          <w:sz w:val="32"/>
          <w:szCs w:val="32"/>
        </w:rPr>
        <w:t>”、“</w:t>
      </w:r>
      <w:r>
        <w:rPr>
          <w:rFonts w:ascii="仿宋" w:hAnsi="仿宋" w:eastAsia="仿宋" w:cs="黑体"/>
          <w:bCs/>
          <w:sz w:val="32"/>
          <w:szCs w:val="32"/>
        </w:rPr>
        <w:t>2019</w:t>
      </w:r>
      <w:r>
        <w:rPr>
          <w:rFonts w:hint="eastAsia" w:ascii="仿宋" w:hAnsi="仿宋" w:eastAsia="仿宋" w:cs="黑体"/>
          <w:bCs/>
          <w:sz w:val="32"/>
          <w:szCs w:val="32"/>
        </w:rPr>
        <w:t>年度危房改造资金</w:t>
      </w:r>
      <w:r>
        <w:rPr>
          <w:rFonts w:hint="eastAsia" w:ascii="仿宋" w:hAnsi="仿宋" w:eastAsia="仿宋" w:cs="Arial"/>
          <w:bCs/>
          <w:sz w:val="32"/>
          <w:szCs w:val="32"/>
        </w:rPr>
        <w:t>项目</w:t>
      </w:r>
      <w:r>
        <w:rPr>
          <w:rFonts w:hint="eastAsia" w:ascii="仿宋" w:hAnsi="仿宋" w:eastAsia="仿宋" w:cs="仿宋_GB2312"/>
          <w:sz w:val="32"/>
          <w:szCs w:val="32"/>
        </w:rPr>
        <w:t>”</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w:t>
      </w:r>
      <w:r>
        <w:rPr>
          <w:rFonts w:hint="eastAsia" w:ascii="仿宋" w:hAnsi="仿宋" w:eastAsia="仿宋" w:cs="仿宋"/>
          <w:sz w:val="32"/>
          <w:szCs w:val="32"/>
        </w:rPr>
        <w:t>根据绩效评价情况我局各项部门职责和工作活动符合国家和县委政府有关要求，组织管理到位，较好地完成了各项绩效目标。我局认真落实相关政策，积极地发挥资金效益，根据评价指标进行了量化考核，</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w:t>
      </w:r>
      <w:r>
        <w:rPr>
          <w:rFonts w:hint="eastAsia" w:ascii="仿宋" w:hAnsi="仿宋" w:eastAsia="仿宋" w:cs="仿宋"/>
          <w:sz w:val="32"/>
          <w:szCs w:val="32"/>
        </w:rPr>
        <w:t>自评得分均为</w:t>
      </w:r>
      <w:r>
        <w:rPr>
          <w:rFonts w:ascii="仿宋" w:hAnsi="仿宋" w:eastAsia="仿宋" w:cs="仿宋"/>
          <w:sz w:val="32"/>
          <w:szCs w:val="32"/>
        </w:rPr>
        <w:t>100</w:t>
      </w:r>
      <w:r>
        <w:rPr>
          <w:rFonts w:hint="eastAsia" w:ascii="仿宋" w:hAnsi="仿宋" w:eastAsia="仿宋" w:cs="仿宋"/>
          <w:sz w:val="32"/>
          <w:szCs w:val="32"/>
        </w:rPr>
        <w:t>分，评价体系得分均为</w:t>
      </w:r>
      <w:r>
        <w:rPr>
          <w:rFonts w:ascii="仿宋" w:hAnsi="仿宋" w:eastAsia="仿宋" w:cs="仿宋"/>
          <w:sz w:val="32"/>
          <w:szCs w:val="32"/>
        </w:rPr>
        <w:t>100</w:t>
      </w:r>
      <w:r>
        <w:rPr>
          <w:rFonts w:hint="eastAsia" w:ascii="仿宋" w:hAnsi="仿宋" w:eastAsia="仿宋" w:cs="仿宋"/>
          <w:sz w:val="32"/>
          <w:szCs w:val="32"/>
        </w:rPr>
        <w:t>分。综合评价结果均为优。</w:t>
      </w:r>
      <w:r>
        <w:rPr>
          <w:rFonts w:hint="eastAsia" w:ascii="仿宋_GB2312" w:hAnsi="仿宋_GB2312" w:eastAsia="仿宋_GB2312" w:cs="仿宋_GB2312"/>
          <w:sz w:val="32"/>
          <w:szCs w:val="32"/>
        </w:rPr>
        <w:t>绩效自评结果如下：</w:t>
      </w:r>
    </w:p>
    <w:p>
      <w:pPr>
        <w:spacing w:line="560" w:lineRule="exact"/>
        <w:ind w:firstLine="640" w:firstLineChars="200"/>
        <w:rPr>
          <w:rFonts w:ascii="黑体" w:eastAsia="黑体"/>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1#2#</w:t>
      </w:r>
      <w:r>
        <w:rPr>
          <w:rFonts w:hint="eastAsia" w:ascii="仿宋" w:hAnsi="仿宋" w:eastAsia="仿宋" w:cs="Arial"/>
          <w:bCs/>
          <w:sz w:val="32"/>
          <w:szCs w:val="32"/>
        </w:rPr>
        <w:t>暖气管道维修项目</w:t>
      </w:r>
      <w:r>
        <w:rPr>
          <w:rFonts w:hint="eastAsia" w:ascii="仿宋" w:hAnsi="仿宋" w:eastAsia="仿宋" w:cs="仿宋_GB2312"/>
          <w:sz w:val="32"/>
          <w:szCs w:val="32"/>
        </w:rPr>
        <w:t>”自评综述：</w:t>
      </w:r>
      <w:r>
        <w:rPr>
          <w:rFonts w:ascii="黑体" w:hAnsi="黑体"/>
        </w:rPr>
        <w:t xml:space="preserve"> </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（一）项目决策情况。解决昌宏丽都</w:t>
      </w:r>
      <w:r>
        <w:rPr>
          <w:rFonts w:ascii="仿宋" w:hAnsi="仿宋" w:eastAsia="仿宋"/>
          <w:sz w:val="32"/>
          <w:szCs w:val="32"/>
        </w:rPr>
        <w:t>1#2#</w:t>
      </w:r>
      <w:r>
        <w:rPr>
          <w:rFonts w:hint="eastAsia" w:ascii="仿宋" w:hAnsi="仿宋" w:eastAsia="仿宋"/>
          <w:sz w:val="32"/>
          <w:szCs w:val="32"/>
        </w:rPr>
        <w:t>楼居民</w:t>
      </w:r>
      <w:r>
        <w:rPr>
          <w:rFonts w:ascii="仿宋" w:hAnsi="仿宋" w:eastAsia="仿宋"/>
          <w:sz w:val="32"/>
          <w:szCs w:val="32"/>
        </w:rPr>
        <w:t>2019</w:t>
      </w:r>
      <w:r>
        <w:rPr>
          <w:rFonts w:hint="eastAsia" w:ascii="仿宋" w:hAnsi="仿宋" w:eastAsia="仿宋"/>
          <w:sz w:val="32"/>
          <w:szCs w:val="32"/>
        </w:rPr>
        <w:t>年冬季供暖维修经费</w:t>
      </w:r>
      <w:r>
        <w:rPr>
          <w:rFonts w:ascii="仿宋" w:hAnsi="仿宋" w:eastAsia="仿宋" w:cs="宋体"/>
          <w:color w:val="000000"/>
          <w:sz w:val="32"/>
          <w:szCs w:val="32"/>
        </w:rPr>
        <w:t>3.9538</w:t>
      </w:r>
      <w:r>
        <w:rPr>
          <w:rFonts w:hint="eastAsia" w:ascii="仿宋" w:hAnsi="仿宋" w:eastAsia="仿宋"/>
          <w:sz w:val="32"/>
          <w:szCs w:val="32"/>
        </w:rPr>
        <w:t>万元。局领导班子根据文件规定，按照文件要求制定项目资金支出计划。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（二）项目过程情况。项目预算安排总额</w:t>
      </w:r>
      <w:r>
        <w:rPr>
          <w:rFonts w:ascii="仿宋" w:hAnsi="仿宋" w:eastAsia="仿宋" w:cs="宋体"/>
          <w:color w:val="000000"/>
          <w:sz w:val="32"/>
          <w:szCs w:val="32"/>
        </w:rPr>
        <w:t>3.9538</w:t>
      </w:r>
      <w:r>
        <w:rPr>
          <w:rFonts w:hint="eastAsia" w:ascii="仿宋" w:hAnsi="仿宋" w:eastAsia="仿宋"/>
          <w:sz w:val="32"/>
          <w:szCs w:val="32"/>
        </w:rPr>
        <w:t>万元，财政拨款总额</w:t>
      </w:r>
      <w:r>
        <w:rPr>
          <w:rFonts w:ascii="仿宋" w:hAnsi="仿宋" w:eastAsia="仿宋" w:cs="宋体"/>
          <w:color w:val="000000"/>
          <w:sz w:val="32"/>
          <w:szCs w:val="32"/>
        </w:rPr>
        <w:t>3.9538</w:t>
      </w:r>
      <w:r>
        <w:rPr>
          <w:rFonts w:hint="eastAsia" w:ascii="仿宋" w:hAnsi="仿宋" w:eastAsia="仿宋"/>
          <w:sz w:val="32"/>
          <w:szCs w:val="32"/>
        </w:rPr>
        <w:t>万元，资金到位率</w:t>
      </w:r>
      <w:r>
        <w:rPr>
          <w:rFonts w:ascii="仿宋" w:hAnsi="仿宋" w:eastAsia="仿宋"/>
          <w:sz w:val="32"/>
          <w:szCs w:val="32"/>
        </w:rPr>
        <w:t>100%</w:t>
      </w:r>
      <w:r>
        <w:rPr>
          <w:rFonts w:hint="eastAsia" w:ascii="仿宋" w:hAnsi="仿宋" w:eastAsia="仿宋"/>
          <w:sz w:val="32"/>
          <w:szCs w:val="32"/>
        </w:rPr>
        <w:t>。项目实际支出总额</w:t>
      </w:r>
      <w:r>
        <w:rPr>
          <w:rFonts w:ascii="仿宋" w:hAnsi="仿宋" w:eastAsia="仿宋" w:cs="宋体"/>
          <w:color w:val="000000"/>
          <w:sz w:val="32"/>
          <w:szCs w:val="32"/>
        </w:rPr>
        <w:t>3.9538</w:t>
      </w:r>
      <w:r>
        <w:rPr>
          <w:rFonts w:hint="eastAsia" w:ascii="仿宋" w:hAnsi="仿宋" w:eastAsia="仿宋"/>
          <w:sz w:val="32"/>
          <w:szCs w:val="32"/>
        </w:rPr>
        <w:t>万元，资金使用率</w:t>
      </w:r>
      <w:r>
        <w:rPr>
          <w:rFonts w:ascii="仿宋" w:hAnsi="仿宋" w:eastAsia="仿宋"/>
          <w:sz w:val="32"/>
          <w:szCs w:val="32"/>
        </w:rPr>
        <w:t>100%</w:t>
      </w:r>
      <w:r>
        <w:rPr>
          <w:rFonts w:hint="eastAsia" w:ascii="仿宋" w:hAnsi="仿宋" w:eastAsia="仿宋"/>
          <w:sz w:val="32"/>
          <w:szCs w:val="32"/>
        </w:rPr>
        <w:t>。</w:t>
      </w:r>
    </w:p>
    <w:p>
      <w:pPr>
        <w:ind w:firstLine="640" w:firstLineChars="200"/>
        <w:jc w:val="left"/>
        <w:rPr>
          <w:rFonts w:ascii="仿宋" w:hAnsi="仿宋" w:eastAsia="仿宋" w:cs="仿宋_GB2312"/>
          <w:bCs/>
          <w:sz w:val="32"/>
          <w:szCs w:val="32"/>
        </w:rPr>
      </w:pPr>
      <w:r>
        <w:rPr>
          <w:rFonts w:hint="eastAsia" w:ascii="仿宋" w:hAnsi="仿宋" w:eastAsia="仿宋"/>
          <w:sz w:val="32"/>
          <w:szCs w:val="32"/>
        </w:rPr>
        <w:t>（三）项目产出情况。数量指标：通过修理</w:t>
      </w:r>
      <w:r>
        <w:rPr>
          <w:rFonts w:ascii="仿宋" w:hAnsi="仿宋" w:eastAsia="仿宋"/>
          <w:sz w:val="32"/>
          <w:szCs w:val="32"/>
        </w:rPr>
        <w:t>1#2#</w:t>
      </w:r>
      <w:r>
        <w:rPr>
          <w:rFonts w:hint="eastAsia" w:ascii="仿宋" w:hAnsi="仿宋" w:eastAsia="仿宋"/>
          <w:sz w:val="32"/>
          <w:szCs w:val="32"/>
        </w:rPr>
        <w:t>，解决了</w:t>
      </w:r>
      <w:r>
        <w:rPr>
          <w:rFonts w:ascii="仿宋" w:hAnsi="仿宋" w:eastAsia="仿宋"/>
          <w:sz w:val="32"/>
          <w:szCs w:val="32"/>
        </w:rPr>
        <w:t>184</w:t>
      </w:r>
      <w:r>
        <w:rPr>
          <w:rFonts w:hint="eastAsia" w:ascii="仿宋" w:hAnsi="仿宋" w:eastAsia="仿宋"/>
          <w:sz w:val="32"/>
          <w:szCs w:val="32"/>
        </w:rPr>
        <w:t>户的供暖问题。</w:t>
      </w:r>
    </w:p>
    <w:p>
      <w:pPr>
        <w:ind w:firstLine="640" w:firstLineChars="200"/>
        <w:rPr>
          <w:rFonts w:ascii="仿宋" w:hAnsi="仿宋" w:eastAsia="仿宋" w:cs="仿宋_GB2312"/>
          <w:bCs/>
          <w:sz w:val="32"/>
          <w:szCs w:val="32"/>
        </w:rPr>
      </w:pPr>
      <w:r>
        <w:rPr>
          <w:rFonts w:hint="eastAsia" w:ascii="仿宋" w:hAnsi="仿宋" w:eastAsia="仿宋"/>
          <w:sz w:val="32"/>
          <w:szCs w:val="32"/>
        </w:rPr>
        <w:t>（四）项目效益情况。效益指标：</w:t>
      </w:r>
      <w:r>
        <w:rPr>
          <w:rFonts w:hint="eastAsia" w:ascii="仿宋" w:hAnsi="仿宋" w:eastAsia="仿宋" w:cs="仿宋_GB2312"/>
          <w:bCs/>
          <w:sz w:val="32"/>
          <w:szCs w:val="32"/>
        </w:rPr>
        <w:t>通过调查，发放对象满意度</w:t>
      </w:r>
      <w:r>
        <w:rPr>
          <w:rFonts w:ascii="仿宋" w:hAnsi="仿宋" w:eastAsia="仿宋" w:cs="仿宋_GB2312"/>
          <w:bCs/>
          <w:sz w:val="32"/>
          <w:szCs w:val="32"/>
        </w:rPr>
        <w:t>100%</w:t>
      </w:r>
      <w:r>
        <w:rPr>
          <w:rFonts w:hint="eastAsia" w:ascii="仿宋" w:hAnsi="仿宋" w:eastAsia="仿宋" w:cs="仿宋_GB2312"/>
          <w:bCs/>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_GB2312"/>
          <w:sz w:val="32"/>
          <w:szCs w:val="32"/>
        </w:rPr>
        <w:t>“</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7#</w:t>
      </w:r>
      <w:r>
        <w:rPr>
          <w:rFonts w:hint="eastAsia" w:ascii="仿宋" w:hAnsi="仿宋" w:eastAsia="仿宋" w:cs="Arial"/>
          <w:bCs/>
          <w:sz w:val="32"/>
          <w:szCs w:val="32"/>
        </w:rPr>
        <w:t>暖气管道维修项目</w:t>
      </w:r>
      <w:r>
        <w:rPr>
          <w:rFonts w:hint="eastAsia" w:ascii="仿宋" w:hAnsi="仿宋" w:eastAsia="仿宋" w:cs="仿宋_GB2312"/>
          <w:sz w:val="32"/>
          <w:szCs w:val="32"/>
        </w:rPr>
        <w:t>”绩效自评综述：</w:t>
      </w:r>
      <w:r>
        <w:rPr>
          <w:rFonts w:ascii="仿宋" w:hAnsi="仿宋" w:eastAsia="仿宋" w:cs="仿宋"/>
          <w:sz w:val="32"/>
          <w:szCs w:val="32"/>
        </w:rPr>
        <w:t xml:space="preserve"> </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（一）项目决策情况。解决昌宏丽都</w:t>
      </w:r>
      <w:r>
        <w:rPr>
          <w:rFonts w:ascii="仿宋" w:hAnsi="仿宋" w:eastAsia="仿宋" w:cs="仿宋"/>
          <w:sz w:val="32"/>
          <w:szCs w:val="32"/>
        </w:rPr>
        <w:t>7#</w:t>
      </w:r>
      <w:r>
        <w:rPr>
          <w:rFonts w:hint="eastAsia" w:ascii="仿宋" w:hAnsi="仿宋" w:eastAsia="仿宋" w:cs="仿宋"/>
          <w:sz w:val="32"/>
          <w:szCs w:val="32"/>
        </w:rPr>
        <w:t>楼居民</w:t>
      </w:r>
      <w:r>
        <w:rPr>
          <w:rFonts w:ascii="仿宋" w:hAnsi="仿宋" w:eastAsia="仿宋" w:cs="仿宋"/>
          <w:sz w:val="32"/>
          <w:szCs w:val="32"/>
        </w:rPr>
        <w:t>2019</w:t>
      </w:r>
      <w:r>
        <w:rPr>
          <w:rFonts w:hint="eastAsia" w:ascii="仿宋" w:hAnsi="仿宋" w:eastAsia="仿宋" w:cs="仿宋"/>
          <w:sz w:val="32"/>
          <w:szCs w:val="32"/>
        </w:rPr>
        <w:t>年冬季供暖维修经费</w:t>
      </w:r>
      <w:r>
        <w:rPr>
          <w:rFonts w:ascii="仿宋" w:hAnsi="仿宋" w:eastAsia="仿宋" w:cs="仿宋"/>
          <w:sz w:val="32"/>
          <w:szCs w:val="32"/>
        </w:rPr>
        <w:t>3.8584</w:t>
      </w:r>
      <w:r>
        <w:rPr>
          <w:rFonts w:hint="eastAsia" w:ascii="仿宋" w:hAnsi="仿宋" w:eastAsia="仿宋" w:cs="仿宋"/>
          <w:sz w:val="32"/>
          <w:szCs w:val="32"/>
        </w:rPr>
        <w:t>万元。局领导班子根据文件规定，按照文件要求制定项目资金支出计划。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（二）项目过程情况。项目预算安排总额</w:t>
      </w:r>
      <w:r>
        <w:rPr>
          <w:rFonts w:ascii="仿宋" w:hAnsi="仿宋" w:eastAsia="仿宋" w:cs="仿宋"/>
          <w:sz w:val="32"/>
          <w:szCs w:val="32"/>
        </w:rPr>
        <w:t>3.8584</w:t>
      </w:r>
      <w:r>
        <w:rPr>
          <w:rFonts w:hint="eastAsia" w:ascii="仿宋" w:hAnsi="仿宋" w:eastAsia="仿宋" w:cs="仿宋"/>
          <w:sz w:val="32"/>
          <w:szCs w:val="32"/>
        </w:rPr>
        <w:t>万元，财政拨款总额</w:t>
      </w:r>
      <w:r>
        <w:rPr>
          <w:rFonts w:ascii="仿宋" w:hAnsi="仿宋" w:eastAsia="仿宋" w:cs="仿宋"/>
          <w:sz w:val="32"/>
          <w:szCs w:val="32"/>
        </w:rPr>
        <w:t>3.8584</w:t>
      </w:r>
      <w:r>
        <w:rPr>
          <w:rFonts w:hint="eastAsia" w:ascii="仿宋" w:hAnsi="仿宋" w:eastAsia="仿宋" w:cs="仿宋"/>
          <w:sz w:val="32"/>
          <w:szCs w:val="32"/>
        </w:rPr>
        <w:t>万元，资金到位率</w:t>
      </w:r>
      <w:r>
        <w:rPr>
          <w:rFonts w:ascii="仿宋" w:hAnsi="仿宋" w:eastAsia="仿宋" w:cs="仿宋"/>
          <w:sz w:val="32"/>
          <w:szCs w:val="32"/>
        </w:rPr>
        <w:t>100%</w:t>
      </w:r>
      <w:r>
        <w:rPr>
          <w:rFonts w:hint="eastAsia" w:ascii="仿宋" w:hAnsi="仿宋" w:eastAsia="仿宋" w:cs="仿宋"/>
          <w:sz w:val="32"/>
          <w:szCs w:val="32"/>
        </w:rPr>
        <w:t>。项目实际支出总额</w:t>
      </w:r>
      <w:r>
        <w:rPr>
          <w:rFonts w:ascii="仿宋" w:hAnsi="仿宋" w:eastAsia="仿宋" w:cs="仿宋"/>
          <w:sz w:val="32"/>
          <w:szCs w:val="32"/>
        </w:rPr>
        <w:t>3.8584</w:t>
      </w:r>
      <w:r>
        <w:rPr>
          <w:rFonts w:hint="eastAsia" w:ascii="仿宋" w:hAnsi="仿宋" w:eastAsia="仿宋" w:cs="仿宋"/>
          <w:sz w:val="32"/>
          <w:szCs w:val="32"/>
        </w:rPr>
        <w:t>万元，资金使用率</w:t>
      </w:r>
      <w:r>
        <w:rPr>
          <w:rFonts w:ascii="仿宋" w:hAnsi="仿宋" w:eastAsia="仿宋" w:cs="仿宋"/>
          <w:sz w:val="32"/>
          <w:szCs w:val="32"/>
        </w:rPr>
        <w:t>100%</w:t>
      </w:r>
      <w:r>
        <w:rPr>
          <w:rFonts w:hint="eastAsia" w:ascii="仿宋" w:hAnsi="仿宋" w:eastAsia="仿宋" w:cs="仿宋"/>
          <w:sz w:val="32"/>
          <w:szCs w:val="32"/>
        </w:rPr>
        <w:t>。</w:t>
      </w:r>
    </w:p>
    <w:p>
      <w:pPr>
        <w:ind w:firstLine="640" w:firstLineChars="200"/>
        <w:jc w:val="left"/>
        <w:rPr>
          <w:rFonts w:ascii="仿宋" w:hAnsi="仿宋" w:eastAsia="仿宋" w:cs="仿宋"/>
          <w:bCs/>
          <w:sz w:val="32"/>
          <w:szCs w:val="32"/>
        </w:rPr>
      </w:pPr>
      <w:r>
        <w:rPr>
          <w:rFonts w:hint="eastAsia" w:ascii="仿宋" w:hAnsi="仿宋" w:eastAsia="仿宋" w:cs="仿宋"/>
          <w:sz w:val="32"/>
          <w:szCs w:val="32"/>
        </w:rPr>
        <w:t>（三）项目产出情况。数量指标：</w:t>
      </w:r>
      <w:r>
        <w:rPr>
          <w:rFonts w:hint="eastAsia" w:ascii="仿宋" w:hAnsi="仿宋" w:eastAsia="仿宋" w:cs="仿宋"/>
          <w:kern w:val="0"/>
          <w:sz w:val="32"/>
          <w:szCs w:val="32"/>
        </w:rPr>
        <w:t>管道维修合格率</w:t>
      </w:r>
      <w:r>
        <w:rPr>
          <w:rFonts w:ascii="仿宋" w:hAnsi="仿宋" w:eastAsia="仿宋" w:cs="仿宋"/>
          <w:kern w:val="0"/>
          <w:sz w:val="32"/>
          <w:szCs w:val="32"/>
        </w:rPr>
        <w:t xml:space="preserve">100% </w:t>
      </w:r>
      <w:r>
        <w:rPr>
          <w:rFonts w:hint="eastAsia" w:ascii="仿宋" w:hAnsi="仿宋" w:eastAsia="仿宋" w:cs="仿宋"/>
          <w:kern w:val="0"/>
          <w:sz w:val="32"/>
          <w:szCs w:val="32"/>
        </w:rPr>
        <w:t>改善了</w:t>
      </w:r>
      <w:r>
        <w:rPr>
          <w:rFonts w:ascii="仿宋" w:hAnsi="仿宋" w:eastAsia="仿宋" w:cs="仿宋"/>
          <w:kern w:val="0"/>
          <w:sz w:val="32"/>
          <w:szCs w:val="32"/>
        </w:rPr>
        <w:t>92</w:t>
      </w:r>
      <w:r>
        <w:rPr>
          <w:rFonts w:hint="eastAsia" w:ascii="仿宋" w:hAnsi="仿宋" w:eastAsia="仿宋" w:cs="仿宋"/>
          <w:kern w:val="0"/>
          <w:sz w:val="32"/>
          <w:szCs w:val="32"/>
        </w:rPr>
        <w:t>住户的供暖问题。</w:t>
      </w:r>
    </w:p>
    <w:p>
      <w:pPr>
        <w:ind w:firstLine="640" w:firstLineChars="200"/>
        <w:rPr>
          <w:rFonts w:ascii="仿宋" w:hAnsi="仿宋" w:eastAsia="仿宋" w:cs="仿宋"/>
          <w:bCs/>
          <w:sz w:val="32"/>
          <w:szCs w:val="32"/>
        </w:rPr>
      </w:pPr>
      <w:r>
        <w:rPr>
          <w:rFonts w:hint="eastAsia" w:ascii="仿宋" w:hAnsi="仿宋" w:eastAsia="仿宋" w:cs="仿宋"/>
          <w:sz w:val="32"/>
          <w:szCs w:val="32"/>
        </w:rPr>
        <w:t>（四）项目效益情况。效益指标：</w:t>
      </w:r>
      <w:r>
        <w:rPr>
          <w:rFonts w:hint="eastAsia" w:ascii="仿宋" w:hAnsi="仿宋" w:eastAsia="仿宋" w:cs="仿宋"/>
          <w:bCs/>
          <w:sz w:val="32"/>
          <w:szCs w:val="32"/>
        </w:rPr>
        <w:t>通过调查，发放对象满意度</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Arial"/>
          <w:bCs/>
          <w:sz w:val="32"/>
          <w:szCs w:val="32"/>
        </w:rPr>
        <w:t xml:space="preserve"> </w:t>
      </w:r>
      <w:r>
        <w:rPr>
          <w:rFonts w:hint="eastAsia" w:ascii="仿宋" w:hAnsi="仿宋" w:eastAsia="仿宋" w:cs="Arial"/>
          <w:bCs/>
          <w:sz w:val="32"/>
          <w:szCs w:val="32"/>
        </w:rPr>
        <w:t>创建国家级园林县城及人民广场项目</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绩效自评综述：</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（一）项目决策情况。局领导班子根据文件规定，按照文件要求制定项目资金支出计划。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（二）项目过程情况。项目预算安排总额</w:t>
      </w:r>
      <w:r>
        <w:rPr>
          <w:rFonts w:ascii="仿宋" w:hAnsi="仿宋" w:eastAsia="仿宋" w:cs="宋体"/>
          <w:sz w:val="32"/>
          <w:szCs w:val="32"/>
        </w:rPr>
        <w:t>22.0294</w:t>
      </w:r>
      <w:r>
        <w:rPr>
          <w:rFonts w:hint="eastAsia" w:ascii="仿宋" w:hAnsi="仿宋" w:eastAsia="仿宋" w:cs="宋体"/>
          <w:sz w:val="32"/>
          <w:szCs w:val="32"/>
        </w:rPr>
        <w:t>万</w:t>
      </w:r>
      <w:r>
        <w:rPr>
          <w:rFonts w:hint="eastAsia" w:ascii="仿宋" w:hAnsi="仿宋" w:eastAsia="仿宋"/>
          <w:sz w:val="32"/>
          <w:szCs w:val="32"/>
        </w:rPr>
        <w:t>元，财政拨款总额</w:t>
      </w:r>
      <w:r>
        <w:rPr>
          <w:rFonts w:ascii="仿宋" w:hAnsi="仿宋" w:eastAsia="仿宋" w:cs="宋体"/>
          <w:sz w:val="32"/>
          <w:szCs w:val="32"/>
        </w:rPr>
        <w:t>22.0294</w:t>
      </w:r>
      <w:r>
        <w:rPr>
          <w:rFonts w:hint="eastAsia" w:ascii="仿宋" w:hAnsi="仿宋" w:eastAsia="仿宋" w:cs="宋体"/>
          <w:sz w:val="32"/>
          <w:szCs w:val="32"/>
        </w:rPr>
        <w:t>万</w:t>
      </w:r>
      <w:r>
        <w:rPr>
          <w:rFonts w:hint="eastAsia" w:ascii="仿宋" w:hAnsi="仿宋" w:eastAsia="仿宋"/>
          <w:sz w:val="32"/>
          <w:szCs w:val="32"/>
        </w:rPr>
        <w:t>元，资金到位率</w:t>
      </w:r>
      <w:r>
        <w:rPr>
          <w:rFonts w:ascii="仿宋" w:hAnsi="仿宋" w:eastAsia="仿宋"/>
          <w:sz w:val="32"/>
          <w:szCs w:val="32"/>
        </w:rPr>
        <w:t>100%</w:t>
      </w:r>
      <w:r>
        <w:rPr>
          <w:rFonts w:hint="eastAsia" w:ascii="仿宋" w:hAnsi="仿宋" w:eastAsia="仿宋"/>
          <w:sz w:val="32"/>
          <w:szCs w:val="32"/>
        </w:rPr>
        <w:t>。项目实际支出总额</w:t>
      </w:r>
      <w:r>
        <w:rPr>
          <w:rFonts w:ascii="仿宋" w:hAnsi="仿宋" w:eastAsia="仿宋" w:cs="宋体"/>
          <w:sz w:val="32"/>
          <w:szCs w:val="32"/>
        </w:rPr>
        <w:t>22.0294</w:t>
      </w:r>
      <w:r>
        <w:rPr>
          <w:rFonts w:hint="eastAsia" w:ascii="仿宋" w:hAnsi="仿宋" w:eastAsia="仿宋" w:cs="宋体"/>
          <w:sz w:val="32"/>
          <w:szCs w:val="32"/>
        </w:rPr>
        <w:t>万</w:t>
      </w:r>
      <w:r>
        <w:rPr>
          <w:rFonts w:hint="eastAsia" w:ascii="仿宋" w:hAnsi="仿宋" w:eastAsia="仿宋"/>
          <w:sz w:val="32"/>
          <w:szCs w:val="32"/>
        </w:rPr>
        <w:t>元，资金使用率</w:t>
      </w:r>
      <w:r>
        <w:rPr>
          <w:rFonts w:ascii="仿宋" w:hAnsi="仿宋" w:eastAsia="仿宋"/>
          <w:sz w:val="32"/>
          <w:szCs w:val="32"/>
        </w:rPr>
        <w:t>100%</w:t>
      </w:r>
      <w:r>
        <w:rPr>
          <w:rFonts w:hint="eastAsia" w:ascii="仿宋" w:hAnsi="仿宋" w:eastAsia="仿宋"/>
          <w:sz w:val="32"/>
          <w:szCs w:val="32"/>
        </w:rPr>
        <w:t>。</w:t>
      </w:r>
    </w:p>
    <w:p>
      <w:pPr>
        <w:ind w:firstLine="640" w:firstLineChars="200"/>
        <w:jc w:val="left"/>
        <w:rPr>
          <w:rFonts w:ascii="仿宋" w:hAnsi="仿宋" w:eastAsia="仿宋" w:cs="仿宋_GB2312"/>
          <w:bCs/>
          <w:sz w:val="32"/>
          <w:szCs w:val="32"/>
        </w:rPr>
      </w:pPr>
      <w:r>
        <w:rPr>
          <w:rFonts w:hint="eastAsia" w:ascii="仿宋" w:hAnsi="仿宋" w:eastAsia="仿宋"/>
          <w:sz w:val="32"/>
          <w:szCs w:val="32"/>
        </w:rPr>
        <w:t>（三）项目产出情况。数量指标：</w:t>
      </w:r>
      <w:r>
        <w:rPr>
          <w:rFonts w:hint="eastAsia" w:ascii="仿宋" w:hAnsi="仿宋" w:eastAsia="仿宋" w:cs="仿宋_GB2312"/>
          <w:color w:val="000000"/>
          <w:kern w:val="0"/>
          <w:sz w:val="32"/>
          <w:szCs w:val="32"/>
        </w:rPr>
        <w:t>创城绿化等工作资金使用率达到</w:t>
      </w:r>
      <w:r>
        <w:rPr>
          <w:rFonts w:ascii="仿宋" w:hAnsi="仿宋" w:eastAsia="仿宋" w:cs="仿宋_GB2312"/>
          <w:color w:val="000000"/>
          <w:kern w:val="0"/>
          <w:sz w:val="32"/>
          <w:szCs w:val="32"/>
        </w:rPr>
        <w:t>100%</w:t>
      </w:r>
      <w:r>
        <w:rPr>
          <w:rFonts w:hint="eastAsia" w:ascii="仿宋" w:hAnsi="仿宋" w:eastAsia="仿宋" w:cs="仿宋_GB2312"/>
          <w:bCs/>
          <w:sz w:val="32"/>
          <w:szCs w:val="32"/>
        </w:rPr>
        <w:t>。</w:t>
      </w:r>
    </w:p>
    <w:p>
      <w:pPr>
        <w:ind w:firstLine="640" w:firstLineChars="200"/>
        <w:rPr>
          <w:rFonts w:ascii="仿宋" w:hAnsi="仿宋" w:eastAsia="仿宋" w:cs="仿宋_GB2312"/>
          <w:bCs/>
          <w:sz w:val="32"/>
          <w:szCs w:val="32"/>
        </w:rPr>
      </w:pPr>
      <w:r>
        <w:rPr>
          <w:rFonts w:hint="eastAsia" w:ascii="仿宋" w:hAnsi="仿宋" w:eastAsia="仿宋"/>
          <w:sz w:val="32"/>
          <w:szCs w:val="32"/>
        </w:rPr>
        <w:t>（四）项目效益情况。效益指标：</w:t>
      </w:r>
      <w:r>
        <w:rPr>
          <w:rFonts w:hint="eastAsia" w:ascii="仿宋" w:hAnsi="仿宋" w:eastAsia="仿宋" w:cs="仿宋_GB2312"/>
          <w:bCs/>
          <w:sz w:val="32"/>
          <w:szCs w:val="32"/>
        </w:rPr>
        <w:t>通过调查，社会满意度</w:t>
      </w:r>
      <w:r>
        <w:rPr>
          <w:rFonts w:ascii="仿宋" w:hAnsi="仿宋" w:eastAsia="仿宋" w:cs="仿宋_GB2312"/>
          <w:bCs/>
          <w:sz w:val="32"/>
          <w:szCs w:val="32"/>
        </w:rPr>
        <w:t>100%</w:t>
      </w:r>
      <w:r>
        <w:rPr>
          <w:rFonts w:hint="eastAsia" w:ascii="仿宋" w:hAnsi="仿宋" w:eastAsia="仿宋" w:cs="仿宋_GB2312"/>
          <w:bCs/>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仿宋_GB2312"/>
          <w:sz w:val="32"/>
          <w:szCs w:val="32"/>
        </w:rPr>
        <w:t>“</w:t>
      </w:r>
      <w:r>
        <w:rPr>
          <w:rFonts w:ascii="仿宋" w:hAnsi="仿宋" w:eastAsia="仿宋" w:cs="黑体"/>
          <w:bCs/>
          <w:sz w:val="32"/>
          <w:szCs w:val="32"/>
        </w:rPr>
        <w:t>2019</w:t>
      </w:r>
      <w:r>
        <w:rPr>
          <w:rFonts w:hint="eastAsia" w:ascii="仿宋" w:hAnsi="仿宋" w:eastAsia="仿宋" w:cs="黑体"/>
          <w:bCs/>
          <w:sz w:val="32"/>
          <w:szCs w:val="32"/>
        </w:rPr>
        <w:t>年度危房改造资金</w:t>
      </w:r>
      <w:r>
        <w:rPr>
          <w:rFonts w:hint="eastAsia" w:ascii="仿宋" w:hAnsi="仿宋" w:eastAsia="仿宋" w:cs="Arial"/>
          <w:bCs/>
          <w:sz w:val="32"/>
          <w:szCs w:val="32"/>
        </w:rPr>
        <w:t>项目</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绩效自评综述：</w:t>
      </w:r>
      <w:r>
        <w:rPr>
          <w:rFonts w:ascii="仿宋" w:hAnsi="仿宋" w:eastAsia="仿宋"/>
          <w:sz w:val="32"/>
          <w:szCs w:val="32"/>
        </w:rPr>
        <w:t xml:space="preserve"> </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（一）项目决策情况。解决体危房改造人员</w:t>
      </w:r>
      <w:r>
        <w:rPr>
          <w:rFonts w:ascii="仿宋" w:hAnsi="仿宋" w:eastAsia="仿宋"/>
          <w:sz w:val="32"/>
          <w:szCs w:val="32"/>
        </w:rPr>
        <w:t>2019</w:t>
      </w:r>
      <w:r>
        <w:rPr>
          <w:rFonts w:hint="eastAsia" w:ascii="仿宋" w:hAnsi="仿宋" w:eastAsia="仿宋"/>
          <w:sz w:val="32"/>
          <w:szCs w:val="32"/>
        </w:rPr>
        <w:t>年危房改造补助金经费</w:t>
      </w:r>
      <w:r>
        <w:rPr>
          <w:rFonts w:ascii="仿宋" w:hAnsi="仿宋" w:eastAsia="仿宋" w:cs="仿宋_GB2312"/>
          <w:sz w:val="32"/>
          <w:szCs w:val="32"/>
        </w:rPr>
        <w:t>120.05</w:t>
      </w:r>
      <w:r>
        <w:rPr>
          <w:rFonts w:hint="eastAsia" w:ascii="仿宋" w:hAnsi="仿宋" w:eastAsia="仿宋"/>
          <w:sz w:val="32"/>
          <w:szCs w:val="32"/>
        </w:rPr>
        <w:t>万元。局领导班子根据文件规定，按照文件要求制定项目资金支出计划。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（二）项目过程情况。项目预算安排总额</w:t>
      </w:r>
      <w:r>
        <w:rPr>
          <w:rFonts w:ascii="仿宋" w:hAnsi="仿宋" w:eastAsia="仿宋" w:cs="仿宋_GB2312"/>
          <w:sz w:val="32"/>
          <w:szCs w:val="32"/>
        </w:rPr>
        <w:t>120.05</w:t>
      </w:r>
      <w:r>
        <w:rPr>
          <w:rFonts w:hint="eastAsia" w:ascii="仿宋" w:hAnsi="仿宋" w:eastAsia="仿宋"/>
          <w:sz w:val="32"/>
          <w:szCs w:val="32"/>
        </w:rPr>
        <w:t>万元，财政拨款总额</w:t>
      </w:r>
      <w:r>
        <w:rPr>
          <w:rFonts w:ascii="仿宋" w:hAnsi="仿宋" w:eastAsia="仿宋" w:cs="仿宋_GB2312"/>
          <w:sz w:val="32"/>
          <w:szCs w:val="32"/>
        </w:rPr>
        <w:t>120.05</w:t>
      </w:r>
      <w:r>
        <w:rPr>
          <w:rFonts w:hint="eastAsia" w:ascii="仿宋" w:hAnsi="仿宋" w:eastAsia="仿宋"/>
          <w:sz w:val="32"/>
          <w:szCs w:val="32"/>
        </w:rPr>
        <w:t>万元，资金到位率</w:t>
      </w:r>
      <w:r>
        <w:rPr>
          <w:rFonts w:ascii="仿宋" w:hAnsi="仿宋" w:eastAsia="仿宋"/>
          <w:sz w:val="32"/>
          <w:szCs w:val="32"/>
        </w:rPr>
        <w:t>100%</w:t>
      </w:r>
      <w:r>
        <w:rPr>
          <w:rFonts w:hint="eastAsia" w:ascii="仿宋" w:hAnsi="仿宋" w:eastAsia="仿宋"/>
          <w:sz w:val="32"/>
          <w:szCs w:val="32"/>
        </w:rPr>
        <w:t>。项目实际支出总额</w:t>
      </w:r>
      <w:r>
        <w:rPr>
          <w:rFonts w:ascii="仿宋" w:hAnsi="仿宋" w:eastAsia="仿宋" w:cs="仿宋_GB2312"/>
          <w:sz w:val="32"/>
          <w:szCs w:val="32"/>
        </w:rPr>
        <w:t>120.05</w:t>
      </w:r>
      <w:r>
        <w:rPr>
          <w:rFonts w:hint="eastAsia" w:ascii="仿宋" w:hAnsi="仿宋" w:eastAsia="仿宋"/>
          <w:sz w:val="32"/>
          <w:szCs w:val="32"/>
        </w:rPr>
        <w:t>万元，资金使用率</w:t>
      </w:r>
      <w:r>
        <w:rPr>
          <w:rFonts w:ascii="仿宋" w:hAnsi="仿宋" w:eastAsia="仿宋"/>
          <w:sz w:val="32"/>
          <w:szCs w:val="32"/>
        </w:rPr>
        <w:t>100%</w:t>
      </w:r>
      <w:r>
        <w:rPr>
          <w:rFonts w:hint="eastAsia" w:ascii="仿宋" w:hAnsi="仿宋" w:eastAsia="仿宋"/>
          <w:sz w:val="32"/>
          <w:szCs w:val="32"/>
        </w:rPr>
        <w:t>。</w:t>
      </w:r>
    </w:p>
    <w:p>
      <w:pPr>
        <w:ind w:firstLine="640" w:firstLineChars="200"/>
        <w:jc w:val="left"/>
        <w:rPr>
          <w:rFonts w:ascii="仿宋" w:hAnsi="仿宋" w:eastAsia="仿宋" w:cs="仿宋_GB2312"/>
          <w:bCs/>
          <w:sz w:val="32"/>
          <w:szCs w:val="32"/>
        </w:rPr>
      </w:pPr>
      <w:r>
        <w:rPr>
          <w:rFonts w:hint="eastAsia" w:ascii="仿宋" w:hAnsi="仿宋" w:eastAsia="仿宋"/>
          <w:sz w:val="32"/>
          <w:szCs w:val="32"/>
        </w:rPr>
        <w:t>（三）项目产出情况。数量指标：</w:t>
      </w:r>
      <w:r>
        <w:rPr>
          <w:rFonts w:hint="eastAsia" w:ascii="仿宋" w:hAnsi="仿宋" w:eastAsia="仿宋" w:cs="仿宋_GB2312"/>
          <w:color w:val="000000"/>
          <w:kern w:val="0"/>
          <w:sz w:val="32"/>
          <w:szCs w:val="32"/>
        </w:rPr>
        <w:t>补助金发放率达到</w:t>
      </w:r>
      <w:r>
        <w:rPr>
          <w:rFonts w:ascii="仿宋" w:hAnsi="仿宋" w:eastAsia="仿宋" w:cs="仿宋_GB2312"/>
          <w:color w:val="000000"/>
          <w:kern w:val="0"/>
          <w:sz w:val="32"/>
          <w:szCs w:val="32"/>
        </w:rPr>
        <w:t>100%</w:t>
      </w:r>
      <w:r>
        <w:rPr>
          <w:rFonts w:hint="eastAsia" w:ascii="仿宋" w:hAnsi="仿宋" w:eastAsia="仿宋" w:cs="仿宋_GB2312"/>
          <w:color w:val="000000"/>
          <w:kern w:val="0"/>
          <w:sz w:val="32"/>
          <w:szCs w:val="32"/>
        </w:rPr>
        <w:t>，</w:t>
      </w:r>
      <w:r>
        <w:rPr>
          <w:rFonts w:hint="eastAsia" w:ascii="仿宋" w:hAnsi="仿宋" w:eastAsia="仿宋" w:cs="仿宋_GB2312"/>
          <w:bCs/>
          <w:sz w:val="32"/>
          <w:szCs w:val="32"/>
        </w:rPr>
        <w:t>补助人数</w:t>
      </w:r>
      <w:r>
        <w:rPr>
          <w:rFonts w:ascii="仿宋" w:hAnsi="仿宋" w:eastAsia="仿宋" w:cs="仿宋_GB2312"/>
          <w:sz w:val="32"/>
          <w:szCs w:val="32"/>
        </w:rPr>
        <w:t>77</w:t>
      </w:r>
      <w:r>
        <w:rPr>
          <w:rFonts w:hint="eastAsia" w:ascii="仿宋" w:hAnsi="仿宋" w:eastAsia="仿宋" w:cs="仿宋_GB2312"/>
          <w:bCs/>
          <w:sz w:val="32"/>
          <w:szCs w:val="32"/>
        </w:rPr>
        <w:t>人。</w:t>
      </w:r>
    </w:p>
    <w:p>
      <w:pPr>
        <w:ind w:firstLine="640" w:firstLineChars="200"/>
        <w:rPr>
          <w:rFonts w:ascii="仿宋" w:hAnsi="仿宋" w:eastAsia="仿宋" w:cs="仿宋_GB2312"/>
          <w:bCs/>
          <w:sz w:val="32"/>
          <w:szCs w:val="32"/>
        </w:rPr>
      </w:pPr>
      <w:r>
        <w:rPr>
          <w:rFonts w:hint="eastAsia" w:ascii="仿宋" w:hAnsi="仿宋" w:eastAsia="仿宋"/>
          <w:sz w:val="32"/>
          <w:szCs w:val="32"/>
        </w:rPr>
        <w:t>（四）项目效益情况。效益指标：</w:t>
      </w:r>
      <w:r>
        <w:rPr>
          <w:rFonts w:hint="eastAsia" w:ascii="仿宋" w:hAnsi="仿宋" w:eastAsia="仿宋" w:cs="仿宋_GB2312"/>
          <w:bCs/>
          <w:sz w:val="32"/>
          <w:szCs w:val="32"/>
        </w:rPr>
        <w:t>通过调查，发放对象满意度</w:t>
      </w:r>
      <w:r>
        <w:rPr>
          <w:rFonts w:ascii="仿宋" w:hAnsi="仿宋" w:eastAsia="仿宋" w:cs="仿宋_GB2312"/>
          <w:bCs/>
          <w:sz w:val="32"/>
          <w:szCs w:val="32"/>
        </w:rPr>
        <w:t>100%</w:t>
      </w:r>
      <w:r>
        <w:rPr>
          <w:rFonts w:hint="eastAsia" w:ascii="仿宋" w:hAnsi="仿宋" w:eastAsia="仿宋" w:cs="仿宋_GB2312"/>
          <w:bCs/>
          <w:sz w:val="32"/>
          <w:szCs w:val="32"/>
        </w:rPr>
        <w:t>。</w:t>
      </w:r>
    </w:p>
    <w:p>
      <w:pPr>
        <w:ind w:firstLine="640" w:firstLineChars="200"/>
        <w:jc w:val="left"/>
        <w:rPr>
          <w:rFonts w:ascii="仿宋" w:hAnsi="仿宋" w:eastAsia="仿宋"/>
          <w:sz w:val="32"/>
          <w:szCs w:val="32"/>
        </w:rPr>
      </w:pPr>
      <w:r>
        <w:rPr>
          <w:rFonts w:hint="eastAsia" w:ascii="仿宋" w:hAnsi="仿宋" w:eastAsia="仿宋"/>
          <w:sz w:val="32"/>
          <w:szCs w:val="32"/>
        </w:rPr>
        <w:t>主要经验及做法、存在的问题及原因分析</w:t>
      </w:r>
    </w:p>
    <w:p>
      <w:pPr>
        <w:spacing w:after="150" w:line="600" w:lineRule="exact"/>
        <w:ind w:firstLine="640" w:firstLineChars="200"/>
        <w:rPr>
          <w:rFonts w:ascii="仿宋" w:hAnsi="仿宋" w:eastAsia="仿宋" w:cs="仿宋"/>
          <w:sz w:val="32"/>
          <w:szCs w:val="32"/>
        </w:rPr>
      </w:pPr>
      <w:r>
        <w:rPr>
          <w:rFonts w:hint="eastAsia" w:ascii="仿宋" w:hAnsi="仿宋" w:eastAsia="仿宋" w:cs="仿宋"/>
          <w:sz w:val="32"/>
          <w:szCs w:val="32"/>
        </w:rPr>
        <w:t>我局在县委县政府及相关部门的带领下，积极贯彻落实有关政策要求，严格遵守各项财经法规和财务管理制度规定，对执行中出现的一些问题还有需要完善的地方。在资金使用上，每笔资金严格遵守各项财经法规和财务管理制度规定，资金拨付有完整的审批程序和手续，支出符合部门预算批复的用途，无截留、挤占、挪用、虚列支出等情况。</w:t>
      </w:r>
    </w:p>
    <w:p>
      <w:pPr>
        <w:keepNext/>
        <w:keepLines/>
        <w:snapToGrid w:val="0"/>
        <w:spacing w:line="580" w:lineRule="exact"/>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ind w:firstLine="640"/>
        <w:rPr>
          <w:rFonts w:ascii="仿宋" w:hAnsi="仿宋" w:eastAsia="仿宋" w:cs="仿宋"/>
          <w:sz w:val="30"/>
          <w:szCs w:val="30"/>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ascii="仿宋_GB2312" w:hAnsi="Times New Roman" w:eastAsia="仿宋_GB2312" w:cs="DengXian-Regular"/>
          <w:sz w:val="32"/>
          <w:szCs w:val="32"/>
        </w:rPr>
        <w:t>88.</w:t>
      </w:r>
      <w:r>
        <w:rPr>
          <w:rFonts w:hint="eastAsia" w:ascii="仿宋_GB2312" w:hAnsi="Times New Roman" w:eastAsia="仿宋_GB2312" w:cs="DengXian-Regular"/>
          <w:sz w:val="32"/>
          <w:szCs w:val="32"/>
          <w:lang w:val="en-US" w:eastAsia="zh-CN"/>
        </w:rPr>
        <w:t>5</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ascii="仿宋_GB2312" w:hAnsi="Times New Roman" w:eastAsia="仿宋_GB2312" w:cs="DengXian-Regular"/>
          <w:sz w:val="32"/>
          <w:szCs w:val="32"/>
        </w:rPr>
        <w:t>13.</w:t>
      </w:r>
      <w:r>
        <w:rPr>
          <w:rFonts w:hint="eastAsia" w:ascii="仿宋_GB2312" w:hAnsi="Times New Roman" w:eastAsia="仿宋_GB2312" w:cs="DengXian-Regular"/>
          <w:sz w:val="32"/>
          <w:szCs w:val="32"/>
          <w:lang w:val="en-US" w:eastAsia="zh-CN"/>
        </w:rPr>
        <w:t>9</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13.</w:t>
      </w:r>
      <w:r>
        <w:rPr>
          <w:rFonts w:hint="eastAsia" w:ascii="仿宋_GB2312" w:hAnsi="Times New Roman" w:eastAsia="仿宋_GB2312" w:cs="DengXian-Regular"/>
          <w:sz w:val="32"/>
          <w:szCs w:val="32"/>
          <w:lang w:val="en-US" w:eastAsia="zh-CN"/>
        </w:rPr>
        <w:t>59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 w:hAnsi="仿宋" w:eastAsia="仿宋" w:cs="仿宋"/>
          <w:sz w:val="30"/>
          <w:szCs w:val="30"/>
        </w:rPr>
        <w:t>根据中央八项规定及纠正“四风”等上级要求，严控机关运行成本，本着勤俭节约原则减少开支。</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w:t>
      </w:r>
      <w:r>
        <w:rPr>
          <w:rFonts w:ascii="仿宋_GB2312" w:hAnsi="Times New Roman" w:eastAsia="仿宋_GB2312" w:cs="DengXian-Regular"/>
          <w:sz w:val="32"/>
          <w:szCs w:val="32"/>
        </w:rPr>
        <w:t>7.0628</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ascii="仿宋_GB2312" w:hAnsi="仿宋_GB2312" w:eastAsia="仿宋_GB2312" w:cs="仿宋_GB2312"/>
          <w:color w:val="000000"/>
          <w:kern w:val="0"/>
          <w:sz w:val="32"/>
          <w:szCs w:val="32"/>
        </w:rPr>
        <w:t xml:space="preserve">7.0628 </w:t>
      </w:r>
      <w:r>
        <w:rPr>
          <w:rFonts w:hint="eastAsia" w:ascii="仿宋_GB2312" w:hAnsi="仿宋_GB2312" w:eastAsia="仿宋_GB2312" w:cs="仿宋_GB2312"/>
          <w:color w:val="000000"/>
          <w:kern w:val="0"/>
          <w:sz w:val="32"/>
          <w:szCs w:val="32"/>
        </w:rPr>
        <w:t>万元、政府采购工程支出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 xml:space="preserve"> 0</w:t>
      </w:r>
      <w:r>
        <w:rPr>
          <w:rFonts w:hint="eastAsia" w:ascii="仿宋_GB2312" w:hAnsi="仿宋_GB2312" w:eastAsia="仿宋_GB2312" w:cs="仿宋_GB2312"/>
          <w:color w:val="000000"/>
          <w:kern w:val="0"/>
          <w:sz w:val="32"/>
          <w:szCs w:val="32"/>
        </w:rPr>
        <w:t>万元。授予中小企业合同金</w:t>
      </w:r>
      <w:r>
        <w:rPr>
          <w:rFonts w:ascii="仿宋_GB2312" w:hAnsi="仿宋_GB2312" w:eastAsia="仿宋_GB2312" w:cs="仿宋_GB2312"/>
          <w:color w:val="000000"/>
          <w:kern w:val="0"/>
          <w:sz w:val="32"/>
          <w:szCs w:val="32"/>
        </w:rPr>
        <w:t>7.0628</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，其中授予小微企业合同金额</w:t>
      </w:r>
      <w:r>
        <w:rPr>
          <w:rFonts w:ascii="仿宋_GB2312" w:hAnsi="仿宋_GB2312" w:eastAsia="仿宋_GB2312" w:cs="仿宋_GB2312"/>
          <w:color w:val="000000"/>
          <w:kern w:val="0"/>
          <w:sz w:val="32"/>
          <w:szCs w:val="32"/>
        </w:rPr>
        <w:t>7.0628</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 xml:space="preserve"> 100%</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辆，</w:t>
      </w:r>
      <w:r>
        <w:rPr>
          <w:rFonts w:hint="eastAsia" w:ascii="仿宋_GB2312" w:eastAsia="仿宋_GB2312" w:cs="DengXian-Regular"/>
          <w:sz w:val="32"/>
          <w:szCs w:val="32"/>
        </w:rPr>
        <w:t>与上年持平。其中，应急保障用车</w:t>
      </w:r>
      <w:r>
        <w:rPr>
          <w:rFonts w:ascii="仿宋_GB2312" w:eastAsia="仿宋_GB2312" w:cs="DengXian-Regular"/>
          <w:sz w:val="32"/>
          <w:szCs w:val="32"/>
        </w:rPr>
        <w:t>1</w:t>
      </w:r>
      <w:r>
        <w:rPr>
          <w:rFonts w:hint="eastAsia" w:ascii="仿宋_GB2312" w:eastAsia="仿宋_GB2312" w:cs="DengXian-Regular"/>
          <w:sz w:val="32"/>
          <w:szCs w:val="32"/>
        </w:rPr>
        <w:t>辆，其他用车</w:t>
      </w:r>
      <w:r>
        <w:rPr>
          <w:rFonts w:ascii="仿宋_GB2312" w:eastAsia="仿宋_GB2312" w:cs="DengXian-Regular"/>
          <w:sz w:val="32"/>
          <w:szCs w:val="32"/>
        </w:rPr>
        <w:t>2</w:t>
      </w:r>
      <w:r>
        <w:rPr>
          <w:rFonts w:hint="eastAsia" w:ascii="仿宋_GB2312" w:eastAsia="仿宋_GB2312" w:cs="DengXian-Regular"/>
          <w:sz w:val="32"/>
          <w:szCs w:val="32"/>
        </w:rPr>
        <w:t>辆，其他用车主要是建设巡查用车；单位价值</w:t>
      </w:r>
      <w:r>
        <w:rPr>
          <w:rFonts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台（套），与上年持平。单位价值</w:t>
      </w:r>
      <w:r>
        <w:rPr>
          <w:rFonts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hint="eastAsia" w:eastAsia="仿宋_GB2312"/>
          <w:sz w:val="32"/>
          <w:szCs w:val="32"/>
        </w:rPr>
        <w:t>政府性基金预算财政拨款</w:t>
      </w:r>
      <w:r>
        <w:rPr>
          <w:rFonts w:hint="eastAsia" w:ascii="仿宋_GB2312" w:hAnsi="Times New Roman" w:eastAsia="仿宋_GB2312" w:cs="DengXian-Regular"/>
          <w:sz w:val="32"/>
          <w:szCs w:val="32"/>
        </w:rPr>
        <w:t>无收支及结转结余情况，故</w:t>
      </w:r>
      <w:r>
        <w:rPr>
          <w:rFonts w:hint="eastAsia" w:eastAsia="仿宋_GB2312"/>
          <w:sz w:val="32"/>
          <w:szCs w:val="32"/>
        </w:rPr>
        <w:t>政府性基金预算财政拨款</w:t>
      </w:r>
      <w:r>
        <w:rPr>
          <w:rFonts w:hint="eastAsia" w:ascii="仿宋_GB2312" w:hAnsi="Times New Roman" w:eastAsia="仿宋_GB2312" w:cs="DengXian-Regular"/>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pict>
          <v:shape id="_x0000_s1042" o:spid="_x0000_s1042" o:spt="202" type="#_x0000_t202" style="position:absolute;left:0pt;margin-left:-80.45pt;margin-top:34.8pt;height:263.1pt;width:613.65pt;z-index:251670528;v-text-anchor:middle;mso-width-relative:page;mso-height-relative:page;" fillcolor="#FFD966" filled="t" stroked="t" coordsize="21600,21600">
            <v:path/>
            <v:fill type="pattern" on="t" focussize="0,0" r:id="rId13"/>
            <v:stroke weight="0.5pt" color="#FFD966" joinstyle="round"/>
            <v:imagedata o:title=""/>
            <o:lock v:ext="edit"/>
            <v:textbox>
              <w:txbxContent>
                <w:p>
                  <w:pPr>
                    <w:widowControl/>
                    <w:jc w:val="center"/>
                    <w:rPr>
                      <w:rFonts w:hint="eastAsia" w:ascii="黑体" w:hAnsi="黑体" w:eastAsia="黑体" w:cs="黑体"/>
                      <w:color w:val="000000"/>
                      <w:sz w:val="90"/>
                      <w:szCs w:val="90"/>
                    </w:rPr>
                  </w:pPr>
                </w:p>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
    <w:p/>
    <w:p/>
    <w:p/>
    <w:p/>
    <w:p/>
    <w:p/>
    <w:p/>
    <w:p/>
    <w:p/>
    <w:p/>
    <w:p/>
    <w:p>
      <w:pPr>
        <w:tabs>
          <w:tab w:val="left" w:pos="886"/>
        </w:tabs>
        <w:jc w:val="left"/>
        <w:sectPr>
          <w:headerReference r:id="rId10" w:type="firs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Pr>
        <w:jc w:val="left"/>
        <w:sectPr>
          <w:headerReference r:id="rId11"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pict>
          <v:shape id="_x0000_s1043" o:spid="_x0000_s1043" o:spt="202" type="#_x0000_t202" style="position:absolute;left:0pt;margin-left:-82.05pt;margin-top:135.85pt;height:263.1pt;width:613.65pt;z-index:-251656192;v-text-anchor:middle;mso-width-relative:page;mso-height-relative:page;" fillcolor="#FFD966" filled="t" stroked="t" coordsize="21600,21600">
            <v:path/>
            <v:fill type="pattern" on="t" focussize="0,0" r:id="rId13"/>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559"/>
        <w:gridCol w:w="172"/>
        <w:gridCol w:w="691"/>
        <w:gridCol w:w="3097"/>
        <w:gridCol w:w="540"/>
        <w:gridCol w:w="1222"/>
      </w:tblGrid>
      <w:tr>
        <w:tblPrEx>
          <w:tblCellMar>
            <w:top w:w="0" w:type="dxa"/>
            <w:left w:w="0" w:type="dxa"/>
            <w:bottom w:w="0" w:type="dxa"/>
            <w:right w:w="0" w:type="dxa"/>
          </w:tblCellMar>
        </w:tblPrEx>
        <w:trPr>
          <w:trHeight w:val="20" w:hRule="atLeast"/>
          <w:jc w:val="center"/>
        </w:trPr>
        <w:tc>
          <w:tcPr>
            <w:tcW w:w="9517" w:type="dxa"/>
            <w:gridSpan w:val="7"/>
            <w:tcBorders>
              <w:top w:val="nil"/>
              <w:left w:val="nil"/>
              <w:bottom w:val="nil"/>
              <w:right w:val="nil"/>
            </w:tcBorders>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 w:hRule="atLeast"/>
          <w:jc w:val="center"/>
        </w:trPr>
        <w:tc>
          <w:tcPr>
            <w:tcW w:w="32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31"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0" w:hRule="atLeast"/>
          <w:jc w:val="center"/>
        </w:trPr>
        <w:tc>
          <w:tcPr>
            <w:tcW w:w="3236"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成安县住房和城区建设局</w:t>
            </w:r>
          </w:p>
        </w:tc>
        <w:tc>
          <w:tcPr>
            <w:tcW w:w="731"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0" w:hRule="atLeast"/>
          <w:jc w:val="center"/>
        </w:trPr>
        <w:tc>
          <w:tcPr>
            <w:tcW w:w="46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收入</w:t>
            </w:r>
          </w:p>
        </w:tc>
        <w:tc>
          <w:tcPr>
            <w:tcW w:w="485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支出</w:t>
            </w:r>
          </w:p>
        </w:tc>
      </w:tr>
      <w:tr>
        <w:tblPrEx>
          <w:tblCellMar>
            <w:top w:w="0" w:type="dxa"/>
            <w:left w:w="0" w:type="dxa"/>
            <w:bottom w:w="0" w:type="dxa"/>
            <w:right w:w="0" w:type="dxa"/>
          </w:tblCellMar>
        </w:tblPrEx>
        <w:trPr>
          <w:trHeight w:val="57"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r>
      <w:tr>
        <w:tblPrEx>
          <w:tblCellMar>
            <w:top w:w="0" w:type="dxa"/>
            <w:left w:w="0" w:type="dxa"/>
            <w:bottom w:w="0" w:type="dxa"/>
            <w:right w:w="0" w:type="dxa"/>
          </w:tblCellMar>
        </w:tblPrEx>
        <w:trPr>
          <w:trHeight w:val="57"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r>
      <w:tr>
        <w:tblPrEx>
          <w:tblCellMar>
            <w:top w:w="0" w:type="dxa"/>
            <w:left w:w="0" w:type="dxa"/>
            <w:bottom w:w="0" w:type="dxa"/>
            <w:right w:w="0" w:type="dxa"/>
          </w:tblCellMar>
        </w:tblPrEx>
        <w:trPr>
          <w:trHeight w:val="416"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一、一般公共预算财政拨款收入</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2,556.97</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29</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二、政府性基金预算财政拨款收入</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三、上级补助收入</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31</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四、事业收入</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32</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五、经营收入</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33</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六、附属单位上缴收入</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34</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七、其他收入</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7</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35</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36</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37</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38</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39</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1,834.57</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12</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13</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41</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14</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十四、资源勘探信息等支出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42</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43</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44</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17</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45</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46</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19</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47</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48</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21</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二十一、灾害防治及应急管理支出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49</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22</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二十二、其他支出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50</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23</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二十四、债务付息支出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51</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24</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2556.97</w:t>
            </w: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52</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2,556.97</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用事业基金弥补收支差额</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 xml:space="preserve"> </w:t>
            </w: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结余分配</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53</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年初结转和结余</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26</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 xml:space="preserve"> </w:t>
            </w: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年末结转和结余</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54</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8"/>
                <w:szCs w:val="18"/>
                <w:lang w:eastAsia="zh-CN"/>
              </w:rPr>
            </w:pPr>
            <w:r>
              <w:rPr>
                <w:rFonts w:hint="eastAsia" w:eastAsia="宋体" w:cs="Arial"/>
                <w:color w:val="000000"/>
                <w:sz w:val="18"/>
                <w:szCs w:val="18"/>
                <w:lang w:eastAsia="zh-CN"/>
              </w:rPr>
              <w:t xml:space="preserve">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27</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55</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28</w:t>
            </w:r>
          </w:p>
        </w:tc>
        <w:tc>
          <w:tcPr>
            <w:tcW w:w="8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2556.97</w:t>
            </w: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56</w:t>
            </w:r>
          </w:p>
        </w:tc>
        <w:tc>
          <w:tcPr>
            <w:tcW w:w="122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2,556.97</w:t>
            </w:r>
          </w:p>
        </w:tc>
      </w:tr>
      <w:tr>
        <w:tblPrEx>
          <w:tblCellMar>
            <w:top w:w="0" w:type="dxa"/>
            <w:left w:w="0" w:type="dxa"/>
            <w:bottom w:w="0" w:type="dxa"/>
            <w:right w:w="0" w:type="dxa"/>
          </w:tblCellMar>
        </w:tblPrEx>
        <w:trPr>
          <w:trHeight w:val="20" w:hRule="atLeast"/>
          <w:jc w:val="center"/>
        </w:trPr>
        <w:tc>
          <w:tcPr>
            <w:tcW w:w="9517"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785" w:type="dxa"/>
        <w:jc w:val="center"/>
        <w:tblLayout w:type="fixed"/>
        <w:tblCellMar>
          <w:top w:w="0" w:type="dxa"/>
          <w:left w:w="0" w:type="dxa"/>
          <w:bottom w:w="0" w:type="dxa"/>
          <w:right w:w="0" w:type="dxa"/>
        </w:tblCellMar>
      </w:tblPr>
      <w:tblGrid>
        <w:gridCol w:w="911"/>
        <w:gridCol w:w="72"/>
        <w:gridCol w:w="72"/>
        <w:gridCol w:w="3426"/>
        <w:gridCol w:w="1518"/>
        <w:gridCol w:w="1388"/>
        <w:gridCol w:w="479"/>
        <w:gridCol w:w="479"/>
        <w:gridCol w:w="479"/>
        <w:gridCol w:w="479"/>
        <w:gridCol w:w="482"/>
      </w:tblGrid>
      <w:tr>
        <w:tblPrEx>
          <w:tblCellMar>
            <w:top w:w="0" w:type="dxa"/>
            <w:left w:w="0" w:type="dxa"/>
            <w:bottom w:w="0" w:type="dxa"/>
            <w:right w:w="0" w:type="dxa"/>
          </w:tblCellMar>
        </w:tblPrEx>
        <w:trPr>
          <w:trHeight w:val="670" w:hRule="atLeast"/>
          <w:jc w:val="center"/>
        </w:trPr>
        <w:tc>
          <w:tcPr>
            <w:tcW w:w="9785" w:type="dxa"/>
            <w:gridSpan w:val="11"/>
            <w:tcBorders>
              <w:top w:val="nil"/>
              <w:left w:val="nil"/>
              <w:bottom w:val="nil"/>
              <w:right w:val="nil"/>
            </w:tcBorders>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9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42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8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1"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4481"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成安县住房和城区建设局</w:t>
            </w:r>
          </w:p>
        </w:tc>
        <w:tc>
          <w:tcPr>
            <w:tcW w:w="15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8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40"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44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51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38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47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47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7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7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8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05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4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5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8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5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42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8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5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42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8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4481"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4481"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b/>
                <w:bCs/>
                <w:color w:val="000000"/>
                <w:sz w:val="20"/>
                <w:szCs w:val="20"/>
              </w:rPr>
            </w:pPr>
            <w:r>
              <w:rPr>
                <w:rFonts w:cs="Arial"/>
                <w:b/>
                <w:bCs/>
                <w:color w:val="000000"/>
                <w:sz w:val="20"/>
                <w:szCs w:val="20"/>
              </w:rPr>
              <w:t>2,556.97</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b/>
                <w:bCs/>
                <w:color w:val="000000"/>
                <w:sz w:val="20"/>
                <w:szCs w:val="20"/>
              </w:rPr>
            </w:pPr>
            <w:r>
              <w:rPr>
                <w:rFonts w:cs="Arial"/>
                <w:b/>
                <w:bCs/>
                <w:color w:val="000000"/>
                <w:sz w:val="20"/>
                <w:szCs w:val="20"/>
              </w:rPr>
              <w:t>2,556.97</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0"/>
                <w:szCs w:val="20"/>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203</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国防支出</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20306</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国防动员</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2030603</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人民防空</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208</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社会保障和就业支出</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20808</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抚恤</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2080801</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死亡抚恤</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城乡社区支出</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1,834.57</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1,834.57</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21201</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城乡社区管理事务</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1,144.45</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1,144.45</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2120101</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行政运行</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984.90</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984.90</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2120104</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城管执法</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36.01</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36.01</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2120199</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其他城乡社区管理事务支出</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123.54</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123.54</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21202</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城乡社区规划与管理</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46.22</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46.22</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2120201</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城乡社区规划与管理</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46.22</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46.22</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21203</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城乡社区公共设施</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643.90</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643.90</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2120303</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小城镇基础设施建设</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9.23</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9.23</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2120399</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其他城乡社区公共设施支出</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634.67</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634.67</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221</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住房保障支出</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22101</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保障性安居工程支出</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05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2210105</w:t>
            </w:r>
          </w:p>
        </w:tc>
        <w:tc>
          <w:tcPr>
            <w:tcW w:w="3426"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农村危房改造</w:t>
            </w:r>
          </w:p>
        </w:tc>
        <w:tc>
          <w:tcPr>
            <w:tcW w:w="151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138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9785"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注：本表反映部门本年度取得的各项收入情况。</w:t>
            </w:r>
          </w:p>
        </w:tc>
      </w:tr>
    </w:tbl>
    <w:p>
      <w:pPr>
        <w:jc w:val="left"/>
        <w:rPr>
          <w:sz w:val="18"/>
          <w:szCs w:val="18"/>
        </w:rPr>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1179"/>
        <w:gridCol w:w="134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4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3625" w:type="dxa"/>
            <w:gridSpan w:val="5"/>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成安县住房和城区建设局</w:t>
            </w:r>
          </w:p>
        </w:tc>
        <w:tc>
          <w:tcPr>
            <w:tcW w:w="1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2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34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17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28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28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2556.97</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1001.52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1555.45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国防支出</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382.5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20306</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国防动员</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382.5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2030603</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人民防空</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382.5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社会保障和就业支出</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8.39</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20808</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抚恤</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8.39</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2080801</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死亡抚恤</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8.39</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城乡社区支出</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1,834.57</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993.12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841.45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城乡社区管理事务</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1,144.45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988.90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155.55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2120101</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行政运行</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984.90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984.90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2120104</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城管执法</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36.01</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36.01</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2120199</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其他城乡社区管理事务支出</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123.54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4.00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119.54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21202</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城乡社区规划与管理</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2120201</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城乡社区规划与管理</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城乡社区公共设施</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643.90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4.22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639.67</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2120303</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小城镇基础设施建设</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9.23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9.23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2120399</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其他城乡社区公共设施支出</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634.67</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4.22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630.45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住房保障支出</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22101</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保障性安居工程支出</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2210105</w:t>
            </w:r>
          </w:p>
        </w:tc>
        <w:tc>
          <w:tcPr>
            <w:tcW w:w="1179"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农村危房改造</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ascii="宋体" w:hAnsi="宋体" w:cs="Arial"/>
                <w:color w:val="000000"/>
                <w:sz w:val="16"/>
                <w:szCs w:val="16"/>
              </w:rPr>
              <w:t>331.5</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tbl>
      <w:tblPr>
        <w:tblStyle w:val="7"/>
        <w:tblpPr w:leftFromText="180" w:rightFromText="180" w:vertAnchor="text" w:horzAnchor="page" w:tblpX="1267" w:tblpY="218"/>
        <w:tblOverlap w:val="never"/>
        <w:tblW w:w="9520" w:type="dxa"/>
        <w:tblInd w:w="0" w:type="dxa"/>
        <w:tblLayout w:type="fixed"/>
        <w:tblCellMar>
          <w:top w:w="0" w:type="dxa"/>
          <w:left w:w="0" w:type="dxa"/>
          <w:bottom w:w="0" w:type="dxa"/>
          <w:right w:w="0" w:type="dxa"/>
        </w:tblCellMar>
      </w:tblPr>
      <w:tblGrid>
        <w:gridCol w:w="2384"/>
        <w:gridCol w:w="720"/>
        <w:gridCol w:w="905"/>
        <w:gridCol w:w="2515"/>
        <w:gridCol w:w="720"/>
        <w:gridCol w:w="720"/>
        <w:gridCol w:w="767"/>
        <w:gridCol w:w="789"/>
      </w:tblGrid>
      <w:tr>
        <w:tblPrEx>
          <w:tblCellMar>
            <w:top w:w="0" w:type="dxa"/>
            <w:left w:w="0" w:type="dxa"/>
            <w:bottom w:w="0" w:type="dxa"/>
            <w:right w:w="0" w:type="dxa"/>
          </w:tblCellMar>
        </w:tblPrEx>
        <w:trPr>
          <w:trHeight w:val="406" w:hRule="atLeast"/>
        </w:trPr>
        <w:tc>
          <w:tcPr>
            <w:tcW w:w="9520" w:type="dxa"/>
            <w:gridSpan w:val="8"/>
            <w:tcBorders>
              <w:top w:val="nil"/>
              <w:left w:val="nil"/>
              <w:bottom w:val="nil"/>
              <w:right w:val="nil"/>
            </w:tcBorders>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238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5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76"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trPr>
        <w:tc>
          <w:tcPr>
            <w:tcW w:w="4009"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16"/>
                <w:szCs w:val="16"/>
              </w:rPr>
            </w:pPr>
            <w:r>
              <w:rPr>
                <w:rFonts w:hint="eastAsia" w:ascii="宋体" w:hAnsi="宋体" w:eastAsia="宋体" w:cs="宋体"/>
                <w:color w:val="000000"/>
                <w:kern w:val="0"/>
                <w:sz w:val="16"/>
                <w:szCs w:val="16"/>
              </w:rPr>
              <w:t>部门：</w:t>
            </w:r>
            <w:r>
              <w:rPr>
                <w:rFonts w:hint="eastAsia" w:ascii="宋体" w:hAnsi="宋体" w:eastAsia="宋体" w:cs="宋体"/>
                <w:color w:val="000000"/>
                <w:kern w:val="0"/>
                <w:sz w:val="20"/>
                <w:szCs w:val="20"/>
                <w:lang w:eastAsia="zh-CN"/>
              </w:rPr>
              <w:t>成安县住房和城区建设局</w:t>
            </w:r>
          </w:p>
        </w:tc>
        <w:tc>
          <w:tcPr>
            <w:tcW w:w="2515" w:type="dxa"/>
            <w:tcBorders>
              <w:top w:val="nil"/>
              <w:left w:val="nil"/>
              <w:bottom w:val="nil"/>
              <w:right w:val="nil"/>
            </w:tcBorders>
            <w:tcMar>
              <w:top w:w="15" w:type="dxa"/>
              <w:left w:w="15" w:type="dxa"/>
              <w:right w:w="15" w:type="dxa"/>
            </w:tcMar>
            <w:vAlign w:val="bottom"/>
          </w:tcPr>
          <w:p>
            <w:pPr>
              <w:rPr>
                <w:rFonts w:ascii="Arial" w:hAnsi="Arial" w:cs="Arial"/>
                <w:color w:val="000000"/>
                <w:sz w:val="16"/>
                <w:szCs w:val="16"/>
              </w:rPr>
            </w:pPr>
          </w:p>
        </w:tc>
        <w:tc>
          <w:tcPr>
            <w:tcW w:w="720" w:type="dxa"/>
            <w:tcBorders>
              <w:top w:val="nil"/>
              <w:left w:val="nil"/>
              <w:bottom w:val="nil"/>
              <w:right w:val="nil"/>
            </w:tcBorders>
            <w:tcMar>
              <w:top w:w="15" w:type="dxa"/>
              <w:left w:w="15" w:type="dxa"/>
              <w:right w:w="15" w:type="dxa"/>
            </w:tcMar>
            <w:vAlign w:val="bottom"/>
          </w:tcPr>
          <w:p>
            <w:pPr>
              <w:rPr>
                <w:rFonts w:ascii="Arial" w:hAnsi="Arial" w:cs="Arial"/>
                <w:color w:val="000000"/>
                <w:sz w:val="16"/>
                <w:szCs w:val="16"/>
              </w:rPr>
            </w:pPr>
          </w:p>
        </w:tc>
        <w:tc>
          <w:tcPr>
            <w:tcW w:w="2276"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0" w:type="dxa"/>
            <w:left w:w="0" w:type="dxa"/>
            <w:bottom w:w="0" w:type="dxa"/>
            <w:right w:w="0" w:type="dxa"/>
          </w:tblCellMar>
        </w:tblPrEx>
        <w:trPr>
          <w:trHeight w:val="90" w:hRule="atLeast"/>
        </w:trPr>
        <w:tc>
          <w:tcPr>
            <w:tcW w:w="400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w:t>
            </w: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入</w:t>
            </w:r>
          </w:p>
        </w:tc>
        <w:tc>
          <w:tcPr>
            <w:tcW w:w="5511"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w:t>
            </w: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出</w:t>
            </w:r>
          </w:p>
        </w:tc>
      </w:tr>
      <w:tr>
        <w:tblPrEx>
          <w:tblCellMar>
            <w:top w:w="0" w:type="dxa"/>
            <w:left w:w="0" w:type="dxa"/>
            <w:bottom w:w="0" w:type="dxa"/>
            <w:right w:w="0" w:type="dxa"/>
          </w:tblCellMar>
        </w:tblPrEx>
        <w:trPr>
          <w:trHeight w:val="312" w:hRule="atLeast"/>
        </w:trPr>
        <w:tc>
          <w:tcPr>
            <w:tcW w:w="2384"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7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90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251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7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7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76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一般公共预算财政拨款</w:t>
            </w:r>
          </w:p>
        </w:tc>
        <w:tc>
          <w:tcPr>
            <w:tcW w:w="78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政府性基金预算财政拨款</w:t>
            </w:r>
          </w:p>
        </w:tc>
      </w:tr>
      <w:tr>
        <w:tblPrEx>
          <w:tblCellMar>
            <w:top w:w="0" w:type="dxa"/>
            <w:left w:w="0" w:type="dxa"/>
            <w:bottom w:w="0" w:type="dxa"/>
            <w:right w:w="0" w:type="dxa"/>
          </w:tblCellMar>
        </w:tblPrEx>
        <w:trPr>
          <w:trHeight w:val="312" w:hRule="atLeast"/>
        </w:trPr>
        <w:tc>
          <w:tcPr>
            <w:tcW w:w="238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90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251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6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8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30</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31</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32</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33</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34</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6</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35</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7</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36</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8</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37</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9</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38</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10</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39</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11</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40</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1,834.57</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1,834.57</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12</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41</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13</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42</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14</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43</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15</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44</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16</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45</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17</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46</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18</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47</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19</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48</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20</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49</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21</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二十一、灾害防治及应急管理支出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50</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22</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二十二、其他支出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51</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23</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二十四、债务付息支出</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52</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24</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53</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年初财政拨款结转和结余</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25</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年末财政拨款结转和结余</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54</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26</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55</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27</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56</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kern w:val="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rPr>
            </w:pPr>
            <w:r>
              <w:rPr>
                <w:rFonts w:ascii="宋体" w:hAnsi="宋体" w:eastAsia="宋体" w:cs="宋体"/>
                <w:color w:val="000000"/>
                <w:kern w:val="0"/>
                <w:sz w:val="16"/>
                <w:szCs w:val="16"/>
              </w:rPr>
              <w:t>28</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cs="Arial"/>
                <w:color w:val="000000"/>
                <w:sz w:val="16"/>
                <w:szCs w:val="16"/>
              </w:rPr>
            </w:pP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kern w:val="0"/>
                <w:sz w:val="16"/>
                <w:szCs w:val="16"/>
              </w:rPr>
            </w:pP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rPr>
            </w:pPr>
            <w:r>
              <w:rPr>
                <w:rFonts w:ascii="宋体" w:hAnsi="宋体" w:eastAsia="宋体" w:cs="宋体"/>
                <w:color w:val="000000"/>
                <w:kern w:val="0"/>
                <w:sz w:val="16"/>
                <w:szCs w:val="16"/>
              </w:rPr>
              <w:t>57</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cs="Arial"/>
                <w:color w:val="000000"/>
                <w:sz w:val="16"/>
                <w:szCs w:val="16"/>
              </w:rPr>
            </w:pP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cs="Arial"/>
                <w:color w:val="000000"/>
                <w:sz w:val="16"/>
                <w:szCs w:val="16"/>
              </w:rP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cs="Arial"/>
                <w:color w:val="000000"/>
                <w:sz w:val="16"/>
                <w:szCs w:val="16"/>
              </w:rPr>
            </w:pPr>
          </w:p>
        </w:tc>
      </w:tr>
      <w:tr>
        <w:tblPrEx>
          <w:tblCellMar>
            <w:top w:w="0" w:type="dxa"/>
            <w:left w:w="0" w:type="dxa"/>
            <w:bottom w:w="0" w:type="dxa"/>
            <w:right w:w="0" w:type="dxa"/>
          </w:tblCellMar>
        </w:tblPrEx>
        <w:trPr>
          <w:trHeight w:val="90" w:hRule="atLeast"/>
        </w:trPr>
        <w:tc>
          <w:tcPr>
            <w:tcW w:w="23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29</w:t>
            </w:r>
          </w:p>
        </w:tc>
        <w:tc>
          <w:tcPr>
            <w:tcW w:w="9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2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58</w:t>
            </w:r>
          </w:p>
        </w:tc>
        <w:tc>
          <w:tcPr>
            <w:tcW w:w="7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90" w:hRule="atLeast"/>
        </w:trPr>
        <w:tc>
          <w:tcPr>
            <w:tcW w:w="952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p>
      <w:r>
        <w:br w:type="page"/>
      </w:r>
    </w:p>
    <w:tbl>
      <w:tblPr>
        <w:tblStyle w:val="7"/>
        <w:tblW w:w="10194" w:type="dxa"/>
        <w:jc w:val="center"/>
        <w:tblLayout w:type="fixed"/>
        <w:tblCellMar>
          <w:top w:w="0" w:type="dxa"/>
          <w:left w:w="0" w:type="dxa"/>
          <w:bottom w:w="0" w:type="dxa"/>
          <w:right w:w="0" w:type="dxa"/>
        </w:tblCellMar>
      </w:tblPr>
      <w:tblGrid>
        <w:gridCol w:w="964"/>
        <w:gridCol w:w="77"/>
        <w:gridCol w:w="77"/>
        <w:gridCol w:w="3230"/>
        <w:gridCol w:w="2161"/>
        <w:gridCol w:w="1842"/>
        <w:gridCol w:w="1843"/>
      </w:tblGrid>
      <w:tr>
        <w:tblPrEx>
          <w:tblCellMar>
            <w:top w:w="0" w:type="dxa"/>
            <w:left w:w="0" w:type="dxa"/>
            <w:bottom w:w="0" w:type="dxa"/>
            <w:right w:w="0" w:type="dxa"/>
          </w:tblCellMar>
        </w:tblPrEx>
        <w:trPr>
          <w:trHeight w:val="600" w:hRule="atLeast"/>
          <w:jc w:val="center"/>
        </w:trPr>
        <w:tc>
          <w:tcPr>
            <w:tcW w:w="10194"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96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85"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4348"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成安县住房和城区建设局</w:t>
            </w:r>
          </w:p>
        </w:tc>
        <w:tc>
          <w:tcPr>
            <w:tcW w:w="21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85"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34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84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118"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2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16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4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4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11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2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6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4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4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1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2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6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4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4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34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434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b/>
                <w:bCs/>
                <w:color w:val="000000"/>
                <w:sz w:val="22"/>
              </w:rPr>
            </w:pPr>
            <w:r>
              <w:rPr>
                <w:rFonts w:cs="Arial"/>
                <w:b/>
                <w:bCs/>
                <w:color w:val="000000"/>
                <w:sz w:val="22"/>
              </w:rPr>
              <w:t>2,556.97</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b/>
                <w:bCs/>
                <w:color w:val="000000"/>
                <w:sz w:val="22"/>
              </w:rPr>
            </w:pPr>
            <w:r>
              <w:rPr>
                <w:rFonts w:cs="Arial"/>
                <w:b/>
                <w:bCs/>
                <w:color w:val="000000"/>
                <w:sz w:val="22"/>
              </w:rPr>
              <w:t>1,001.52</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b/>
                <w:bCs/>
                <w:color w:val="000000"/>
                <w:sz w:val="22"/>
              </w:rPr>
            </w:pPr>
            <w:r>
              <w:rPr>
                <w:rFonts w:cs="Arial"/>
                <w:b/>
                <w:bCs/>
                <w:color w:val="000000"/>
                <w:sz w:val="22"/>
              </w:rPr>
              <w:t>1,555.45</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国防支出</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20306</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国防动员</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2030603</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人民防空</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社会保障和就业支出</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20808</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抚恤</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2080801</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死亡抚恤</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城乡社区支出</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1,834.57</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993.12</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841.45</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城乡社区管理事务</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1,144.45</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988.90</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155.55</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2120101</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行政运行</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984.90</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984.90</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2120104</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城管执法</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36.01</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36.01</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2120199</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其他城乡社区管理事务支出</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123.54</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4.00</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119.54</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21202</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城乡社区规划与管理</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2120201</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城乡社区规划与管理</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城乡社区公共设施</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643.90</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4.22</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639.67</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2120303</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小城镇基础设施建设</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9.23</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9.23</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2120399</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其他城乡社区公共设施支出</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634.67</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4.22</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630.45</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住房保障支出</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22101</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保障性安居工程支出</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r>
      <w:tr>
        <w:tblPrEx>
          <w:tblCellMar>
            <w:top w:w="0" w:type="dxa"/>
            <w:left w:w="0" w:type="dxa"/>
            <w:bottom w:w="0" w:type="dxa"/>
            <w:right w:w="0" w:type="dxa"/>
          </w:tblCellMar>
        </w:tblPrEx>
        <w:trPr>
          <w:trHeight w:val="308" w:hRule="atLeast"/>
          <w:jc w:val="center"/>
        </w:trPr>
        <w:tc>
          <w:tcPr>
            <w:tcW w:w="11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2210105</w:t>
            </w:r>
          </w:p>
        </w:tc>
        <w:tc>
          <w:tcPr>
            <w:tcW w:w="323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农村危房改造</w:t>
            </w:r>
          </w:p>
        </w:tc>
        <w:tc>
          <w:tcPr>
            <w:tcW w:w="21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8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r>
    </w:tbl>
    <w:p/>
    <w:p/>
    <w:p/>
    <w:p/>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3611"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成安县住房和城区建设局</w:t>
            </w:r>
          </w:p>
        </w:tc>
        <w:tc>
          <w:tcPr>
            <w:tcW w:w="6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w:t>
            </w:r>
          </w:p>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w:t>
            </w:r>
          </w:p>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903.68</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83.73</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基本工资</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737.53</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办公费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11.29</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国内债务付息</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津贴补贴</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10.39</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印刷费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0.06</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国外债务付息</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奖金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咨询费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4.79</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伙食补助费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手续费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0.22</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房屋建筑物购建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绩效工资</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14.08</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水费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0.82</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办公设备购置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4.79</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机关事业单位基本养老保险缴费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88.56</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电费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12.41</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专用设备购置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职业年金缴费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9.87</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邮电费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2.85</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基础设施建设</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职工基本医疗保险缴费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16.98</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取暖费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5.05</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大型修缮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公务员医疗补助缴费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物业管理费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17.96</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信息网络及软件购置更新</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其他社会保障缴费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0.99</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差旅费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10.30</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物资储备</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住房公积金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25.29</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因公出国（境）费用</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土地补偿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医疗费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维修（护）费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0.52</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安置补助</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其他工资福利支出</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租赁费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地上附着物和青苗补偿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9.31</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会议费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拆迁补偿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离休费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培训费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公务用车购置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退休费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公务接待费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其他交通工具购置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退职（役）费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专用材料费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文物和陈列品购置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抚恤金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8.15</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被装购置费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无形资产购置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生活补助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1.15</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专用燃料费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其他资本性支出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救济费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劳务费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医疗费补助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委托业务费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赠与</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助学金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工会经费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7.49</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国家赔偿费用支出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奖励金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福利费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对民间非营利组织和群众性自治组织补贴</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个人农业生产补贴</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公务用车运行维护费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4.76</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其他对个人和家庭的补助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其他交通费用</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2.04</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税金及附加费用</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其他商品和服务支出</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7.96</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eastAsia="宋体" w:cs="Arial"/>
                <w:color w:val="000000"/>
                <w:sz w:val="16"/>
                <w:szCs w:val="16"/>
                <w:lang w:eastAsia="zh-CN"/>
              </w:rPr>
            </w:pPr>
            <w:r>
              <w:rPr>
                <w:rFonts w:hint="eastAsia" w:eastAsia="宋体" w:cs="Arial"/>
                <w:color w:val="000000"/>
                <w:sz w:val="16"/>
                <w:szCs w:val="16"/>
                <w:lang w:eastAsia="zh-CN"/>
              </w:rPr>
              <w:t xml:space="preserve"> </w:t>
            </w: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cs="Arial"/>
                <w:color w:val="000000"/>
                <w:sz w:val="16"/>
                <w:szCs w:val="16"/>
              </w:rPr>
              <w:t>912.99</w:t>
            </w:r>
          </w:p>
        </w:tc>
        <w:tc>
          <w:tcPr>
            <w:tcW w:w="5657" w:type="dxa"/>
            <w:gridSpan w:val="5"/>
            <w:tcBorders>
              <w:top w:val="nil"/>
              <w:left w:val="nil"/>
              <w:bottom w:val="single" w:color="000000" w:sz="4" w:space="0"/>
              <w:right w:val="single" w:color="000000" w:sz="4" w:space="0"/>
            </w:tcBorders>
            <w:tcMar>
              <w:top w:w="15" w:type="dxa"/>
              <w:left w:w="15" w:type="dxa"/>
              <w:right w:w="15" w:type="dxa"/>
            </w:tcMar>
            <w:vAlign w:val="center"/>
          </w:tcPr>
          <w:p>
            <w:pPr>
              <w:tabs>
                <w:tab w:val="left" w:pos="1899"/>
              </w:tabs>
              <w:jc w:val="left"/>
              <w:rPr>
                <w:rFonts w:hint="default" w:ascii="宋体" w:eastAsia="宋体" w:cs="Arial"/>
                <w:color w:val="000000"/>
                <w:sz w:val="16"/>
                <w:szCs w:val="16"/>
                <w:lang w:val="en-US" w:eastAsia="zh-CN"/>
              </w:rPr>
            </w:pPr>
            <w:r>
              <w:rPr>
                <w:rFonts w:hint="eastAsia" w:ascii="宋体" w:eastAsia="宋体" w:cs="Arial"/>
                <w:color w:val="000000"/>
                <w:sz w:val="16"/>
                <w:szCs w:val="16"/>
                <w:lang w:eastAsia="zh-CN"/>
              </w:rPr>
              <w:tab/>
            </w:r>
            <w:r>
              <w:rPr>
                <w:rFonts w:hint="eastAsia" w:ascii="宋体" w:eastAsia="宋体" w:cs="Arial"/>
                <w:color w:val="000000"/>
                <w:sz w:val="16"/>
                <w:szCs w:val="16"/>
                <w:lang w:val="en-US" w:eastAsia="zh-CN"/>
              </w:rPr>
              <w:t>公用经费合计</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tabs>
                <w:tab w:val="left" w:pos="402"/>
              </w:tabs>
              <w:spacing w:line="18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88.53</w:t>
            </w:r>
          </w:p>
        </w:tc>
      </w:tr>
    </w:tbl>
    <w:p>
      <w:r>
        <w:br w:type="page"/>
      </w:r>
    </w:p>
    <w:tbl>
      <w:tblPr>
        <w:tblStyle w:val="7"/>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成安县住房和城区建设局</w:t>
            </w: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4.76</w:t>
            </w:r>
          </w:p>
        </w:tc>
        <w:tc>
          <w:tcPr>
            <w:tcW w:w="1686"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4.76</w:t>
            </w: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4.76</w:t>
            </w:r>
          </w:p>
        </w:tc>
        <w:tc>
          <w:tcPr>
            <w:tcW w:w="1572" w:type="dxa"/>
            <w:tcBorders>
              <w:top w:val="nil"/>
              <w:left w:val="nil"/>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p>
    <w:p>
      <w:r>
        <w:tab/>
      </w:r>
      <w:r>
        <w:tab/>
      </w:r>
      <w:r>
        <w:tab/>
      </w:r>
      <w:r>
        <w:tab/>
      </w:r>
      <w:r>
        <w:tab/>
      </w:r>
      <w:r>
        <w:tab/>
      </w:r>
      <w:r>
        <w:tab/>
      </w:r>
      <w:r>
        <w:tab/>
      </w:r>
      <w:r>
        <w:tab/>
      </w:r>
      <w:r>
        <w:tab/>
      </w:r>
      <w:r>
        <w:br w:type="page"/>
      </w:r>
    </w:p>
    <w:tbl>
      <w:tblPr>
        <w:tblStyle w:val="7"/>
        <w:tblW w:w="9512" w:type="dxa"/>
        <w:jc w:val="center"/>
        <w:tblLayout w:type="fixed"/>
        <w:tblCellMar>
          <w:top w:w="0" w:type="dxa"/>
          <w:left w:w="0" w:type="dxa"/>
          <w:bottom w:w="0" w:type="dxa"/>
          <w:right w:w="0" w:type="dxa"/>
        </w:tblCellMar>
      </w:tblPr>
      <w:tblGrid>
        <w:gridCol w:w="1093"/>
        <w:gridCol w:w="87"/>
        <w:gridCol w:w="87"/>
        <w:gridCol w:w="1579"/>
        <w:gridCol w:w="1111"/>
        <w:gridCol w:w="1111"/>
        <w:gridCol w:w="1111"/>
        <w:gridCol w:w="1111"/>
        <w:gridCol w:w="1111"/>
        <w:gridCol w:w="1111"/>
      </w:tblGrid>
      <w:tr>
        <w:tblPrEx>
          <w:tblCellMar>
            <w:top w:w="0" w:type="dxa"/>
            <w:left w:w="0" w:type="dxa"/>
            <w:bottom w:w="0" w:type="dxa"/>
            <w:right w:w="0" w:type="dxa"/>
          </w:tblCellMar>
        </w:tblPrEx>
        <w:trPr>
          <w:trHeight w:val="780" w:hRule="atLeast"/>
          <w:jc w:val="center"/>
        </w:trPr>
        <w:tc>
          <w:tcPr>
            <w:tcW w:w="9512"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9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22"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3957" w:type="dxa"/>
            <w:gridSpan w:val="5"/>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成安县住房和城区建设局</w:t>
            </w:r>
          </w:p>
        </w:tc>
        <w:tc>
          <w:tcPr>
            <w:tcW w:w="1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22"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84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33"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267"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57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1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1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67"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7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67"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7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84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84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26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5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6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5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6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5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6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5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6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5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注：本部门本年度无相关收入情况，按要求空表列示。</w:t>
      </w:r>
      <w:r>
        <w:br w:type="page"/>
      </w:r>
    </w:p>
    <w:tbl>
      <w:tblPr>
        <w:tblStyle w:val="7"/>
        <w:tblW w:w="9915" w:type="dxa"/>
        <w:jc w:val="center"/>
        <w:tblLayout w:type="fixed"/>
        <w:tblCellMar>
          <w:top w:w="0" w:type="dxa"/>
          <w:left w:w="0" w:type="dxa"/>
          <w:bottom w:w="0" w:type="dxa"/>
          <w:right w:w="0" w:type="dxa"/>
        </w:tblCellMar>
      </w:tblPr>
      <w:tblGrid>
        <w:gridCol w:w="1277"/>
        <w:gridCol w:w="101"/>
        <w:gridCol w:w="101"/>
        <w:gridCol w:w="3792"/>
        <w:gridCol w:w="953"/>
        <w:gridCol w:w="1845"/>
        <w:gridCol w:w="1846"/>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79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91"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5271"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成安县住房和城区建设局</w:t>
            </w:r>
          </w:p>
        </w:tc>
        <w:tc>
          <w:tcPr>
            <w:tcW w:w="9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91"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7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4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7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5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4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4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71"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5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84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84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71"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84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8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7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2"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7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2"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7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2"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7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2"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7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2"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注：本部门本年度无相关收入情况，按要求空表列示。</w:t>
      </w:r>
      <w:r>
        <w:br w:type="page"/>
      </w:r>
    </w:p>
    <w:p>
      <w:r>
        <w:pict>
          <v:rect id="_x0000_s1044" o:spid="_x0000_s1044" o:spt="1" style="position:absolute;left:0pt;margin-left:-70.5pt;margin-top:-85.25pt;height:841.15pt;width:595.1pt;z-index:251671552;v-text-anchor:middle;mso-width-relative:page;mso-height-relative:page;" fillcolor="#FFC000" filled="t" stroked="f" coordsize="21600,2160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UI"/>
    <w:panose1 w:val="020B0700000000000000"/>
    <w:charset w:val="80"/>
    <w:family w:val="swiss"/>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思源黑体 HW Bold">
    <w:altName w:val="宋体"/>
    <w:panose1 w:val="00000000000000000000"/>
    <w:charset w:val="86"/>
    <w:family w:val="swiss"/>
    <w:pitch w:val="default"/>
    <w:sig w:usb0="00000000" w:usb1="00000000" w:usb2="00000010" w:usb3="00000000" w:csb0="00040000" w:csb1="00000000"/>
  </w:font>
  <w:font w:name="ArialUnicodeMS">
    <w:altName w:val="Calibri"/>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Calibri"/>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C31FE"/>
    <w:multiLevelType w:val="multilevel"/>
    <w:tmpl w:val="14BC31FE"/>
    <w:lvl w:ilvl="0" w:tentative="0">
      <w:start w:val="1"/>
      <w:numFmt w:val="japaneseCounting"/>
      <w:lvlText w:val="(%1)"/>
      <w:lvlJc w:val="left"/>
      <w:pPr>
        <w:ind w:left="1022" w:hanging="540"/>
      </w:pPr>
      <w:rPr>
        <w:rFonts w:hint="default"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
    <w:nsid w:val="45DB9A87"/>
    <w:multiLevelType w:val="singleLevel"/>
    <w:tmpl w:val="45DB9A87"/>
    <w:lvl w:ilvl="0" w:tentative="0">
      <w:start w:val="3"/>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dhYTFmYWNlMWMwYWJlYTEzODUzNWM2OWM3ODFhMDAifQ=="/>
  </w:docVars>
  <w:rsids>
    <w:rsidRoot w:val="6AAF1C96"/>
    <w:rsid w:val="0001707C"/>
    <w:rsid w:val="0004308E"/>
    <w:rsid w:val="000645DE"/>
    <w:rsid w:val="0007063E"/>
    <w:rsid w:val="00073392"/>
    <w:rsid w:val="00073F4E"/>
    <w:rsid w:val="00080180"/>
    <w:rsid w:val="00086C89"/>
    <w:rsid w:val="000A39FB"/>
    <w:rsid w:val="000C6CBE"/>
    <w:rsid w:val="000F23B6"/>
    <w:rsid w:val="001129B8"/>
    <w:rsid w:val="00117746"/>
    <w:rsid w:val="00140522"/>
    <w:rsid w:val="00163F95"/>
    <w:rsid w:val="00180A9A"/>
    <w:rsid w:val="001829C0"/>
    <w:rsid w:val="00184809"/>
    <w:rsid w:val="00192112"/>
    <w:rsid w:val="001B0127"/>
    <w:rsid w:val="001C12D5"/>
    <w:rsid w:val="001C69F7"/>
    <w:rsid w:val="00220004"/>
    <w:rsid w:val="00233C76"/>
    <w:rsid w:val="002650EC"/>
    <w:rsid w:val="00285872"/>
    <w:rsid w:val="00285C19"/>
    <w:rsid w:val="002957FC"/>
    <w:rsid w:val="002A6C46"/>
    <w:rsid w:val="002C19B5"/>
    <w:rsid w:val="003914C1"/>
    <w:rsid w:val="003A4EE8"/>
    <w:rsid w:val="003D02E2"/>
    <w:rsid w:val="003E0537"/>
    <w:rsid w:val="00407F72"/>
    <w:rsid w:val="00442CC2"/>
    <w:rsid w:val="00446244"/>
    <w:rsid w:val="00473C20"/>
    <w:rsid w:val="00485B31"/>
    <w:rsid w:val="004D61CB"/>
    <w:rsid w:val="004F1B30"/>
    <w:rsid w:val="005011D6"/>
    <w:rsid w:val="00503F2E"/>
    <w:rsid w:val="00552226"/>
    <w:rsid w:val="00566120"/>
    <w:rsid w:val="00567348"/>
    <w:rsid w:val="00570818"/>
    <w:rsid w:val="00582E6D"/>
    <w:rsid w:val="005954D5"/>
    <w:rsid w:val="0059742C"/>
    <w:rsid w:val="005A53FA"/>
    <w:rsid w:val="005B6FEB"/>
    <w:rsid w:val="005D1293"/>
    <w:rsid w:val="005D7885"/>
    <w:rsid w:val="00644D5F"/>
    <w:rsid w:val="006615C4"/>
    <w:rsid w:val="006727AD"/>
    <w:rsid w:val="00691425"/>
    <w:rsid w:val="006A516E"/>
    <w:rsid w:val="006A5B80"/>
    <w:rsid w:val="006B0830"/>
    <w:rsid w:val="006F3B3E"/>
    <w:rsid w:val="00716E2B"/>
    <w:rsid w:val="007337BA"/>
    <w:rsid w:val="00743BCA"/>
    <w:rsid w:val="00745A7C"/>
    <w:rsid w:val="00770F18"/>
    <w:rsid w:val="00773ABD"/>
    <w:rsid w:val="00773B74"/>
    <w:rsid w:val="0078290C"/>
    <w:rsid w:val="007C06CA"/>
    <w:rsid w:val="007E69F4"/>
    <w:rsid w:val="008163FB"/>
    <w:rsid w:val="0082605B"/>
    <w:rsid w:val="00855C36"/>
    <w:rsid w:val="00857DBE"/>
    <w:rsid w:val="008701BC"/>
    <w:rsid w:val="00883D92"/>
    <w:rsid w:val="00884234"/>
    <w:rsid w:val="008A5362"/>
    <w:rsid w:val="008F21F1"/>
    <w:rsid w:val="008F221B"/>
    <w:rsid w:val="008F5A2D"/>
    <w:rsid w:val="009000A3"/>
    <w:rsid w:val="00901C2B"/>
    <w:rsid w:val="00921602"/>
    <w:rsid w:val="009356DE"/>
    <w:rsid w:val="00944EC3"/>
    <w:rsid w:val="00957EA1"/>
    <w:rsid w:val="00966E5B"/>
    <w:rsid w:val="00983717"/>
    <w:rsid w:val="0098474C"/>
    <w:rsid w:val="009B4EF0"/>
    <w:rsid w:val="009D271F"/>
    <w:rsid w:val="00A138A2"/>
    <w:rsid w:val="00A929C2"/>
    <w:rsid w:val="00AC3C87"/>
    <w:rsid w:val="00AD097F"/>
    <w:rsid w:val="00AD663D"/>
    <w:rsid w:val="00B23552"/>
    <w:rsid w:val="00B34DE5"/>
    <w:rsid w:val="00B814A1"/>
    <w:rsid w:val="00B844F4"/>
    <w:rsid w:val="00BA06A1"/>
    <w:rsid w:val="00BA5B35"/>
    <w:rsid w:val="00BA770A"/>
    <w:rsid w:val="00BB43FD"/>
    <w:rsid w:val="00C01A5F"/>
    <w:rsid w:val="00C054DE"/>
    <w:rsid w:val="00C679A9"/>
    <w:rsid w:val="00C7541C"/>
    <w:rsid w:val="00C8132A"/>
    <w:rsid w:val="00C85648"/>
    <w:rsid w:val="00C867EA"/>
    <w:rsid w:val="00CA55E0"/>
    <w:rsid w:val="00CC0FAA"/>
    <w:rsid w:val="00CD0736"/>
    <w:rsid w:val="00CF4F70"/>
    <w:rsid w:val="00D028AD"/>
    <w:rsid w:val="00D1570F"/>
    <w:rsid w:val="00D241EC"/>
    <w:rsid w:val="00D32830"/>
    <w:rsid w:val="00D44680"/>
    <w:rsid w:val="00DA1569"/>
    <w:rsid w:val="00DB0B34"/>
    <w:rsid w:val="00DB170A"/>
    <w:rsid w:val="00DB7153"/>
    <w:rsid w:val="00DB7F05"/>
    <w:rsid w:val="00DC2BA7"/>
    <w:rsid w:val="00E028C3"/>
    <w:rsid w:val="00E14F77"/>
    <w:rsid w:val="00E3076B"/>
    <w:rsid w:val="00E36978"/>
    <w:rsid w:val="00E65F9A"/>
    <w:rsid w:val="00E75147"/>
    <w:rsid w:val="00E82A1E"/>
    <w:rsid w:val="00EC06F4"/>
    <w:rsid w:val="00EE014E"/>
    <w:rsid w:val="00EE2C49"/>
    <w:rsid w:val="00EE4E36"/>
    <w:rsid w:val="00F3130B"/>
    <w:rsid w:val="00F43491"/>
    <w:rsid w:val="00F47683"/>
    <w:rsid w:val="00F665F4"/>
    <w:rsid w:val="00F967E2"/>
    <w:rsid w:val="00FD225F"/>
    <w:rsid w:val="00FE36D7"/>
    <w:rsid w:val="0493401B"/>
    <w:rsid w:val="0D016782"/>
    <w:rsid w:val="0EB93A9F"/>
    <w:rsid w:val="1CC222CD"/>
    <w:rsid w:val="26DA5D4A"/>
    <w:rsid w:val="28E75A2C"/>
    <w:rsid w:val="2AFC60A1"/>
    <w:rsid w:val="2FF40787"/>
    <w:rsid w:val="31C2036A"/>
    <w:rsid w:val="320D02A5"/>
    <w:rsid w:val="348E566F"/>
    <w:rsid w:val="35AF06BD"/>
    <w:rsid w:val="3A226944"/>
    <w:rsid w:val="3AEE6A48"/>
    <w:rsid w:val="3C1620AA"/>
    <w:rsid w:val="3D8F080F"/>
    <w:rsid w:val="44CE1FA4"/>
    <w:rsid w:val="487F73ED"/>
    <w:rsid w:val="4A347EAE"/>
    <w:rsid w:val="52600405"/>
    <w:rsid w:val="529B4319"/>
    <w:rsid w:val="57773DD6"/>
    <w:rsid w:val="578B79AB"/>
    <w:rsid w:val="5CCD3FD5"/>
    <w:rsid w:val="5FAC1E56"/>
    <w:rsid w:val="61FA5F9D"/>
    <w:rsid w:val="64CD6910"/>
    <w:rsid w:val="6789158D"/>
    <w:rsid w:val="67D81BA4"/>
    <w:rsid w:val="6AAF1C96"/>
    <w:rsid w:val="6E564682"/>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Body Text"/>
    <w:basedOn w:val="1"/>
    <w:link w:val="12"/>
    <w:qFormat/>
    <w:uiPriority w:val="99"/>
    <w:rPr>
      <w:rFonts w:ascii="仿宋_GB2312" w:hAnsi="仿宋_GB2312" w:eastAsia="仿宋_GB2312" w:cs="仿宋_GB2312"/>
      <w:sz w:val="32"/>
      <w:szCs w:val="32"/>
      <w:lang w:val="zh-CN"/>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Heading 1 Char"/>
    <w:basedOn w:val="9"/>
    <w:link w:val="2"/>
    <w:locked/>
    <w:uiPriority w:val="99"/>
    <w:rPr>
      <w:rFonts w:ascii="等线" w:hAnsi="等线" w:eastAsia="等线" w:cs="Times New Roman"/>
      <w:b/>
      <w:bCs/>
      <w:kern w:val="44"/>
      <w:sz w:val="44"/>
      <w:szCs w:val="44"/>
    </w:rPr>
  </w:style>
  <w:style w:type="character" w:customStyle="1" w:styleId="11">
    <w:name w:val="Document Map Char"/>
    <w:basedOn w:val="9"/>
    <w:link w:val="3"/>
    <w:semiHidden/>
    <w:qFormat/>
    <w:locked/>
    <w:uiPriority w:val="99"/>
    <w:rPr>
      <w:rFonts w:ascii="Times New Roman" w:hAnsi="Times New Roman" w:eastAsia="等线" w:cs="Times New Roman"/>
      <w:sz w:val="2"/>
    </w:rPr>
  </w:style>
  <w:style w:type="character" w:customStyle="1" w:styleId="12">
    <w:name w:val="Body Text Char"/>
    <w:basedOn w:val="9"/>
    <w:link w:val="4"/>
    <w:semiHidden/>
    <w:qFormat/>
    <w:locked/>
    <w:uiPriority w:val="99"/>
    <w:rPr>
      <w:rFonts w:ascii="等线" w:hAnsi="等线" w:eastAsia="等线" w:cs="Times New Roman"/>
    </w:rPr>
  </w:style>
  <w:style w:type="character" w:customStyle="1" w:styleId="13">
    <w:name w:val="Footer Char"/>
    <w:basedOn w:val="9"/>
    <w:link w:val="5"/>
    <w:locked/>
    <w:uiPriority w:val="99"/>
    <w:rPr>
      <w:rFonts w:cs="Times New Roman"/>
      <w:sz w:val="18"/>
      <w:szCs w:val="18"/>
    </w:rPr>
  </w:style>
  <w:style w:type="character" w:customStyle="1" w:styleId="14">
    <w:name w:val="Header Char"/>
    <w:basedOn w:val="9"/>
    <w:link w:val="6"/>
    <w:qFormat/>
    <w:locked/>
    <w:uiPriority w:val="99"/>
    <w:rPr>
      <w:rFonts w:ascii="等线" w:hAnsi="等线" w:eastAsia="等线" w:cs="Times New Roman"/>
      <w:sz w:val="18"/>
      <w:szCs w:val="18"/>
    </w:rPr>
  </w:style>
  <w:style w:type="paragraph" w:customStyle="1" w:styleId="15">
    <w:name w:val="List Paragraph1"/>
    <w:basedOn w:val="1"/>
    <w:qFormat/>
    <w:uiPriority w:val="99"/>
    <w:pPr>
      <w:spacing w:before="2"/>
      <w:ind w:left="119" w:right="434" w:firstLine="643"/>
    </w:pPr>
    <w:rPr>
      <w:rFonts w:ascii="仿宋_GB2312" w:hAnsi="仿宋_GB2312" w:eastAsia="仿宋_GB2312" w:cs="仿宋_GB2312"/>
      <w:lang w:val="zh-CN"/>
    </w:rPr>
  </w:style>
  <w:style w:type="paragraph" w:customStyle="1" w:styleId="16">
    <w:name w:val="列出段落1"/>
    <w:basedOn w:val="1"/>
    <w:qFormat/>
    <w:uiPriority w:val="99"/>
    <w:pPr>
      <w:ind w:firstLine="420" w:firstLineChars="200"/>
    </w:pPr>
    <w:rPr>
      <w:rFonts w:cs="等线"/>
      <w:szCs w:val="21"/>
    </w:rPr>
  </w:style>
  <w:style w:type="paragraph" w:styleId="17">
    <w:name w:val="List Paragraph"/>
    <w:basedOn w:val="1"/>
    <w:qFormat/>
    <w:uiPriority w:val="99"/>
    <w:pPr>
      <w:spacing w:after="160" w:line="480" w:lineRule="auto"/>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3.bin"/><Relationship Id="rId17" Type="http://schemas.openxmlformats.org/officeDocument/2006/relationships/image" Target="media/image3.emf"/><Relationship Id="rId16" Type="http://schemas.openxmlformats.org/officeDocument/2006/relationships/oleObject" Target="embeddings/oleObject2.bin"/><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0"/>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42</Pages>
  <Words>13749</Words>
  <Characters>15953</Characters>
  <Lines>0</Lines>
  <Paragraphs>0</Paragraphs>
  <TotalTime>3</TotalTime>
  <ScaleCrop>false</ScaleCrop>
  <LinksUpToDate>false</LinksUpToDate>
  <CharactersWithSpaces>16482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2021-05-10T10:41:00Z</dcterms:created>
  <dc:creator>王明新TIAD</dc:creator>
  <cp:lastModifiedBy>Ly</cp:lastModifiedBy>
  <cp:lastPrinted>2020-07-30T02:37:00Z</cp:lastPrinted>
  <dcterms:modified xsi:type="dcterms:W3CDTF">2022-08-09T11:27:51Z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6A9CA4A0FA2045BAAD7EEEA4A81AE18A</vt:lpwstr>
  </property>
</Properties>
</file>