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成安县辛义乡人民政府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2020年部门预算公开情况说明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按照《中华人民共和国预算法》有关规定和财政部关于印发《地方预决算公开操作规程》的通知，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现将成安县辛义乡人民政府2020年部门预算公开如下：</w:t>
      </w:r>
    </w:p>
    <w:p>
      <w:pPr>
        <w:spacing w:line="600" w:lineRule="exact"/>
        <w:ind w:firstLine="64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一、部门职责及机构设置情况</w:t>
      </w:r>
    </w:p>
    <w:p>
      <w:pPr>
        <w:widowControl/>
        <w:spacing w:line="600" w:lineRule="exact"/>
        <w:ind w:firstLine="643" w:firstLineChars="20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楷体" w:hAnsi="楷体" w:eastAsia="楷体" w:cs="楷体"/>
          <w:b/>
          <w:kern w:val="0"/>
          <w:sz w:val="32"/>
          <w:szCs w:val="32"/>
        </w:rPr>
        <w:t>（一）主要职责及机构设置情况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部门职责：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1、宣传、贯彻党的路线、方针、政策和上级党组织的指示、决定，执行乡党员代表大会决议，讨论决定本乡的重大问题。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2、抓好自身和所属党组织的思想、组织和作风建设。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3、领导乡经济建设，制定本乡经济和社会发展规划并组织实施。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4、领导乡社会主义精神文明和民主法制建设。加强农村社会治安综合治理，贯彻执行党和国家的计划生育政策。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5、领导并支持乡政府依法行使各项行政管理职权。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6、领导人大主席团及经济组织、人民武装和共青团、妇联等人民团体的工作。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7、领导上级有关部门派驻乡单位的党的建设，领导、支持　协调上级有关部门派驻乡单位的工作。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8、完成上级党组织交办的其他任务。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9、促进经济发展，增加农民收入。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10、强化公共服务，着力改善民生。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11、加强社会管理，维护农村稳定。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12、推进基层民主，促进农村和谐。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机构设置：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内设机构及职责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成安县辛义乡人民政府，预算编码是808002，根据上述职能下设5个办公室。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1、党政综合办公室（编制7名，其中：股级职数3名）</w:t>
      </w:r>
    </w:p>
    <w:p>
      <w:pPr>
        <w:spacing w:line="600" w:lineRule="exact"/>
        <w:ind w:firstLine="616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主要职责：负责承办党委、人大、纪检、组织、宣传、统战、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他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2、经济发展办公室（挂城镇乡村建设办公室牌子，编制4名，其中：股级职数2名）</w:t>
      </w:r>
    </w:p>
    <w:p>
      <w:pPr>
        <w:spacing w:line="600" w:lineRule="exact"/>
        <w:ind w:firstLine="572" w:firstLineChars="17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主要职责：负责规划、指导、协调和服务乡村企业及个体企业的发展；指导和管理农业综合服务中心工作；协调与经济发展相关的其他工作。</w:t>
      </w:r>
    </w:p>
    <w:p>
      <w:pPr>
        <w:spacing w:line="600" w:lineRule="exact"/>
        <w:ind w:firstLine="572" w:firstLineChars="17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贯彻执行党和国家有关城镇乡村建设、规划工作的方针、政策及法规；研究制定本乡镇辖区内建设各行业的发展规划；起草乡镇有关建设、规划方面的地方性政策并组织实施。编制城镇及乡村建设资金使用计划安排和资金筹措、管理工作，负责查处乡镇各类违法占地和违法建设行为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社会事务办公室（编制4名，其中：股级职数2名）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主要职责：协调本辖区法庭、公安派出所等执法部门工作；负责司法调解、法律宣传教育、社会治安综合治理、民族宗教、民政、环境保护工作；负责乡村文化广播、卫生院、中小学等事业单位的协调服务工作。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计划生育办公室（编制4名，其中：股级职数2名）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主要职责：认真贯彻党和国家人口和计划生育方针、政策，贯彻落实《中华人民共和国人口与计划生育法》、《河北省人口与计划生育条例》等法律法规。贯彻执行党和国家的计划生育政策，落实人口计划，制定本乡镇的计划生育工作规划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5、综合治理办公室（编制3名，其中：股级职数1名）</w:t>
      </w:r>
    </w:p>
    <w:p>
      <w:pPr>
        <w:spacing w:line="600" w:lineRule="exact"/>
        <w:ind w:firstLine="572" w:firstLineChars="17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职责：负责贯彻执行上级社会治安综合治理机构的工作部署，制定本辖区社会治安综合治理措施的落实，接受群众来访解决本辖区内存在的影响社会安定的重大隐患。控制避免集体访、越级访及重大恶性案件发生，协调督促有关部门开展综合工作。及时向乡镇党委、政府和县综治办报告工作、提出工作建议、反馈有关信息和经验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下设4个事业单位：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1、财政所（编制4名，其中：股级职数2名）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负责编制乡镇财政收支计划，统管乡村财务；负责乡村两级财政性资金使用的监督管理；契税、耕地占用税等财政收入的征收，以及各类涉农财政性补贴资金的发放和管理工作；负责乡镇分税制和统收统支加激励办法的实施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2、农村综合服务中心（编制14名，其中：股级职数3名）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负责农业技术推广及病虫害放治、畜牧业发展和防疫工作，抗旱防涝、打井配套及农田水利基本建设工作；编制、等级、填报各种统计报表，制定村集体财政管理制度，负责村集体资产的清查、登记，农村财务管理及审计，农民负担监督管理，农业承包合同的签订及农业服务工作，负责本乡镇劳动力市场的管理，组织好劳务输出工作；开发农村社区就业岗位，组织实施农村社区就业项目；负责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员及农村养老保险的社会化管理和服务。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3、计划生育服务中心（编制14名，其中股级职数3名）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主要职责：加强培训，提高乡村计生人员的政治和业务素质；负责育龄妇女的普查、妇女病防治、计生服务、四术及协会等项工作。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4、文化宣传服务中心（编制2名，其中：股级职数1名）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主要职责：贯彻执行党和国家关于文化、广播、宣传等工作的方针、政策、法规；综合管理文化艺术事业，组织、协调重大文化艺术活动；负责文化市场的监督管理工作。</w:t>
      </w: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部门机构设置情况</w:t>
      </w:r>
    </w:p>
    <w:p>
      <w:pPr>
        <w:widowControl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655"/>
        <w:gridCol w:w="1769"/>
        <w:gridCol w:w="31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09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16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176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单位规格</w:t>
            </w:r>
          </w:p>
        </w:tc>
        <w:tc>
          <w:tcPr>
            <w:tcW w:w="312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91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成安县辛义乡人民政府</w:t>
            </w:r>
          </w:p>
        </w:tc>
        <w:tc>
          <w:tcPr>
            <w:tcW w:w="1655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行政</w:t>
            </w:r>
          </w:p>
        </w:tc>
        <w:tc>
          <w:tcPr>
            <w:tcW w:w="1769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正科级</w:t>
            </w:r>
          </w:p>
        </w:tc>
        <w:tc>
          <w:tcPr>
            <w:tcW w:w="3123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财政拨款</w:t>
            </w:r>
          </w:p>
        </w:tc>
      </w:tr>
    </w:tbl>
    <w:p>
      <w:pPr>
        <w:spacing w:line="600" w:lineRule="exact"/>
        <w:ind w:firstLine="572" w:firstLineChars="17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经费保障形式包括：财政拨款（行政）、财政性资金基本保证（全额事业）、财政性资金定额或定向补助（差额事业）、财政性资金零补助（自收自支）</w:t>
      </w:r>
    </w:p>
    <w:p>
      <w:pPr>
        <w:spacing w:line="600" w:lineRule="exact"/>
        <w:ind w:firstLine="64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二、部门预算安排的总体情况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60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1、收入说明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2020年预算收入429.35万元，其中：一般公共预算收入429.35万元，政府性基金收入0万元，国有资本经营收入0万元，事业收入0万元，其他收入0万元。</w:t>
      </w:r>
    </w:p>
    <w:p>
      <w:pPr>
        <w:spacing w:line="60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2、支出说明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2020年支出预算429.35万元，其中基本支出262.52万元，包括人员经费和日常公用经费；项目支出166.83万元。</w:t>
      </w:r>
    </w:p>
    <w:p>
      <w:pPr>
        <w:spacing w:line="60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3、比上年增减变化情况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2020年预算收支安排429.35万元，较2019年预算增加214.61万元，其中：基本支出增加47.78万元，主要是财政供养人员增加人员经费调整；项目支出增加166.83万元，主要是乡镇和村级转移支付增加。</w:t>
      </w:r>
    </w:p>
    <w:p>
      <w:pPr>
        <w:autoSpaceDE w:val="0"/>
        <w:autoSpaceDN w:val="0"/>
        <w:adjustRightInd w:val="0"/>
        <w:spacing w:line="600" w:lineRule="exact"/>
        <w:ind w:left="198"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三、机关运行经费安排情况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机关运行经费共计安排27.9万元，主要用于办公区的日常维修、办公用房水电费、邮电费、办公用房取暖费、办公用房物业管理费等日常运行支出。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600" w:lineRule="exact"/>
        <w:ind w:left="198"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ind w:left="19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2020年，我单位“三公”经费预算安排1万元，其中因公出国（境）费0万元,较上年数持平；公务用车购置及运维费1万元（其中：公务用车购置费为0万元，公务用车运行费1万元) ，较上年持平；公务接待费0万元，较上年持平。“三公”经费与上年持平。</w:t>
      </w:r>
    </w:p>
    <w:p>
      <w:pPr>
        <w:autoSpaceDE w:val="0"/>
        <w:autoSpaceDN w:val="0"/>
        <w:adjustRightInd w:val="0"/>
        <w:spacing w:line="600" w:lineRule="exact"/>
        <w:ind w:left="198"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57" w:right="1531" w:bottom="1474" w:left="1531" w:header="851" w:footer="992" w:gutter="0"/>
          <w:cols w:space="0" w:num="1"/>
          <w:docGrid w:type="lines" w:linePitch="312" w:charSpace="0"/>
        </w:sectPr>
      </w:pPr>
    </w:p>
    <w:p>
      <w:pPr>
        <w:spacing w:line="600" w:lineRule="exact"/>
        <w:ind w:firstLine="64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五、绩效预算信息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Toc471398463"/>
      <w:r>
        <w:rPr>
          <w:rFonts w:hint="eastAsia" w:ascii="仿宋" w:hAnsi="仿宋" w:eastAsia="仿宋" w:cs="仿宋"/>
          <w:sz w:val="32"/>
          <w:szCs w:val="32"/>
        </w:rPr>
        <w:t>（一）总体绩效目标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紧扣“乡村振兴”战略，坚定信心、砥砺奋进，持续推进和改善民生，维护社会和谐稳定，提升群众幸福指数。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完成县委对本年度各项考评指标任务。在今年收支预算内，确保完成以下整体目标：目标1：围绕项目建设，突出发展农业经济；目标2：全力推动社会各项事业，促进经济社会协调发展；目标3：巩固农村环境整治工作成果，建设美丽、宜居新镇；目标4：巩固</w:t>
      </w:r>
      <w:r>
        <w:rPr>
          <w:rFonts w:ascii="仿宋_GB2312" w:hAnsi="仿宋_GB2312" w:eastAsia="仿宋_GB2312"/>
          <w:sz w:val="32"/>
        </w:rPr>
        <w:t>精准扶贫</w:t>
      </w:r>
      <w:r>
        <w:rPr>
          <w:rFonts w:hint="eastAsia" w:ascii="仿宋_GB2312" w:hAnsi="仿宋_GB2312" w:eastAsia="仿宋_GB2312"/>
          <w:sz w:val="32"/>
        </w:rPr>
        <w:t>成果，</w:t>
      </w:r>
      <w:r>
        <w:rPr>
          <w:rFonts w:ascii="仿宋_GB2312" w:hAnsi="仿宋_GB2312" w:eastAsia="仿宋_GB2312"/>
          <w:sz w:val="32"/>
        </w:rPr>
        <w:t>全力推进</w:t>
      </w:r>
      <w:r>
        <w:rPr>
          <w:rFonts w:hint="eastAsia" w:ascii="仿宋_GB2312" w:hAnsi="仿宋_GB2312" w:eastAsia="仿宋_GB2312"/>
          <w:sz w:val="32"/>
        </w:rPr>
        <w:t>乡村振兴工作</w:t>
      </w:r>
      <w:r>
        <w:rPr>
          <w:rFonts w:ascii="仿宋_GB2312" w:hAnsi="仿宋_GB2312" w:eastAsia="仿宋_GB2312"/>
          <w:sz w:val="32"/>
        </w:rPr>
        <w:t>。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ascii="仿宋" w:hAnsi="仿宋" w:eastAsia="仿宋" w:cs="仿宋"/>
          <w:sz w:val="32"/>
          <w:szCs w:val="32"/>
        </w:rPr>
        <w:t>分项绩效目标</w:t>
      </w:r>
    </w:p>
    <w:p>
      <w:pPr>
        <w:keepNext/>
        <w:keepLines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1、促进经济发展、增加农民收入职责绩效目标：持续推动乡村经济发展，以壮大村集体经济、促进农民持续增收为目标，大力扶持壮大有机农业种植、肉鸡养殖产业、苗木种植合作组织发展，充分发挥示范引领作用，促进乡域经济发展和农民增收。持续提升贫困群众满意度，巩固脱贫成果、完善防贫机制，扎实有效推进脱贫攻坚工作，困难群众满意度达到95%以上。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2、</w:t>
      </w:r>
      <w:r>
        <w:rPr>
          <w:rFonts w:hint="eastAsia" w:ascii="仿宋_GB2312" w:eastAsia="仿宋_GB2312"/>
          <w:sz w:val="32"/>
          <w:szCs w:val="32"/>
        </w:rPr>
        <w:t>强化公共服务、着力改善民生职责绩效目标：加强农田水利、基础设施建设，做好农村人居环境整治工作，2020年硬化道路不低于3条；做好农村社会保障工作，提升为民服务能力，其中正常工作保障率、惠农补贴落实率达到95%以上。</w:t>
      </w:r>
    </w:p>
    <w:p>
      <w:pPr>
        <w:keepNext/>
        <w:keepLines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707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3、</w:t>
      </w:r>
      <w:r>
        <w:rPr>
          <w:rFonts w:hint="eastAsia" w:ascii="仿宋_GB2312" w:eastAsia="仿宋_GB2312"/>
          <w:sz w:val="32"/>
          <w:szCs w:val="32"/>
        </w:rPr>
        <w:t>加强社会管理、维护农村稳定职责绩效目标：全面贯彻落实党的路线方针政策，抓好疫情防控、大气治理、扫黑除恶、信访稳定、殡葬改革等工作，其中乡辖中小企业环保达标率、秸秆还田率、政策宣传普及率达到95%以上，火化率100%，文明办丧祭祀100%。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推进基层民主、促进农村和谐职责：扎实开展党的主题教育活动，不断加强农村党支部书记、村两委干部、党员干部和优秀青年四支队伍规范化管理和学习教育培训力度，提升党员干部履职尽责能力和综合素质，做好两委换届工作，全年举办各类培训不低于5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，村民满意度达到93%以上，两委换届任务完成率100%。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（三）工作保障措施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1、促进经济发展、增加农民收入：全力推进农业农村全面转型，依托我乡西阳寺有机农业示范园、全自动肉鸡养殖产业，以“村集体+合作社+农户”的形式，促进周边传统种植、养殖业向规模化、产业化方向发展，提高经济发展的质量和水平，新增规模化产业不少于一户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2、强化公共服务、着力改善民生：全力做好农村社会保障工作，确保精准扶贫、耕地地力保护补贴等各项惠农政策精准落实到户，不错一人；不断加强农田水利、基础设施建设，改善农民生产生活环境；优化便民服务流程，通过“一站式”服务、办事代理制等多种形式，努力实现群众小事不出门，大事不出乡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3、加强社会管理、维护农村稳定：全力抓好农村环境卫生整治、大气污染防治、卫片执法等工作，促进农村经济社会的健康、和谐、可持续发展；加强社会治安综合治理，抓细扫黑除恶工作，消除社会不稳定因素，确保人民群众生命财产安全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4、推进基层民主、促进农村和谐：全力加大对党员干部的学习教育培训力度，特别是新任村“两委”干部，提升党员干部履职尽责能力和综合素质。健全完善村务公开制度，切规范民主决策机制，实维护农民合法权益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5、改善生态环境、提升乡风文明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围绕“产业兴旺、生态宜居、乡风文明、治理有效、生活富裕”的目标，推进农村人居环境整治行动，做好垃圾整理，污水处理，村容村貌提升等工作，使农村变得更加生态，更加宜居，村民素质明显提升，村风民俗文明进步，让乡村迸发勃勃生机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147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3402"/>
        <w:gridCol w:w="3402"/>
        <w:gridCol w:w="565"/>
        <w:gridCol w:w="852"/>
        <w:gridCol w:w="737"/>
        <w:gridCol w:w="737"/>
        <w:gridCol w:w="622"/>
        <w:gridCol w:w="115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2" w:type="dxa"/>
          <w:trHeight w:val="90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808成安县辛义乡人民政府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年度预算数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内容描述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绩效目标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绩效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指标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良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促进经济发展、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68.7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制定乡村发展规划，推动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管经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经济人才，及时为农民提供产、供、销等市场信息,发布经济致富信息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进经济发展、增加农民收入职责绩效目标：持续推动乡村经济发展，以壮大村集体经济、促进农民持续增收为目标，大力扶持壮大有机农业种植、肉鸡养殖产业、苗木种植合作组织发展，充分发挥示范引领作用，促进乡域经济发展和农民增收，新增产业不低于2家。持续提升贫困群众满意度，巩固脱贫成果、完善防贫机制，扎实有效推进脱贫攻坚工作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促进经济发展、增加农民收入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≥90%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强化公共服务、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着力改善民生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62.2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服务渠道，改进服务方式，通过“一站式”服务、办事代理制等多种形式，方便群众办事；推进依法行政，严格依法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强对农村劳动力的职业技能培训，做好农村社会保障工作，扩大农村新型合作医疗覆盖面，提高农民参合率，建立健全农村困难群众最底生活保障制度，做好烈军属、五保户养老金的社会化发放和申领资格认证，解除农民后顾之忧；做好育龄妇女普查和生殖健康检查；保证粮食直补，农资直补等各项惠农政策落实到户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强化公共服务、着力改善民生职责绩效目标：加强农田水利、基础设施建设，2020年硬化道路不低于5条；做好农村社会保障工作，提升为民服务能力，其中正常工作保障率、惠农补贴落实率达到95%以上。</w:t>
            </w:r>
          </w:p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强化公共服务、着力改善民生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≥90%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76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76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55.8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76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社会管理、维护农村稳定职责绩效目标：全面贯彻落实党的路线、方针、政策，抓好农村人居环境整治、大气治理、扫黑除恶等工作，加强信访隐患摸排，及时掌握化解矛盾纠纷，其中乡辖中小企业环保达标率、秸秆还田率、政策宣传普及率达到95%以上。</w:t>
            </w:r>
          </w:p>
          <w:p>
            <w:pPr>
              <w:spacing w:line="376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加强社会管理、维护农村稳定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≥90%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推进基层民主、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促进农村和谐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党的领导，保障农民群众的选举权；健全完善村党组织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社会建设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全面贯彻落实党的路线、方针、政策，抓好农村环境卫生整治、扫黑除恶等工作。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推进基层民主、促进农村和谐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≥90%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＜85%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  <w:sectPr>
          <w:pgSz w:w="16838" w:h="23811"/>
          <w:pgMar w:top="1474" w:right="1134" w:bottom="1474" w:left="1134" w:header="851" w:footer="992" w:gutter="0"/>
          <w:cols w:space="0" w:num="1"/>
          <w:docGrid w:type="lines" w:linePitch="315" w:charSpace="0"/>
        </w:sectPr>
      </w:pPr>
    </w:p>
    <w:bookmarkEnd w:id="0"/>
    <w:p>
      <w:pPr>
        <w:tabs>
          <w:tab w:val="left" w:pos="455"/>
        </w:tabs>
        <w:autoSpaceDE w:val="0"/>
        <w:autoSpaceDN w:val="0"/>
        <w:adjustRightInd w:val="0"/>
        <w:spacing w:afterLines="100" w:line="44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六、政府采购预算情况</w:t>
      </w:r>
    </w:p>
    <w:p>
      <w:pPr>
        <w:tabs>
          <w:tab w:val="left" w:pos="455"/>
        </w:tabs>
        <w:autoSpaceDE w:val="0"/>
        <w:autoSpaceDN w:val="0"/>
        <w:adjustRightInd w:val="0"/>
        <w:spacing w:afterLines="100" w:line="440" w:lineRule="exact"/>
        <w:ind w:firstLine="56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2020年我单位安排预算政府采购计算机4台，打印机2台，价值2.6万元</w:t>
      </w:r>
      <w:r>
        <w:rPr>
          <w:rFonts w:hint="eastAsia" w:ascii="黑体" w:hAnsi="黑体" w:eastAsia="黑体" w:cs="楷体"/>
          <w:bCs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margin" w:tblpXSpec="center" w:tblpY="705"/>
        <w:tblOverlap w:val="never"/>
        <w:tblW w:w="125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850"/>
        <w:gridCol w:w="1026"/>
        <w:gridCol w:w="709"/>
        <w:gridCol w:w="567"/>
        <w:gridCol w:w="709"/>
        <w:gridCol w:w="850"/>
        <w:gridCol w:w="959"/>
        <w:gridCol w:w="708"/>
        <w:gridCol w:w="709"/>
        <w:gridCol w:w="709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708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1" w:name="_Toc471398468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部门（单位）名称：辛义乡人民政府</w:t>
            </w:r>
          </w:p>
        </w:tc>
        <w:tc>
          <w:tcPr>
            <w:tcW w:w="549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</w:trPr>
        <w:tc>
          <w:tcPr>
            <w:tcW w:w="2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采购物品名称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政府采购目录序号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数量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数量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单价</w:t>
            </w:r>
          </w:p>
        </w:tc>
        <w:tc>
          <w:tcPr>
            <w:tcW w:w="549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预算资金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总计</w:t>
            </w:r>
          </w:p>
        </w:tc>
        <w:tc>
          <w:tcPr>
            <w:tcW w:w="39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当年部门预算安排资金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合计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一般公共预算拨款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基金预算拨款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财政专户核拨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其他来源收入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　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2.6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2.6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2.6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2.6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日常公用经费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打印机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A0201060199</w:t>
            </w:r>
          </w:p>
        </w:tc>
        <w:tc>
          <w:tcPr>
            <w:tcW w:w="10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0.3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0.6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0.6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0.6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日常公用经费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计算机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A020199</w:t>
            </w:r>
          </w:p>
        </w:tc>
        <w:tc>
          <w:tcPr>
            <w:tcW w:w="10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部门政府采购预算</w:t>
      </w:r>
      <w:bookmarkEnd w:id="1"/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600" w:lineRule="exact"/>
        <w:jc w:val="center"/>
        <w:outlineLvl w:val="0"/>
        <w:rPr>
          <w:rFonts w:ascii="黑体" w:hAnsi="黑体" w:eastAsia="黑体" w:cs="楷体"/>
          <w:bCs/>
          <w:sz w:val="32"/>
          <w:szCs w:val="32"/>
        </w:rPr>
      </w:pPr>
    </w:p>
    <w:p>
      <w:pPr>
        <w:spacing w:beforeLines="120" w:afterLines="50" w:line="40" w:lineRule="exact"/>
        <w:ind w:firstLine="640" w:firstLineChars="200"/>
        <w:jc w:val="left"/>
        <w:outlineLvl w:val="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辛义乡人民政府（含所属单位）上年末固定资产金额为675.308347万元，本年度拟购置固定资产主要为计算机设备、打印机等，已列入政府采购预算。2020年我单位拟购置固定资产2.6万元。详见下表。</w:t>
      </w:r>
    </w:p>
    <w:p>
      <w:pPr>
        <w:spacing w:beforeLines="120" w:afterLines="50" w:line="4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部门固定资产占用情况表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编制部门：成安县辛义乡人民政府             截止时间：2019年12月31日</w:t>
      </w:r>
    </w:p>
    <w:tbl>
      <w:tblPr>
        <w:tblStyle w:val="4"/>
        <w:tblW w:w="10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1795"/>
        <w:gridCol w:w="4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675.308347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3318.6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22.806864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650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208.67281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416.068673</w:t>
            </w:r>
          </w:p>
        </w:tc>
      </w:tr>
    </w:tbl>
    <w:p>
      <w:pPr>
        <w:spacing w:line="6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八、名词解释</w:t>
      </w:r>
    </w:p>
    <w:p>
      <w:pPr>
        <w:pStyle w:val="12"/>
        <w:widowControl/>
        <w:spacing w:line="600" w:lineRule="exact"/>
        <w:ind w:left="1559" w:leftChars="304" w:hanging="921" w:hangingChars="288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1、财政拨款收入：指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财政当年拨付的资金。</w:t>
      </w:r>
    </w:p>
    <w:p>
      <w:pPr>
        <w:pStyle w:val="12"/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pStyle w:val="12"/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3、年初结转和结余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指以前年度尚未完成，结转到本年仍按照原规定用途继续使用的资金，或项目已完成等产生的结余资金。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 </w:t>
      </w:r>
    </w:p>
    <w:p>
      <w:pPr>
        <w:pStyle w:val="12"/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4、基本支出：指单位为了保障其正常运转、完成日常工作任务而发生的人员支出和公用支出。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 </w:t>
      </w:r>
    </w:p>
    <w:p>
      <w:pPr>
        <w:pStyle w:val="12"/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spacing w:line="600" w:lineRule="exact"/>
        <w:ind w:firstLine="640" w:firstLineChars="200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</w:rPr>
        <w:t>九、其它需要说明的事项</w:t>
      </w:r>
    </w:p>
    <w:p>
      <w:pPr>
        <w:tabs>
          <w:tab w:val="left" w:pos="1149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无其它需要说明的事项。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94" w:right="1134" w:bottom="794" w:left="1134" w:header="851" w:footer="992" w:gutter="0"/>
      <w:cols w:space="0" w:num="1"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0FD5"/>
    <w:multiLevelType w:val="singleLevel"/>
    <w:tmpl w:val="586F0FD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325"/>
  <w:displayHorizont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506F"/>
    <w:rsid w:val="0001506F"/>
    <w:rsid w:val="00031438"/>
    <w:rsid w:val="00124C8E"/>
    <w:rsid w:val="0014278F"/>
    <w:rsid w:val="00197237"/>
    <w:rsid w:val="001D6151"/>
    <w:rsid w:val="00206DD8"/>
    <w:rsid w:val="00257AE9"/>
    <w:rsid w:val="00367B30"/>
    <w:rsid w:val="003B4591"/>
    <w:rsid w:val="003E1BEB"/>
    <w:rsid w:val="00467A70"/>
    <w:rsid w:val="004D51AC"/>
    <w:rsid w:val="00580DAE"/>
    <w:rsid w:val="005A2C6B"/>
    <w:rsid w:val="006D4C19"/>
    <w:rsid w:val="00711315"/>
    <w:rsid w:val="007575BD"/>
    <w:rsid w:val="00765F86"/>
    <w:rsid w:val="00790C43"/>
    <w:rsid w:val="007A2D00"/>
    <w:rsid w:val="00800730"/>
    <w:rsid w:val="0080764B"/>
    <w:rsid w:val="008240E5"/>
    <w:rsid w:val="0083687F"/>
    <w:rsid w:val="008C2A71"/>
    <w:rsid w:val="00937D71"/>
    <w:rsid w:val="00A33923"/>
    <w:rsid w:val="00A66355"/>
    <w:rsid w:val="00B47D30"/>
    <w:rsid w:val="00BA3A0F"/>
    <w:rsid w:val="00C069F3"/>
    <w:rsid w:val="00E76C84"/>
    <w:rsid w:val="00EC2A57"/>
    <w:rsid w:val="00EF77C8"/>
    <w:rsid w:val="00F24E1F"/>
    <w:rsid w:val="00FA4683"/>
    <w:rsid w:val="00FA72DD"/>
    <w:rsid w:val="03BF12A4"/>
    <w:rsid w:val="0ADD5DFA"/>
    <w:rsid w:val="0FC066DD"/>
    <w:rsid w:val="124A740C"/>
    <w:rsid w:val="17F82F46"/>
    <w:rsid w:val="1FF66FEA"/>
    <w:rsid w:val="227C0B5E"/>
    <w:rsid w:val="272D2DFB"/>
    <w:rsid w:val="37C7068E"/>
    <w:rsid w:val="460325B9"/>
    <w:rsid w:val="514C3D74"/>
    <w:rsid w:val="57C40667"/>
    <w:rsid w:val="5CB1653A"/>
    <w:rsid w:val="602A4B95"/>
    <w:rsid w:val="644D0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default" w:ascii="方正书宋_GBK" w:hAnsi="方正书宋_GBK" w:eastAsia="方正书宋_GBK" w:cs="方正书宋_GBK"/>
      <w:b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1037</Words>
  <Characters>5917</Characters>
  <Lines>49</Lines>
  <Paragraphs>13</Paragraphs>
  <TotalTime>4</TotalTime>
  <ScaleCrop>false</ScaleCrop>
  <LinksUpToDate>false</LinksUpToDate>
  <CharactersWithSpaces>6941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Wang</cp:lastModifiedBy>
  <dcterms:modified xsi:type="dcterms:W3CDTF">2024-01-18T04:27:19Z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