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仿宋_GB2312"/>
          <w:b/>
          <w:sz w:val="44"/>
          <w:szCs w:val="44"/>
        </w:rPr>
      </w:pPr>
    </w:p>
    <w:p>
      <w:pPr>
        <w:widowControl/>
        <w:spacing w:line="360" w:lineRule="auto"/>
        <w:jc w:val="center"/>
        <w:rPr>
          <w:rFonts w:ascii="宋体" w:hAnsi="宋体" w:cs="仿宋_GB2312"/>
          <w:b/>
          <w:sz w:val="44"/>
          <w:szCs w:val="44"/>
        </w:rPr>
      </w:pPr>
      <w:r>
        <w:rPr>
          <w:rFonts w:hint="eastAsia" w:ascii="宋体" w:hAnsi="宋体" w:cs="仿宋_GB2312"/>
          <w:b/>
          <w:sz w:val="44"/>
          <w:szCs w:val="44"/>
        </w:rPr>
        <w:t>成安县广播电视台2020年部门预算公开</w:t>
      </w:r>
    </w:p>
    <w:p>
      <w:pPr>
        <w:widowControl/>
        <w:spacing w:line="360" w:lineRule="auto"/>
        <w:jc w:val="center"/>
        <w:rPr>
          <w:rFonts w:ascii="宋体" w:hAnsi="宋体" w:cs="仿宋_GB2312"/>
          <w:b/>
          <w:sz w:val="44"/>
          <w:szCs w:val="44"/>
        </w:rPr>
      </w:pPr>
      <w:r>
        <w:rPr>
          <w:rFonts w:hint="eastAsia" w:ascii="宋体" w:hAnsi="宋体" w:cs="仿宋_GB2312"/>
          <w:b/>
          <w:sz w:val="44"/>
          <w:szCs w:val="44"/>
        </w:rPr>
        <w:t>情况说明</w:t>
      </w:r>
    </w:p>
    <w:p>
      <w:pPr>
        <w:widowControl/>
        <w:adjustRightInd w:val="0"/>
        <w:spacing w:line="360" w:lineRule="auto"/>
        <w:ind w:firstLine="640" w:firstLineChars="200"/>
        <w:jc w:val="left"/>
        <w:rPr>
          <w:rFonts w:ascii="仿宋" w:hAnsi="仿宋" w:eastAsia="仿宋" w:cs="仿宋_GB2312"/>
          <w:sz w:val="32"/>
          <w:szCs w:val="32"/>
        </w:rPr>
      </w:pPr>
    </w:p>
    <w:p>
      <w:pPr>
        <w:widowControl/>
        <w:adjustRightInd w:val="0"/>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按照《预算法》有关规定</w:t>
      </w:r>
      <w:r>
        <w:rPr>
          <w:rFonts w:hint="eastAsia" w:ascii="仿宋" w:hAnsi="仿宋" w:eastAsia="仿宋" w:cs="仿宋"/>
          <w:sz w:val="32"/>
          <w:szCs w:val="32"/>
        </w:rPr>
        <w:t>和</w:t>
      </w:r>
      <w:r>
        <w:rPr>
          <w:rFonts w:ascii="仿宋" w:hAnsi="仿宋" w:eastAsia="仿宋" w:cs="仿宋"/>
          <w:sz w:val="32"/>
          <w:szCs w:val="32"/>
        </w:rPr>
        <w:t>财政部关于印发《地方预决算公开操作规程》的通知，现将</w:t>
      </w:r>
      <w:r>
        <w:rPr>
          <w:rFonts w:hint="eastAsia" w:ascii="仿宋" w:hAnsi="仿宋" w:eastAsia="仿宋" w:cs="仿宋"/>
          <w:sz w:val="32"/>
          <w:szCs w:val="32"/>
        </w:rPr>
        <w:t>成安县广播电视台</w:t>
      </w:r>
      <w:r>
        <w:rPr>
          <w:rFonts w:ascii="仿宋" w:hAnsi="仿宋" w:eastAsia="仿宋" w:cs="仿宋"/>
          <w:sz w:val="32"/>
          <w:szCs w:val="32"/>
        </w:rPr>
        <w:t>20</w:t>
      </w:r>
      <w:r>
        <w:rPr>
          <w:rFonts w:hint="eastAsia" w:ascii="仿宋" w:hAnsi="仿宋" w:eastAsia="仿宋" w:cs="仿宋"/>
          <w:sz w:val="32"/>
          <w:szCs w:val="32"/>
        </w:rPr>
        <w:t>20</w:t>
      </w:r>
      <w:r>
        <w:rPr>
          <w:rFonts w:ascii="仿宋" w:hAnsi="仿宋" w:eastAsia="仿宋" w:cs="仿宋"/>
          <w:sz w:val="32"/>
          <w:szCs w:val="32"/>
        </w:rPr>
        <w:t>年部门预算公开如下</w:t>
      </w:r>
      <w:r>
        <w:rPr>
          <w:rFonts w:hint="eastAsia" w:ascii="仿宋" w:hAnsi="仿宋" w:eastAsia="仿宋" w:cs="仿宋"/>
          <w:sz w:val="32"/>
          <w:szCs w:val="32"/>
        </w:rPr>
        <w:t>：</w:t>
      </w:r>
    </w:p>
    <w:p>
      <w:pPr>
        <w:widowControl/>
        <w:adjustRightInd w:val="0"/>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cs="Calibri"/>
          <w:b/>
          <w:kern w:val="0"/>
          <w:sz w:val="32"/>
          <w:szCs w:val="32"/>
        </w:rPr>
        <w:t>部门职责及机构设置情况</w:t>
      </w:r>
    </w:p>
    <w:p>
      <w:pPr>
        <w:ind w:firstLine="640" w:firstLineChars="200"/>
        <w:rPr>
          <w:rFonts w:ascii="仿宋" w:hAnsi="仿宋" w:eastAsia="仿宋" w:cs="仿宋"/>
          <w:sz w:val="32"/>
          <w:szCs w:val="32"/>
        </w:rPr>
      </w:pPr>
      <w:r>
        <w:rPr>
          <w:rFonts w:hint="eastAsia" w:ascii="仿宋" w:hAnsi="仿宋" w:eastAsia="仿宋" w:cs="仿宋"/>
          <w:sz w:val="32"/>
          <w:szCs w:val="32"/>
        </w:rPr>
        <w:t>（一）全面贯彻国家、省、市、县在广播电视工作的路线方针政策和国家的法律法规，把握好舆论导向。深入开展干部作风建设，充分发挥舆论把宣传党的十八大精神作为工作重点，全面贯彻国家、省、市、县在广播电视工作的路线方针政策和国家的法律法规，把握好舆论导向。深入开展干部作风建设，充分发挥舆论喉舌优势,体现中国先进文化前进方向,满足人民群众不断增长的精神业余文化需求，促进全民放思想道德素质和科学文化素质的不断提高，紧紧围绕县委、县政府工作适时开展宣传战役，打好主动仗，不断改进宣传形势，拓展宣传内容，提高宣传质量，增强制作能力，增加播出时段，为全县对外开放，经济建设，社会稳定，计划生育等工作营造良好氛围。</w:t>
      </w:r>
    </w:p>
    <w:p>
      <w:pPr>
        <w:rPr>
          <w:rFonts w:ascii="仿宋" w:hAnsi="仿宋" w:eastAsia="仿宋" w:cs="仿宋"/>
          <w:sz w:val="32"/>
          <w:szCs w:val="32"/>
        </w:rPr>
      </w:pPr>
      <w:r>
        <w:rPr>
          <w:rFonts w:hint="eastAsia" w:ascii="仿宋" w:hAnsi="仿宋" w:eastAsia="仿宋" w:cs="仿宋"/>
          <w:sz w:val="32"/>
          <w:szCs w:val="32"/>
        </w:rPr>
        <w:t>　　（二）组织和指导全县广播电视宣传及节目制作，组织审查在广播电视播出的电影、电视剧及其它节目的内容和质量，监督管理全县广播电视节目播出，通过网络向公众传播视听节目。管理全县电视市场及用于全县播出机构广播电视节目的进口并负责内容审核工作。</w:t>
      </w:r>
    </w:p>
    <w:p>
      <w:pPr>
        <w:ind w:firstLine="640" w:firstLineChars="200"/>
        <w:rPr>
          <w:rFonts w:ascii="仿宋" w:hAnsi="仿宋" w:eastAsia="仿宋" w:cs="仿宋"/>
          <w:sz w:val="32"/>
          <w:szCs w:val="32"/>
        </w:rPr>
      </w:pPr>
      <w:r>
        <w:rPr>
          <w:rFonts w:hint="eastAsia" w:ascii="仿宋" w:hAnsi="仿宋" w:eastAsia="仿宋" w:cs="仿宋"/>
          <w:sz w:val="32"/>
          <w:szCs w:val="32"/>
        </w:rPr>
        <w:t>（三）贯彻实施国家省、市有关广播电视事业的政策法规，并依法监督检查执行制订全县广播电视事业发展目标和规划，促进广播电视事业的发展和繁荣。　　</w:t>
      </w:r>
    </w:p>
    <w:p>
      <w:pPr>
        <w:ind w:firstLine="570"/>
        <w:rPr>
          <w:rFonts w:ascii="仿宋" w:hAnsi="仿宋" w:eastAsia="仿宋" w:cs="仿宋"/>
          <w:sz w:val="32"/>
          <w:szCs w:val="32"/>
        </w:rPr>
      </w:pPr>
      <w:r>
        <w:rPr>
          <w:rFonts w:hint="eastAsia" w:ascii="仿宋" w:hAnsi="仿宋" w:eastAsia="仿宋" w:cs="仿宋"/>
          <w:sz w:val="32"/>
          <w:szCs w:val="32"/>
        </w:rPr>
        <w:t>（四）根据国家的统筹规划、宏观政策和法律、法规，对全县广播电视专用网进行具体规划，并管理贯彻落实广播电视专用设备网络的具体法律、法规，规章、政策和技术标准，保证广播电视节目的安全播出，参与制定全县信息网络的总体规划。组织制定相应的政策和措施，研究和推进全县广播电视系统内部管理体制改革，负责全县广播电视队伍建设，按照广播电视事业发展的需要，有计划、多层次地培养各种专业人才。</w:t>
      </w:r>
    </w:p>
    <w:p>
      <w:pPr>
        <w:ind w:firstLine="570"/>
        <w:rPr>
          <w:rFonts w:ascii="仿宋" w:hAnsi="仿宋" w:eastAsia="仿宋" w:cs="仿宋"/>
          <w:sz w:val="32"/>
          <w:szCs w:val="32"/>
        </w:rPr>
      </w:pPr>
      <w:r>
        <w:rPr>
          <w:rFonts w:hint="eastAsia" w:ascii="仿宋" w:hAnsi="仿宋" w:eastAsia="仿宋" w:cs="仿宋"/>
          <w:sz w:val="32"/>
          <w:szCs w:val="32"/>
        </w:rPr>
        <w:t>（五）继续坚持以人民群众利益为根本努力,为广大群众排忧,解难,为广大群众生产,生活服务。进一步改进拓展新的节目形势,探求鲜活的，生动的群众喜爱并易于接受的传播方式，强化新闻传播的亲和力，感染力和穿透力。</w:t>
      </w:r>
    </w:p>
    <w:p>
      <w:pPr>
        <w:ind w:firstLine="570"/>
        <w:rPr>
          <w:rFonts w:ascii="仿宋" w:hAnsi="仿宋" w:eastAsia="仿宋" w:cs="仿宋"/>
          <w:sz w:val="32"/>
          <w:szCs w:val="32"/>
        </w:rPr>
      </w:pPr>
      <w:r>
        <w:rPr>
          <w:rFonts w:hint="eastAsia" w:ascii="仿宋" w:hAnsi="仿宋" w:eastAsia="仿宋" w:cs="仿宋"/>
          <w:sz w:val="32"/>
          <w:szCs w:val="32"/>
        </w:rPr>
        <w:t>（六）建立安全播出运行管理系统，及时掌握重点播出资源，播出状态，播出效果等重要信息，重点播出系统必须建立系统级备份，确保运行安全。</w:t>
      </w:r>
    </w:p>
    <w:p>
      <w:pPr>
        <w:widowControl/>
        <w:spacing w:line="360" w:lineRule="auto"/>
        <w:ind w:firstLine="640" w:firstLineChars="200"/>
        <w:jc w:val="left"/>
        <w:rPr>
          <w:rFonts w:ascii="楷体" w:hAnsi="楷体" w:eastAsia="楷体" w:cs="仿宋"/>
          <w:b/>
          <w:kern w:val="0"/>
          <w:sz w:val="32"/>
          <w:szCs w:val="32"/>
        </w:rPr>
      </w:pPr>
      <w:r>
        <w:rPr>
          <w:rFonts w:hint="eastAsia" w:ascii="楷体" w:hAnsi="楷体" w:eastAsia="楷体" w:cs="仿宋"/>
          <w:b/>
          <w:kern w:val="0"/>
          <w:sz w:val="32"/>
          <w:szCs w:val="32"/>
        </w:rPr>
        <w:t>内设机构及职责</w:t>
      </w:r>
    </w:p>
    <w:p>
      <w:pPr>
        <w:autoSpaceDE w:val="0"/>
        <w:autoSpaceDN w:val="0"/>
        <w:adjustRightInd w:val="0"/>
        <w:ind w:firstLine="640" w:firstLineChars="200"/>
        <w:jc w:val="left"/>
        <w:rPr>
          <w:rFonts w:ascii="楷体" w:hAnsi="楷体" w:eastAsia="楷体" w:cs="Times New Roman"/>
          <w:b/>
          <w:bCs/>
          <w:sz w:val="32"/>
          <w:szCs w:val="32"/>
        </w:rPr>
      </w:pPr>
      <w:r>
        <w:rPr>
          <w:rFonts w:hint="eastAsia" w:ascii="楷体" w:hAnsi="楷体" w:eastAsia="楷体"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成安县广播电视台</w:t>
            </w:r>
          </w:p>
        </w:tc>
        <w:tc>
          <w:tcPr>
            <w:tcW w:w="1134"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正科级</w:t>
            </w:r>
          </w:p>
        </w:tc>
        <w:tc>
          <w:tcPr>
            <w:tcW w:w="2902"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财政性资金零补助（自收自支）</w:t>
            </w:r>
          </w:p>
        </w:tc>
      </w:tr>
    </w:tbl>
    <w:p>
      <w:pPr>
        <w:widowControl/>
        <w:spacing w:line="360" w:lineRule="auto"/>
        <w:ind w:firstLine="640" w:firstLineChars="200"/>
        <w:jc w:val="left"/>
        <w:rPr>
          <w:rFonts w:ascii="仿宋" w:hAnsi="仿宋" w:eastAsia="仿宋" w:cs="仿宋"/>
          <w:b/>
          <w:kern w:val="0"/>
          <w:sz w:val="32"/>
          <w:szCs w:val="32"/>
        </w:rPr>
      </w:pP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　　成安县广播电视台，预算编码是359002，内设3个内部机构。</w:t>
      </w:r>
    </w:p>
    <w:p>
      <w:pPr>
        <w:widowControl/>
        <w:spacing w:line="360" w:lineRule="auto"/>
        <w:ind w:left="420" w:leftChars="200"/>
        <w:jc w:val="left"/>
        <w:rPr>
          <w:rFonts w:ascii="仿宋" w:hAnsi="仿宋" w:eastAsia="仿宋" w:cs="仿宋"/>
          <w:bCs/>
          <w:kern w:val="0"/>
          <w:sz w:val="32"/>
          <w:szCs w:val="32"/>
        </w:rPr>
      </w:pPr>
      <w:r>
        <w:rPr>
          <w:rFonts w:hint="eastAsia" w:ascii="仿宋" w:hAnsi="仿宋" w:eastAsia="仿宋" w:cs="仿宋"/>
          <w:bCs/>
          <w:kern w:val="0"/>
          <w:sz w:val="32"/>
          <w:szCs w:val="32"/>
        </w:rPr>
        <w:t>　1、办公室</w:t>
      </w:r>
    </w:p>
    <w:p>
      <w:pPr>
        <w:widowControl/>
        <w:spacing w:line="360" w:lineRule="auto"/>
        <w:ind w:firstLine="640" w:firstLineChars="200"/>
        <w:jc w:val="left"/>
        <w:rPr>
          <w:rFonts w:ascii="仿宋" w:hAnsi="仿宋" w:eastAsia="仿宋" w:cs="仿宋"/>
          <w:bCs/>
          <w:sz w:val="32"/>
          <w:szCs w:val="32"/>
        </w:rPr>
      </w:pPr>
      <w:r>
        <w:rPr>
          <w:rFonts w:hint="eastAsia" w:ascii="仿宋" w:hAnsi="仿宋" w:eastAsia="仿宋" w:cs="仿宋"/>
          <w:bCs/>
          <w:kern w:val="0"/>
          <w:sz w:val="32"/>
          <w:szCs w:val="32"/>
        </w:rPr>
        <w:t>主要负责：</w:t>
      </w:r>
      <w:r>
        <w:rPr>
          <w:rFonts w:hint="eastAsia" w:ascii="仿宋" w:hAnsi="仿宋" w:eastAsia="仿宋" w:cs="仿宋"/>
          <w:bCs/>
          <w:sz w:val="32"/>
          <w:szCs w:val="32"/>
        </w:rPr>
        <w:t>负责机关日常事务工作。负责党建工作；负责工建工作；负责团建工作；做好人才引进、培养工作，为各类人才提供工资晋升、职称评定等服务。</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2、新闻部</w:t>
      </w:r>
    </w:p>
    <w:p>
      <w:pPr>
        <w:widowControl/>
        <w:spacing w:line="450" w:lineRule="atLeast"/>
        <w:ind w:firstLine="640" w:firstLineChars="200"/>
        <w:rPr>
          <w:rFonts w:ascii="仿宋" w:hAnsi="仿宋" w:eastAsia="仿宋" w:cs="仿宋"/>
          <w:color w:val="000000"/>
          <w:sz w:val="32"/>
          <w:szCs w:val="32"/>
        </w:rPr>
      </w:pPr>
      <w:r>
        <w:rPr>
          <w:rFonts w:hint="eastAsia" w:ascii="仿宋" w:hAnsi="仿宋" w:eastAsia="仿宋" w:cs="仿宋"/>
          <w:bCs/>
          <w:sz w:val="32"/>
          <w:szCs w:val="32"/>
        </w:rPr>
        <w:t>主要负责：</w:t>
      </w:r>
      <w:r>
        <w:rPr>
          <w:rFonts w:hint="eastAsia" w:ascii="仿宋" w:hAnsi="仿宋" w:eastAsia="仿宋" w:cs="仿宋"/>
          <w:color w:val="000000"/>
          <w:sz w:val="32"/>
          <w:szCs w:val="32"/>
        </w:rPr>
        <w:t>围绕全县中心工作，精心策划重点报道；尤其是组织好系列报道和民生新闻，增加新闻的可视性。负责外宣和创优工作；负责新闻档案（包括图像、文稿等新闻资料）的收集、整理、建档工作。</w:t>
      </w:r>
    </w:p>
    <w:p>
      <w:pPr>
        <w:widowControl/>
        <w:spacing w:line="360" w:lineRule="auto"/>
        <w:ind w:firstLine="800" w:firstLineChars="250"/>
        <w:jc w:val="left"/>
        <w:rPr>
          <w:rFonts w:ascii="仿宋" w:hAnsi="仿宋" w:eastAsia="仿宋" w:cs="仿宋"/>
          <w:bCs/>
          <w:kern w:val="0"/>
          <w:sz w:val="32"/>
          <w:szCs w:val="32"/>
        </w:rPr>
      </w:pPr>
      <w:r>
        <w:rPr>
          <w:rFonts w:hint="eastAsia" w:ascii="仿宋" w:hAnsi="仿宋" w:eastAsia="仿宋" w:cs="仿宋"/>
          <w:bCs/>
          <w:kern w:val="0"/>
          <w:sz w:val="32"/>
          <w:szCs w:val="32"/>
        </w:rPr>
        <w:t>3、电影院</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主要负责：必须听从单位安排，严格执行单位制定的放映任务。完成家村公益性电影放映场次的任务。</w:t>
      </w:r>
    </w:p>
    <w:p>
      <w:pPr>
        <w:widowControl/>
        <w:spacing w:line="360" w:lineRule="auto"/>
        <w:ind w:firstLine="800" w:firstLineChars="250"/>
        <w:jc w:val="left"/>
        <w:rPr>
          <w:rFonts w:ascii="楷体" w:hAnsi="楷体" w:eastAsia="楷体" w:cs="Calibri"/>
          <w:b/>
          <w:kern w:val="0"/>
          <w:sz w:val="32"/>
          <w:szCs w:val="32"/>
        </w:rPr>
      </w:pPr>
      <w:r>
        <w:rPr>
          <w:rFonts w:hint="eastAsia" w:ascii="楷体" w:hAnsi="楷体" w:eastAsia="楷体" w:cs="Calibri"/>
          <w:b/>
          <w:kern w:val="0"/>
          <w:sz w:val="32"/>
          <w:szCs w:val="32"/>
        </w:rPr>
        <w:t>人员编制和领导职数</w:t>
      </w:r>
    </w:p>
    <w:p>
      <w:pPr>
        <w:widowControl/>
        <w:spacing w:line="360" w:lineRule="auto"/>
        <w:ind w:firstLine="800" w:firstLineChars="250"/>
        <w:jc w:val="left"/>
        <w:rPr>
          <w:rFonts w:ascii="仿宋" w:hAnsi="仿宋" w:eastAsia="仿宋" w:cs="仿宋"/>
          <w:bCs/>
          <w:kern w:val="0"/>
          <w:sz w:val="32"/>
          <w:szCs w:val="32"/>
        </w:rPr>
      </w:pPr>
      <w:r>
        <w:rPr>
          <w:rFonts w:hint="eastAsia" w:ascii="仿宋" w:hAnsi="仿宋" w:eastAsia="仿宋" w:cs="仿宋"/>
          <w:bCs/>
          <w:kern w:val="0"/>
          <w:sz w:val="32"/>
          <w:szCs w:val="32"/>
        </w:rPr>
        <w:t>成安县广播电视台，人员编制6名，其中领导职数2个。</w:t>
      </w:r>
    </w:p>
    <w:p>
      <w:pPr>
        <w:widowControl/>
        <w:spacing w:line="360" w:lineRule="auto"/>
        <w:ind w:firstLine="640" w:firstLineChars="200"/>
        <w:jc w:val="left"/>
        <w:rPr>
          <w:rFonts w:ascii="黑体" w:hAnsi="黑体" w:eastAsia="黑体" w:cs="仿宋"/>
          <w:bCs/>
          <w:kern w:val="0"/>
          <w:sz w:val="32"/>
          <w:szCs w:val="32"/>
        </w:rPr>
      </w:pPr>
      <w:r>
        <w:rPr>
          <w:rFonts w:hint="eastAsia" w:ascii="黑体" w:hAnsi="黑体" w:eastAsia="黑体" w:cs="仿宋"/>
          <w:bCs/>
          <w:kern w:val="0"/>
          <w:sz w:val="32"/>
          <w:szCs w:val="32"/>
        </w:rPr>
        <w:t>二、</w:t>
      </w:r>
      <w:r>
        <w:rPr>
          <w:rFonts w:hint="eastAsia" w:ascii="黑体" w:hAnsi="黑体" w:eastAsia="黑体" w:cs="仿宋_GB2312"/>
          <w:kern w:val="0"/>
          <w:sz w:val="32"/>
          <w:szCs w:val="32"/>
        </w:rPr>
        <w:t>部门预算安排总体情况</w:t>
      </w:r>
    </w:p>
    <w:p>
      <w:pPr>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firstLineChars="20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年预算收入285.36万元，其中：一般公共预算收入285.36万元，政府性基金收入0万元，国有资本经营收入0万元，事业收入0万元，其他收入0万元。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ind w:firstLine="480" w:firstLineChars="15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年支出预算285.36万元，其中基本支出249.4万元，包括人员经费196.40万元、日常公用经费53万元；项目支出35.96万元，主要为</w:t>
      </w:r>
      <w:r>
        <w:rPr>
          <w:rFonts w:hint="eastAsia" w:ascii="仿宋" w:hAnsi="仿宋" w:eastAsia="仿宋" w:cs="宋体"/>
          <w:kern w:val="0"/>
          <w:sz w:val="32"/>
          <w:szCs w:val="32"/>
        </w:rPr>
        <w:t>新闻出版广播影视</w:t>
      </w:r>
      <w:r>
        <w:rPr>
          <w:rFonts w:hint="eastAsia" w:ascii="仿宋" w:hAnsi="仿宋" w:eastAsia="仿宋" w:cs="方正仿宋_GBK"/>
          <w:sz w:val="32"/>
          <w:szCs w:val="32"/>
        </w:rPr>
        <w:t>支出等。</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widowControl/>
        <w:spacing w:line="360" w:lineRule="auto"/>
        <w:ind w:firstLine="640" w:firstLineChars="200"/>
        <w:jc w:val="left"/>
        <w:rPr>
          <w:rFonts w:ascii="仿宋" w:hAnsi="仿宋" w:eastAsia="仿宋" w:cs="Calibri"/>
          <w:kern w:val="0"/>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年预算收支安排285.36万元，较</w:t>
      </w: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年预算减少12.88万元，其中：基本支出减少12.88万元，</w:t>
      </w:r>
      <w:r>
        <w:rPr>
          <w:rFonts w:hint="eastAsia" w:ascii="仿宋" w:hAnsi="仿宋" w:eastAsia="仿宋" w:cs="仿宋_GB2312"/>
          <w:kern w:val="0"/>
          <w:sz w:val="32"/>
          <w:szCs w:val="32"/>
        </w:rPr>
        <w:t>主要是有退休人员减少人员支出</w:t>
      </w:r>
      <w:r>
        <w:rPr>
          <w:rFonts w:hint="eastAsia" w:ascii="仿宋" w:hAnsi="仿宋" w:eastAsia="仿宋" w:cs="Calibri"/>
          <w:kern w:val="0"/>
          <w:sz w:val="32"/>
          <w:szCs w:val="32"/>
        </w:rPr>
        <w:t>。</w:t>
      </w:r>
    </w:p>
    <w:p>
      <w:pPr>
        <w:widowControl/>
        <w:spacing w:line="360" w:lineRule="auto"/>
        <w:ind w:firstLine="640" w:firstLineChars="200"/>
        <w:jc w:val="left"/>
        <w:rPr>
          <w:rFonts w:ascii="黑体" w:hAnsi="黑体" w:eastAsia="黑体" w:cs="仿宋_GB2312"/>
          <w:kern w:val="0"/>
          <w:sz w:val="32"/>
          <w:szCs w:val="32"/>
        </w:rPr>
      </w:pPr>
      <w:r>
        <w:rPr>
          <w:rFonts w:hint="eastAsia" w:ascii="黑体" w:hAnsi="黑体" w:eastAsia="黑体" w:cs="Calibri"/>
          <w:kern w:val="0"/>
          <w:sz w:val="32"/>
          <w:szCs w:val="32"/>
        </w:rPr>
        <w:t>三、</w:t>
      </w:r>
      <w:r>
        <w:rPr>
          <w:rFonts w:hint="eastAsia" w:ascii="黑体" w:hAnsi="黑体" w:eastAsia="黑体" w:cs="仿宋_GB2312"/>
          <w:kern w:val="0"/>
          <w:sz w:val="32"/>
          <w:szCs w:val="32"/>
        </w:rPr>
        <w:t>机关运行经费安排情况</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方正仿宋_GBK"/>
          <w:sz w:val="32"/>
          <w:szCs w:val="32"/>
        </w:rPr>
        <w:t>机关运行经费共计安排53万元，主要用于办公区的日常维修、办公用房水电费、邮电费、办公用房取暖费、办公用房物业管理费等日常运行支出。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sz w:val="32"/>
          <w:szCs w:val="32"/>
        </w:rPr>
        <w:t>四、财政拨款“三公”经费预算情况及增减变化原因</w:t>
      </w:r>
    </w:p>
    <w:p>
      <w:pPr>
        <w:autoSpaceDE w:val="0"/>
        <w:autoSpaceDN w:val="0"/>
        <w:adjustRightInd w:val="0"/>
        <w:spacing w:line="560" w:lineRule="exact"/>
        <w:ind w:left="198" w:firstLine="640" w:firstLineChars="20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年，我单位</w:t>
      </w:r>
      <w:r>
        <w:rPr>
          <w:rFonts w:hint="eastAsia" w:ascii="仿宋" w:hAnsi="仿宋" w:eastAsia="仿宋" w:cs="Times New Roman"/>
          <w:sz w:val="32"/>
          <w:szCs w:val="32"/>
        </w:rPr>
        <w:t>“</w:t>
      </w:r>
      <w:r>
        <w:rPr>
          <w:rFonts w:hint="eastAsia" w:ascii="仿宋" w:hAnsi="仿宋" w:eastAsia="仿宋" w:cs="方正仿宋_GBK"/>
          <w:sz w:val="32"/>
          <w:szCs w:val="32"/>
        </w:rPr>
        <w:t>三公</w:t>
      </w:r>
      <w:r>
        <w:rPr>
          <w:rFonts w:hint="eastAsia" w:ascii="仿宋" w:hAnsi="仿宋" w:eastAsia="仿宋" w:cs="Times New Roman"/>
          <w:sz w:val="32"/>
          <w:szCs w:val="32"/>
        </w:rPr>
        <w:t>”</w:t>
      </w:r>
      <w:r>
        <w:rPr>
          <w:rFonts w:hint="eastAsia" w:ascii="仿宋" w:hAnsi="仿宋" w:eastAsia="仿宋" w:cs="方正仿宋_GBK"/>
          <w:sz w:val="32"/>
          <w:szCs w:val="32"/>
        </w:rPr>
        <w:t>经费预算安排4万元，其中因公出国（境）费0万元；公务用车购置及运维费4万元（其中：公务用车购置费为0万元，公务用车运行费4万元</w:t>
      </w:r>
      <w:r>
        <w:rPr>
          <w:rFonts w:ascii="仿宋" w:hAnsi="仿宋" w:eastAsia="仿宋" w:cs="Times New Roman"/>
          <w:sz w:val="32"/>
          <w:szCs w:val="32"/>
        </w:rPr>
        <w:t>)</w:t>
      </w:r>
      <w:r>
        <w:rPr>
          <w:rFonts w:hint="eastAsia" w:ascii="仿宋" w:hAnsi="仿宋" w:eastAsia="仿宋" w:cs="方正仿宋_GBK"/>
          <w:sz w:val="32"/>
          <w:szCs w:val="32"/>
        </w:rPr>
        <w:t>；公务接待费0万元。</w:t>
      </w:r>
      <w:r>
        <w:rPr>
          <w:rFonts w:hint="eastAsia" w:ascii="仿宋" w:hAnsi="仿宋" w:eastAsia="仿宋" w:cs="方正仿宋_GBK"/>
          <w:sz w:val="32"/>
          <w:szCs w:val="32"/>
          <w:lang w:val="en-US" w:eastAsia="zh-CN"/>
        </w:rPr>
        <w:t>2020年</w:t>
      </w:r>
      <w:r>
        <w:rPr>
          <w:rFonts w:hint="eastAsia" w:ascii="仿宋" w:hAnsi="仿宋" w:eastAsia="仿宋" w:cs="方正仿宋_GBK"/>
          <w:sz w:val="32"/>
          <w:szCs w:val="32"/>
          <w:lang w:eastAsia="zh-CN"/>
        </w:rPr>
        <w:t>因公出国（境）费较</w:t>
      </w:r>
      <w:r>
        <w:rPr>
          <w:rFonts w:hint="eastAsia" w:ascii="仿宋" w:hAnsi="仿宋" w:eastAsia="仿宋" w:cs="方正仿宋_GBK"/>
          <w:sz w:val="32"/>
          <w:szCs w:val="32"/>
          <w:lang w:val="en-US" w:eastAsia="zh-CN"/>
        </w:rPr>
        <w:t>2019年持平；公务接待费较2019年持平；公务用车购置及运维费较</w:t>
      </w: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年减少1万元，减少20%，主要是公车改革成效显著。</w:t>
      </w:r>
    </w:p>
    <w:p>
      <w:pPr>
        <w:spacing w:line="560" w:lineRule="exact"/>
        <w:ind w:firstLine="640"/>
        <w:rPr>
          <w:rFonts w:ascii="黑体" w:hAnsi="黑体" w:eastAsia="黑体" w:cs="Times New Roman"/>
          <w:sz w:val="32"/>
          <w:szCs w:val="32"/>
        </w:rPr>
      </w:pPr>
      <w:r>
        <w:rPr>
          <w:rFonts w:hint="eastAsia" w:ascii="黑体" w:hAnsi="黑体" w:eastAsia="黑体"/>
          <w:sz w:val="32"/>
          <w:szCs w:val="32"/>
        </w:rPr>
        <w:t>五、绩效预算信息</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一、年度发展规划目标</w:t>
      </w:r>
    </w:p>
    <w:p>
      <w:pPr>
        <w:spacing w:line="360" w:lineRule="auto"/>
        <w:ind w:firstLine="600" w:firstLineChars="200"/>
        <w:rPr>
          <w:rFonts w:ascii="楷体" w:hAnsi="楷体" w:eastAsia="楷体" w:cs="楷体"/>
          <w:b/>
          <w:sz w:val="30"/>
          <w:szCs w:val="30"/>
        </w:rPr>
      </w:pPr>
      <w:r>
        <w:rPr>
          <w:rFonts w:hint="eastAsia" w:ascii="楷体" w:hAnsi="楷体" w:eastAsia="楷体" w:cs="楷体"/>
          <w:b/>
          <w:sz w:val="30"/>
          <w:szCs w:val="30"/>
        </w:rPr>
        <w:t>（一）总体目标</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出。</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二、部门职责分项绩效目标</w:t>
      </w:r>
    </w:p>
    <w:p>
      <w:pPr>
        <w:spacing w:line="360" w:lineRule="auto"/>
        <w:ind w:firstLine="640" w:firstLineChars="200"/>
        <w:rPr>
          <w:rFonts w:hint="eastAsia" w:ascii="华文楷体" w:hAnsi="华文楷体" w:eastAsia="华文楷体"/>
          <w:b/>
          <w:sz w:val="32"/>
          <w:szCs w:val="32"/>
        </w:rPr>
      </w:pPr>
      <w:r>
        <w:rPr>
          <w:rFonts w:hint="eastAsia" w:ascii="华文楷体" w:hAnsi="华文楷体" w:eastAsia="华文楷体"/>
          <w:b/>
          <w:sz w:val="32"/>
          <w:szCs w:val="32"/>
        </w:rPr>
        <w:t>（一）广播电视事业建设绩效目标</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绩效目标：做好广播电视节目制作、宣传、采访报道工作。提升自办节目生产质量、增加广播电视市场份额，推进广播电视精品创优。</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绩效指标：1.时政新闻专栏开播数量达到</w:t>
      </w:r>
      <w:r>
        <w:rPr>
          <w:rFonts w:hint="eastAsia" w:ascii="仿宋" w:hAnsi="仿宋" w:eastAsia="仿宋"/>
          <w:sz w:val="30"/>
          <w:szCs w:val="30"/>
          <w:lang w:val="en-US" w:eastAsia="zh-CN"/>
        </w:rPr>
        <w:t>17</w:t>
      </w:r>
      <w:r>
        <w:rPr>
          <w:rFonts w:hint="eastAsia" w:ascii="仿宋" w:hAnsi="仿宋" w:eastAsia="仿宋"/>
          <w:sz w:val="30"/>
          <w:szCs w:val="30"/>
        </w:rPr>
        <w:t>个以上，时政节目总时长达到</w:t>
      </w:r>
      <w:r>
        <w:rPr>
          <w:rFonts w:hint="eastAsia" w:ascii="仿宋" w:hAnsi="仿宋" w:eastAsia="仿宋"/>
          <w:sz w:val="30"/>
          <w:szCs w:val="30"/>
          <w:lang w:val="en-US" w:eastAsia="zh-CN"/>
        </w:rPr>
        <w:t>1800</w:t>
      </w:r>
      <w:r>
        <w:rPr>
          <w:rFonts w:hint="eastAsia" w:ascii="仿宋" w:hAnsi="仿宋" w:eastAsia="仿宋"/>
          <w:sz w:val="30"/>
          <w:szCs w:val="30"/>
        </w:rPr>
        <w:t>分钟以上。2.深入开展广播电视宣传报道，不断提升节目生产质量，广播电视自办节目总时长突破1</w:t>
      </w:r>
      <w:r>
        <w:rPr>
          <w:rFonts w:hint="eastAsia" w:ascii="仿宋" w:hAnsi="仿宋" w:eastAsia="仿宋"/>
          <w:sz w:val="30"/>
          <w:szCs w:val="30"/>
          <w:lang w:val="en-US" w:eastAsia="zh-CN"/>
        </w:rPr>
        <w:t>3000</w:t>
      </w:r>
      <w:r>
        <w:rPr>
          <w:rFonts w:hint="eastAsia" w:ascii="仿宋" w:hAnsi="仿宋" w:eastAsia="仿宋"/>
          <w:sz w:val="30"/>
          <w:szCs w:val="30"/>
        </w:rPr>
        <w:t>小时，自办节目总数突破</w:t>
      </w:r>
      <w:r>
        <w:rPr>
          <w:rFonts w:hint="eastAsia" w:ascii="仿宋" w:hAnsi="仿宋" w:eastAsia="仿宋"/>
          <w:sz w:val="30"/>
          <w:szCs w:val="30"/>
          <w:lang w:val="en-US" w:eastAsia="zh-CN"/>
        </w:rPr>
        <w:t>24</w:t>
      </w:r>
      <w:r>
        <w:rPr>
          <w:rFonts w:hint="eastAsia" w:ascii="仿宋" w:hAnsi="仿宋" w:eastAsia="仿宋"/>
          <w:sz w:val="30"/>
          <w:szCs w:val="30"/>
        </w:rPr>
        <w:t>个，电视收视率同比增长</w:t>
      </w:r>
      <w:r>
        <w:rPr>
          <w:rFonts w:hint="eastAsia" w:ascii="仿宋" w:hAnsi="仿宋" w:eastAsia="仿宋"/>
          <w:sz w:val="30"/>
          <w:szCs w:val="30"/>
          <w:lang w:val="en-US" w:eastAsia="zh-CN"/>
        </w:rPr>
        <w:t>8</w:t>
      </w:r>
      <w:r>
        <w:rPr>
          <w:rFonts w:hint="eastAsia" w:ascii="仿宋" w:hAnsi="仿宋" w:eastAsia="仿宋"/>
          <w:sz w:val="30"/>
          <w:szCs w:val="30"/>
        </w:rPr>
        <w:t>%，广播市场份额突破</w:t>
      </w:r>
      <w:r>
        <w:rPr>
          <w:rFonts w:hint="eastAsia" w:ascii="仿宋" w:hAnsi="仿宋" w:eastAsia="仿宋"/>
          <w:sz w:val="30"/>
          <w:szCs w:val="30"/>
          <w:lang w:val="en-US" w:eastAsia="zh-CN"/>
        </w:rPr>
        <w:t>6</w:t>
      </w:r>
      <w:r>
        <w:rPr>
          <w:rFonts w:hint="eastAsia" w:ascii="仿宋" w:hAnsi="仿宋" w:eastAsia="仿宋"/>
          <w:sz w:val="30"/>
          <w:szCs w:val="30"/>
        </w:rPr>
        <w:t>0%。</w:t>
      </w:r>
    </w:p>
    <w:p>
      <w:pPr>
        <w:spacing w:line="360" w:lineRule="auto"/>
        <w:ind w:firstLine="640" w:firstLineChars="200"/>
        <w:rPr>
          <w:rFonts w:hint="eastAsia" w:ascii="华文楷体" w:hAnsi="华文楷体" w:eastAsia="华文楷体"/>
          <w:b/>
          <w:sz w:val="32"/>
          <w:szCs w:val="32"/>
        </w:rPr>
      </w:pPr>
      <w:r>
        <w:rPr>
          <w:rFonts w:hint="eastAsia" w:ascii="华文楷体" w:hAnsi="华文楷体" w:eastAsia="华文楷体"/>
          <w:b/>
          <w:sz w:val="32"/>
          <w:szCs w:val="32"/>
        </w:rPr>
        <w:t>（二）广播电视产业建设绩效目标</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绩效目标：深度推进媒体融合发展。</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指标：由传统广播电视的“视听传播”向“综合服务”理念转变，进一步提高广播电视网络的综合承载能力和智能化水平，在智慧城市建设、应急广播体系建设等方面发挥积极作用，不断满足政用、民用、商用的多样性、多层次的视听需求和信息需求，提升</w:t>
      </w:r>
      <w:r>
        <w:rPr>
          <w:rFonts w:hint="eastAsia" w:ascii="仿宋" w:hAnsi="仿宋" w:eastAsia="仿宋"/>
          <w:sz w:val="30"/>
          <w:szCs w:val="30"/>
          <w:lang w:eastAsia="zh-CN"/>
        </w:rPr>
        <w:t>成安</w:t>
      </w:r>
      <w:r>
        <w:rPr>
          <w:rFonts w:hint="eastAsia" w:ascii="仿宋" w:hAnsi="仿宋" w:eastAsia="仿宋"/>
          <w:sz w:val="30"/>
          <w:szCs w:val="30"/>
        </w:rPr>
        <w:t>广电对区域经济社会发展的融入度和贡献度。</w:t>
      </w:r>
    </w:p>
    <w:p>
      <w:pPr>
        <w:spacing w:line="360" w:lineRule="auto"/>
        <w:ind w:firstLine="640" w:firstLineChars="200"/>
        <w:rPr>
          <w:rFonts w:hint="eastAsia" w:ascii="华文楷体" w:hAnsi="华文楷体" w:eastAsia="华文楷体"/>
          <w:b/>
          <w:sz w:val="32"/>
          <w:szCs w:val="32"/>
        </w:rPr>
      </w:pPr>
      <w:r>
        <w:rPr>
          <w:rFonts w:hint="eastAsia" w:ascii="华文楷体" w:hAnsi="华文楷体" w:eastAsia="华文楷体"/>
          <w:b/>
          <w:sz w:val="32"/>
          <w:szCs w:val="32"/>
        </w:rPr>
        <w:t>（三）建立广播电视安全播出保障体系绩效目标</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绩效目标：加强台站、安全播出管理，努力实现全年零播出事故。</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指标：对广播电视节目传输、覆盖及网络和新媒体内容等的安全播出情况进行监管；开展省市共管中波发射台的运行维护管理。确保广播电视节目传输、发射及网络和新媒体内容等的安全播出。做好各项基础性保障工作，所有设备故障发生率控制在10%以内。</w:t>
      </w:r>
    </w:p>
    <w:p>
      <w:pPr>
        <w:spacing w:line="360" w:lineRule="auto"/>
        <w:ind w:firstLine="640" w:firstLineChars="200"/>
        <w:rPr>
          <w:rFonts w:hint="eastAsia" w:ascii="华文楷体" w:hAnsi="华文楷体" w:eastAsia="华文楷体"/>
          <w:b/>
          <w:sz w:val="32"/>
          <w:szCs w:val="32"/>
        </w:rPr>
      </w:pPr>
      <w:r>
        <w:rPr>
          <w:rFonts w:hint="eastAsia" w:ascii="华文楷体" w:hAnsi="华文楷体" w:eastAsia="华文楷体"/>
          <w:b/>
          <w:sz w:val="32"/>
          <w:szCs w:val="32"/>
        </w:rPr>
        <w:t>（四）政务管理绩效目标</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绩效目标：做好综合事务管理工作。</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绩效指标：开展广播电视研究、培训、对外交流、后勤保障以及其他各项基础性保障工作，保证机关与直属单位2021年工作正常高效运转并按时完成。</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三、实现年度发展规划目标的工作保障措施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3"/>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（一）持续加大对上宣传力度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要重策划。由台长、总编牵头，组建对上报道选题策划小组，着力攻系列报道、攻头条、攻提要、攻单条。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要重保障。完善激励机制，形成全台抓对上的浓厚氛围，同时加强对上工作后勤保障。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要重制作。调配政治素质和业务能力过硬的采编人员，选用全台最好的摄录设备，增强对上报道力量，强化采录、撰稿、编辑各环节的质量把控，力求内容更精，声音、画面更美。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要重沟通。保持经常与省</w:t>
      </w:r>
      <w:r>
        <w:rPr>
          <w:rFonts w:hint="eastAsia" w:ascii="仿宋" w:hAnsi="仿宋" w:eastAsia="仿宋" w:cs="新宋体"/>
          <w:kern w:val="0"/>
          <w:sz w:val="30"/>
          <w:szCs w:val="30"/>
          <w:lang w:eastAsia="zh-CN"/>
        </w:rPr>
        <w:t>市</w:t>
      </w:r>
      <w:r>
        <w:rPr>
          <w:rFonts w:hint="eastAsia" w:ascii="仿宋" w:hAnsi="仿宋" w:eastAsia="仿宋" w:cs="新宋体"/>
          <w:kern w:val="0"/>
          <w:sz w:val="30"/>
          <w:szCs w:val="30"/>
        </w:rPr>
        <w:t>台记者联系，了解宣传方案、报道重点、采访计划，特别是争取与上级媒体的大力度合作。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（二）着力提升主题宣传效果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做到精心选题。健全选题策划制度，围绕省、市中心工作，结合时政和民生栏目的定位特点组织选题，从新闻创作源头入手，提高选题质量和水平。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做到融合传播。适应媒体环境变化，从受众的获取信息习惯出发，加强新闻语言、表现手法、传播方式创新，做到既有全、精、深，又有短、平、快。统筹运用广播、电视、广电网、</w:t>
      </w:r>
      <w:r>
        <w:rPr>
          <w:rFonts w:ascii="仿宋" w:hAnsi="仿宋" w:eastAsia="仿宋" w:cs="新宋体"/>
          <w:kern w:val="0"/>
          <w:sz w:val="30"/>
          <w:szCs w:val="30"/>
        </w:rPr>
        <w:t>AP</w:t>
      </w:r>
      <w:r>
        <w:rPr>
          <w:rFonts w:hint="eastAsia" w:ascii="仿宋" w:hAnsi="仿宋" w:eastAsia="仿宋" w:cs="新宋体"/>
          <w:kern w:val="0"/>
          <w:sz w:val="30"/>
          <w:szCs w:val="30"/>
        </w:rPr>
        <w:t>、微信、微博和广电报等全媒体传播手段，打好主题宣传报道的组合拳，形成宣传声势，增强整体效果。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（三）提升创收能力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hAnsi="仿宋" w:eastAsia="仿宋"/>
          <w:kern w:val="0"/>
          <w:sz w:val="30"/>
          <w:szCs w:val="30"/>
        </w:rPr>
      </w:pPr>
      <w:r>
        <w:rPr>
          <w:rFonts w:hint="eastAsia" w:ascii="仿宋" w:hAnsi="仿宋" w:eastAsia="仿宋" w:cs="新宋体"/>
          <w:kern w:val="0"/>
          <w:sz w:val="30"/>
          <w:szCs w:val="30"/>
        </w:rPr>
        <w:t>面对广电行业普遍经营下滑，主动转变经营理念，提高创收能力，通过加强广告创意、举办特色活动、做好政务服务和拓展延伸产业等手段，力求经营创收能力稳定向好，保障</w:t>
      </w:r>
      <w:r>
        <w:rPr>
          <w:rFonts w:hint="eastAsia" w:ascii="仿宋" w:hAnsi="仿宋" w:eastAsia="仿宋" w:cs="新宋体"/>
          <w:kern w:val="0"/>
          <w:sz w:val="30"/>
          <w:szCs w:val="30"/>
          <w:lang w:eastAsia="zh-CN"/>
        </w:rPr>
        <w:t>成安县</w:t>
      </w:r>
      <w:r>
        <w:rPr>
          <w:rFonts w:hint="eastAsia" w:ascii="仿宋" w:hAnsi="仿宋" w:eastAsia="仿宋" w:cs="新宋体"/>
          <w:kern w:val="0"/>
          <w:sz w:val="30"/>
          <w:szCs w:val="30"/>
        </w:rPr>
        <w:t>广播电视台稳步发展。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（四）提高媒体的传播力、引导力、影响力、公信力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hAnsi="仿宋" w:eastAsia="仿宋"/>
          <w:b/>
          <w:bCs/>
          <w:kern w:val="0"/>
          <w:sz w:val="30"/>
          <w:szCs w:val="30"/>
        </w:rPr>
      </w:pPr>
      <w:r>
        <w:rPr>
          <w:rFonts w:hint="eastAsia" w:ascii="仿宋" w:hAnsi="仿宋" w:eastAsia="仿宋" w:cs="新宋体"/>
          <w:kern w:val="0"/>
          <w:sz w:val="30"/>
          <w:szCs w:val="30"/>
        </w:rPr>
        <w:t>从机制和人才两方面着眼，从内容创新和平台创新两方面着手，以增强受众粘性和舆论引导能力为目标，宣传党的路线、方针、政策和市委、市政府的工作部署，坚持正确舆论导向，发挥主流媒体作用。不断提高媒体的传播力、引导力、影响力、公信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（五）完善各项制度建设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仿宋" w:hAnsi="仿宋" w:eastAsia="仿宋"/>
          <w:kern w:val="0"/>
          <w:sz w:val="30"/>
          <w:szCs w:val="30"/>
        </w:rPr>
      </w:pPr>
      <w:r>
        <w:rPr>
          <w:rFonts w:hint="eastAsia" w:ascii="仿宋" w:hAnsi="仿宋" w:eastAsia="仿宋" w:cs="新宋体"/>
          <w:kern w:val="0"/>
          <w:sz w:val="30"/>
          <w:szCs w:val="30"/>
        </w:rPr>
        <w:t>制定并完善预算绩效管理制度、货币资金管理办法，完善财务管理制度，严格审批程序，加强固定资产登记、使用和报废处置管理，做到支出合理，物尽其用。通过创新绩效考核和分配制度，树立“多劳多得、优劳优酬”的分配导向，激活队伍内生动力。为全年预算绩效目标的实现奠定了制度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w:t>
      </w:r>
      <w:r>
        <w:rPr>
          <w:rFonts w:hint="eastAsia" w:ascii="华文楷体" w:hAnsi="华文楷体" w:eastAsia="华文楷体" w:cs="新宋体"/>
          <w:b/>
          <w:bCs/>
          <w:kern w:val="0"/>
          <w:sz w:val="32"/>
          <w:szCs w:val="32"/>
          <w:lang w:eastAsia="zh-CN"/>
        </w:rPr>
        <w:t>六</w:t>
      </w:r>
      <w:r>
        <w:rPr>
          <w:rFonts w:hint="eastAsia" w:ascii="华文楷体" w:hAnsi="华文楷体" w:eastAsia="华文楷体" w:cs="新宋体"/>
          <w:b/>
          <w:bCs/>
          <w:kern w:val="0"/>
          <w:sz w:val="32"/>
          <w:szCs w:val="32"/>
        </w:rPr>
        <w:t>）加强绩效运行监控，做好绩效自评，加强内部监督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仿宋" w:hAnsi="仿宋" w:eastAsia="仿宋"/>
          <w:kern w:val="0"/>
          <w:sz w:val="30"/>
          <w:szCs w:val="30"/>
        </w:rPr>
      </w:pPr>
      <w:r>
        <w:rPr>
          <w:rFonts w:hint="eastAsia" w:ascii="仿宋" w:hAnsi="仿宋" w:eastAsia="仿宋" w:cs="新宋体"/>
          <w:kern w:val="0"/>
          <w:sz w:val="30"/>
          <w:szCs w:val="30"/>
        </w:rPr>
        <w:t>按要求开展绩效运行监控，发现问题及时采取措施，确保绩效目标如期保质实现。按要求开展上年度部门预算绩效自评和重点评价工作，对评价中发现的问题及时整改。持续举办“新闻（节目）创意策划”“播音主持业务”“营销创意”“后期制作创意”等系列业务评比，不断促进各项工作提质增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w:t>
      </w:r>
      <w:r>
        <w:rPr>
          <w:rFonts w:hint="eastAsia" w:ascii="华文楷体" w:hAnsi="华文楷体" w:eastAsia="华文楷体" w:cs="新宋体"/>
          <w:b/>
          <w:bCs/>
          <w:kern w:val="0"/>
          <w:sz w:val="32"/>
          <w:szCs w:val="32"/>
          <w:lang w:eastAsia="zh-CN"/>
        </w:rPr>
        <w:t>七</w:t>
      </w:r>
      <w:r>
        <w:rPr>
          <w:rFonts w:hint="eastAsia" w:ascii="华文楷体" w:hAnsi="华文楷体" w:eastAsia="华文楷体" w:cs="新宋体"/>
          <w:b/>
          <w:bCs/>
          <w:kern w:val="0"/>
          <w:sz w:val="32"/>
          <w:szCs w:val="32"/>
        </w:rPr>
        <w:t>）加强宣传培训与调研工作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hint="eastAsia" w:ascii="仿宋" w:hAnsi="仿宋" w:eastAsia="仿宋" w:cs="新宋体"/>
          <w:kern w:val="0"/>
          <w:sz w:val="30"/>
          <w:szCs w:val="30"/>
        </w:rPr>
      </w:pPr>
      <w:r>
        <w:rPr>
          <w:rFonts w:hint="eastAsia" w:ascii="仿宋" w:hAnsi="仿宋" w:eastAsia="仿宋" w:cs="新宋体"/>
          <w:kern w:val="0"/>
          <w:sz w:val="30"/>
          <w:szCs w:val="30"/>
        </w:rPr>
        <w:t>加强各部门人员培训力度，增加培训次数，提高各部门职工业务能力、综合素质，以更积极的工作热情高效完成本职工作；加强调研、集思广益，提出优化财政资金配置、提高资金使用效益的意见和建议，不断改进，让每一分钱落到实处；加大宣传力度，强化各部门预算绩效管理意识，促进预算绩效管理水平进一步提升。</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420" w:firstLineChars="200"/>
        <w:jc w:val="left"/>
        <w:sectPr>
          <w:pgSz w:w="11907" w:h="16839"/>
          <w:pgMar w:top="1361" w:right="1021" w:bottom="1361" w:left="1021" w:header="851" w:footer="992" w:gutter="0"/>
          <w:cols w:space="720" w:num="1"/>
          <w:docGrid w:type="linesAndChars" w:linePitch="318" w:charSpace="0"/>
        </w:sectPr>
      </w:pPr>
    </w:p>
    <w:p>
      <w:pPr>
        <w:spacing w:line="560" w:lineRule="exact"/>
        <w:ind w:firstLine="643" w:firstLineChars="200"/>
        <w:jc w:val="left"/>
        <w:outlineLvl w:val="0"/>
        <w:rPr>
          <w:rFonts w:ascii="楷体_GB2312" w:hAnsi="黑体" w:eastAsia="楷体_GB2312" w:cs="楷体_GB2312"/>
          <w:b/>
          <w:bCs/>
          <w:sz w:val="32"/>
          <w:szCs w:val="32"/>
        </w:rPr>
      </w:pPr>
      <w:r>
        <w:rPr>
          <w:rFonts w:hint="eastAsia" w:ascii="楷体_GB2312" w:hAnsi="黑体" w:eastAsia="楷体_GB2312" w:cs="楷体_GB2312"/>
          <w:b/>
          <w:bCs/>
          <w:sz w:val="32"/>
          <w:szCs w:val="32"/>
        </w:rPr>
        <w:t>部门职责及工作活动绩效目标指标：</w:t>
      </w:r>
    </w:p>
    <w:p>
      <w:pPr>
        <w:spacing w:line="560" w:lineRule="exact"/>
        <w:ind w:firstLine="643" w:firstLineChars="200"/>
        <w:jc w:val="left"/>
        <w:outlineLvl w:val="0"/>
        <w:rPr>
          <w:rFonts w:ascii="楷体_GB2312" w:hAnsi="黑体" w:eastAsia="楷体_GB2312" w:cs="楷体_GB2312"/>
          <w:b/>
          <w:bCs/>
          <w:sz w:val="32"/>
          <w:szCs w:val="32"/>
        </w:rPr>
      </w:pPr>
    </w:p>
    <w:p>
      <w:pPr>
        <w:jc w:val="center"/>
        <w:outlineLvl w:val="0"/>
        <w:rPr>
          <w:rFonts w:ascii="仿宋" w:hAnsi="仿宋" w:eastAsia="仿宋" w:cs="仿宋"/>
          <w:sz w:val="32"/>
        </w:rPr>
      </w:pPr>
      <w:bookmarkStart w:id="0" w:name="_Toc482004282"/>
      <w:r>
        <w:rPr>
          <w:rFonts w:hint="eastAsia" w:ascii="仿宋" w:hAnsi="仿宋" w:eastAsia="仿宋" w:cs="仿宋"/>
          <w:sz w:val="32"/>
        </w:rPr>
        <w:t>部门职责-工作活动绩效目标</w:t>
      </w:r>
      <w:bookmarkEnd w:id="0"/>
    </w:p>
    <w:tbl>
      <w:tblPr>
        <w:tblStyle w:val="4"/>
        <w:tblW w:w="13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 w:type="dxa"/>
          <w:bottom w:w="0" w:type="dxa"/>
          <w:right w:w="10" w:type="dxa"/>
        </w:tblCellMar>
      </w:tblPr>
      <w:tblGrid>
        <w:gridCol w:w="2273"/>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tblHeader/>
          <w:jc w:val="center"/>
        </w:trPr>
        <w:tc>
          <w:tcPr>
            <w:tcW w:w="10918"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359</w:t>
            </w:r>
            <w:r>
              <w:rPr>
                <w:rFonts w:hint="eastAsia" w:ascii="方正小标宋_GBK" w:eastAsia="方正小标宋_GBK"/>
                <w:sz w:val="24"/>
              </w:rPr>
              <w:t>成安县广播电视台</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tblHeader/>
          <w:jc w:val="center"/>
        </w:trPr>
        <w:tc>
          <w:tcPr>
            <w:tcW w:w="2273"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tblHeader/>
          <w:jc w:val="center"/>
        </w:trPr>
        <w:tc>
          <w:tcPr>
            <w:tcW w:w="2273"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273" w:type="dxa"/>
            <w:vAlign w:val="center"/>
          </w:tcPr>
          <w:p>
            <w:pPr>
              <w:spacing w:line="300" w:lineRule="exact"/>
              <w:jc w:val="left"/>
              <w:rPr>
                <w:rFonts w:ascii="方正书宋_GBK" w:eastAsia="方正书宋_GBK"/>
                <w:b/>
              </w:rPr>
            </w:pPr>
            <w:r>
              <w:rPr>
                <w:rFonts w:hint="eastAsia" w:ascii="方正书宋_GBK" w:eastAsia="方正书宋_GBK"/>
                <w:b/>
              </w:rPr>
              <w:t>新闻出版广播影视事业建设</w:t>
            </w:r>
          </w:p>
        </w:tc>
        <w:tc>
          <w:tcPr>
            <w:tcW w:w="1276" w:type="dxa"/>
            <w:vAlign w:val="center"/>
          </w:tcPr>
          <w:p>
            <w:pPr>
              <w:spacing w:line="300" w:lineRule="exact"/>
              <w:jc w:val="left"/>
              <w:rPr>
                <w:rFonts w:ascii="方正书宋_GBK" w:eastAsia="方正书宋_GBK"/>
              </w:rPr>
            </w:pPr>
            <w:r>
              <w:rPr>
                <w:rFonts w:ascii="方正书宋_GBK" w:eastAsia="方正书宋_GBK"/>
              </w:rPr>
              <w:t>55.41</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指导全县广播电影电视和信息网络视听节目服务科技工作，负责监管全县广播电影电视节目传输、监测和安全播出，指导督查全县广播电影电视安全运行工作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273" w:type="dxa"/>
            <w:vMerge w:val="restart"/>
            <w:vAlign w:val="center"/>
          </w:tcPr>
          <w:p>
            <w:pPr>
              <w:spacing w:line="300" w:lineRule="exact"/>
              <w:jc w:val="left"/>
              <w:rPr>
                <w:rFonts w:ascii="方正书宋_GBK" w:eastAsia="方正书宋_GBK"/>
                <w:b/>
              </w:rPr>
            </w:pPr>
            <w:r>
              <w:rPr>
                <w:rFonts w:hint="eastAsia" w:ascii="方正书宋_GBK" w:eastAsia="方正书宋_GBK"/>
                <w:b/>
              </w:rPr>
              <w:t>　　公共服务工程推广</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55.41</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农家书屋建设、全民阅读活动</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完成国家下达的广播电视直播卫星户户通工程、农村电影工作、县城数字影院升级改造、农家书屋建设、全民阅读活动、老放映员生活补助以及应急广播体系建设等任务目标。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农家书屋更新完成率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全民阅读活动任务完成率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老放映员补助到位情况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县城影院票房增长率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应急广播体系建设任务完成数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户户通工程任务完成率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农村公益电影放映场次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r>
    </w:tbl>
    <w:p>
      <w:pPr>
        <w:spacing w:line="300" w:lineRule="exact"/>
        <w:jc w:val="left"/>
        <w:outlineLvl w:val="0"/>
        <w:sectPr>
          <w:pgSz w:w="16839" w:h="11907" w:orient="landscape"/>
          <w:pgMar w:top="1020" w:right="1361" w:bottom="1020" w:left="1361" w:header="851" w:footer="992" w:gutter="0"/>
          <w:cols w:space="720" w:num="1"/>
          <w:docGrid w:type="lines" w:linePitch="318" w:charSpace="0"/>
        </w:sectPr>
      </w:pP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sz w:val="32"/>
          <w:szCs w:val="32"/>
        </w:rPr>
        <w:t>六、政府采购预算情况</w:t>
      </w:r>
    </w:p>
    <w:p>
      <w:pPr>
        <w:spacing w:line="560" w:lineRule="exact"/>
        <w:ind w:firstLine="640" w:firstLineChars="200"/>
        <w:outlineLvl w:val="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lang w:val="en-US" w:eastAsia="zh-CN"/>
        </w:rPr>
        <w:t>20</w:t>
      </w:r>
      <w:r>
        <w:rPr>
          <w:rFonts w:hint="eastAsia" w:ascii="仿宋" w:hAnsi="仿宋" w:eastAsia="仿宋" w:cs="方正仿宋_GBK"/>
          <w:sz w:val="32"/>
          <w:szCs w:val="32"/>
        </w:rPr>
        <w:t>年，我单位安排政府采购预算1</w:t>
      </w:r>
      <w:r>
        <w:rPr>
          <w:rFonts w:hint="eastAsia" w:ascii="仿宋" w:hAnsi="仿宋" w:eastAsia="仿宋" w:cs="方正仿宋_GBK"/>
          <w:sz w:val="32"/>
          <w:szCs w:val="32"/>
          <w:lang w:val="en-US" w:eastAsia="zh-CN"/>
        </w:rPr>
        <w:t>0</w:t>
      </w:r>
      <w:r>
        <w:rPr>
          <w:rFonts w:hint="eastAsia" w:ascii="仿宋" w:hAnsi="仿宋" w:eastAsia="仿宋" w:cs="方正仿宋_GBK"/>
          <w:sz w:val="32"/>
          <w:szCs w:val="32"/>
        </w:rPr>
        <w:t>万元。具体内容见下表。</w:t>
      </w:r>
    </w:p>
    <w:p>
      <w:pPr>
        <w:widowControl/>
        <w:jc w:val="center"/>
        <w:rPr>
          <w:rFonts w:ascii="宋体" w:hAnsi="宋体" w:cs="Times New Roman"/>
          <w:sz w:val="32"/>
          <w:szCs w:val="32"/>
        </w:rPr>
      </w:pPr>
      <w:r>
        <w:rPr>
          <w:rFonts w:hint="eastAsia" w:ascii="楷体" w:hAnsi="楷体" w:eastAsia="楷体" w:cs="宋体"/>
          <w:b/>
          <w:bCs/>
          <w:kern w:val="0"/>
          <w:sz w:val="32"/>
          <w:szCs w:val="32"/>
        </w:rPr>
        <w:t>部门政府采购预算</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9"/>
        <w:gridCol w:w="650"/>
        <w:gridCol w:w="991"/>
        <w:gridCol w:w="598"/>
        <w:gridCol w:w="563"/>
        <w:gridCol w:w="563"/>
        <w:gridCol w:w="749"/>
        <w:gridCol w:w="729"/>
        <w:gridCol w:w="640"/>
        <w:gridCol w:w="640"/>
        <w:gridCol w:w="521"/>
        <w:gridCol w:w="568"/>
        <w:gridCol w:w="572"/>
        <w:gridCol w:w="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73"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cs="Times New Roman"/>
                <w:sz w:val="24"/>
                <w:szCs w:val="24"/>
              </w:rPr>
            </w:pPr>
            <w:r>
              <w:rPr>
                <w:rFonts w:hint="eastAsia" w:ascii="宋体" w:hAnsi="宋体" w:cs="方正小标宋_GBK"/>
                <w:sz w:val="24"/>
                <w:szCs w:val="24"/>
              </w:rPr>
              <w:t>部门（单位）名称：成安县广播电视台</w:t>
            </w:r>
          </w:p>
        </w:tc>
        <w:tc>
          <w:tcPr>
            <w:tcW w:w="4182"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cs="Times New Roman"/>
                <w:sz w:val="24"/>
                <w:szCs w:val="24"/>
              </w:rPr>
            </w:pPr>
            <w:r>
              <w:rPr>
                <w:rFonts w:hint="eastAsia" w:ascii="宋体" w:hAnsi="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9" w:type="dxa"/>
            <w:gridSpan w:val="2"/>
            <w:vAlign w:val="center"/>
          </w:tcPr>
          <w:p>
            <w:pPr>
              <w:spacing w:line="560" w:lineRule="exact"/>
              <w:jc w:val="center"/>
              <w:rPr>
                <w:rFonts w:ascii="宋体" w:hAnsi="宋体" w:cs="Times New Roman"/>
                <w:b/>
                <w:bCs/>
              </w:rPr>
            </w:pPr>
            <w:r>
              <w:rPr>
                <w:rFonts w:hint="eastAsia" w:ascii="宋体" w:hAnsi="宋体" w:cs="方正书宋_GBK"/>
                <w:b/>
                <w:bCs/>
              </w:rPr>
              <w:t>政府采购项目来源</w:t>
            </w:r>
          </w:p>
        </w:tc>
        <w:tc>
          <w:tcPr>
            <w:tcW w:w="991" w:type="dxa"/>
            <w:vMerge w:val="restart"/>
            <w:vAlign w:val="center"/>
          </w:tcPr>
          <w:p>
            <w:pPr>
              <w:spacing w:line="560" w:lineRule="exact"/>
              <w:jc w:val="center"/>
              <w:rPr>
                <w:rFonts w:ascii="宋体" w:hAnsi="宋体" w:cs="Times New Roman"/>
                <w:b/>
                <w:bCs/>
              </w:rPr>
            </w:pPr>
            <w:r>
              <w:rPr>
                <w:rFonts w:hint="eastAsia" w:ascii="宋体" w:hAnsi="宋体" w:cs="方正书宋_GBK"/>
                <w:b/>
                <w:bCs/>
              </w:rPr>
              <w:t>采购物品名称</w:t>
            </w:r>
          </w:p>
        </w:tc>
        <w:tc>
          <w:tcPr>
            <w:tcW w:w="598" w:type="dxa"/>
            <w:vMerge w:val="restart"/>
            <w:vAlign w:val="center"/>
          </w:tcPr>
          <w:p>
            <w:pPr>
              <w:spacing w:line="280" w:lineRule="exact"/>
              <w:jc w:val="center"/>
              <w:rPr>
                <w:rFonts w:ascii="宋体" w:hAnsi="宋体" w:cs="Times New Roman"/>
                <w:b/>
                <w:bCs/>
              </w:rPr>
            </w:pPr>
            <w:r>
              <w:rPr>
                <w:rFonts w:hint="eastAsia" w:ascii="宋体" w:hAnsi="宋体" w:cs="方正书宋_GBK"/>
                <w:b/>
                <w:bCs/>
              </w:rPr>
              <w:t>政府采购目录序号</w:t>
            </w:r>
          </w:p>
        </w:tc>
        <w:tc>
          <w:tcPr>
            <w:tcW w:w="563" w:type="dxa"/>
            <w:vMerge w:val="restart"/>
            <w:vAlign w:val="center"/>
          </w:tcPr>
          <w:p>
            <w:pPr>
              <w:spacing w:line="280" w:lineRule="exact"/>
              <w:jc w:val="center"/>
              <w:rPr>
                <w:rFonts w:ascii="宋体" w:hAnsi="宋体" w:cs="Times New Roman"/>
                <w:b/>
                <w:bCs/>
              </w:rPr>
            </w:pPr>
            <w:r>
              <w:rPr>
                <w:rFonts w:hint="eastAsia" w:ascii="宋体" w:hAnsi="宋体" w:cs="方正书宋_GBK"/>
                <w:b/>
                <w:bCs/>
              </w:rPr>
              <w:t>数量单位</w:t>
            </w:r>
          </w:p>
        </w:tc>
        <w:tc>
          <w:tcPr>
            <w:tcW w:w="563" w:type="dxa"/>
            <w:vMerge w:val="restart"/>
            <w:vAlign w:val="center"/>
          </w:tcPr>
          <w:p>
            <w:pPr>
              <w:spacing w:line="280" w:lineRule="exact"/>
              <w:jc w:val="center"/>
              <w:rPr>
                <w:rFonts w:ascii="宋体" w:hAnsi="宋体" w:cs="Times New Roman"/>
                <w:b/>
                <w:bCs/>
              </w:rPr>
            </w:pPr>
            <w:r>
              <w:rPr>
                <w:rFonts w:hint="eastAsia" w:ascii="宋体" w:hAnsi="宋体" w:cs="方正书宋_GBK"/>
                <w:b/>
                <w:bCs/>
              </w:rPr>
              <w:t>数量</w:t>
            </w:r>
          </w:p>
        </w:tc>
        <w:tc>
          <w:tcPr>
            <w:tcW w:w="749" w:type="dxa"/>
            <w:vMerge w:val="restart"/>
            <w:vAlign w:val="center"/>
          </w:tcPr>
          <w:p>
            <w:pPr>
              <w:spacing w:line="280" w:lineRule="exact"/>
              <w:jc w:val="center"/>
              <w:rPr>
                <w:rFonts w:ascii="宋体" w:hAnsi="宋体" w:cs="Times New Roman"/>
                <w:b/>
                <w:bCs/>
              </w:rPr>
            </w:pPr>
            <w:r>
              <w:rPr>
                <w:rFonts w:hint="eastAsia" w:ascii="宋体" w:hAnsi="宋体" w:cs="方正书宋_GBK"/>
                <w:b/>
                <w:bCs/>
              </w:rPr>
              <w:t>单价</w:t>
            </w:r>
          </w:p>
        </w:tc>
        <w:tc>
          <w:tcPr>
            <w:tcW w:w="4182" w:type="dxa"/>
            <w:gridSpan w:val="7"/>
            <w:vAlign w:val="center"/>
          </w:tcPr>
          <w:p>
            <w:pPr>
              <w:spacing w:line="280" w:lineRule="exact"/>
              <w:jc w:val="center"/>
              <w:rPr>
                <w:rFonts w:ascii="宋体" w:hAnsi="宋体" w:cs="Times New Roman"/>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59" w:type="dxa"/>
            <w:vMerge w:val="restart"/>
            <w:vAlign w:val="center"/>
          </w:tcPr>
          <w:p>
            <w:pPr>
              <w:spacing w:line="560" w:lineRule="exact"/>
              <w:jc w:val="center"/>
              <w:rPr>
                <w:rFonts w:ascii="宋体" w:hAnsi="宋体" w:cs="Times New Roman"/>
                <w:b/>
                <w:bCs/>
              </w:rPr>
            </w:pPr>
            <w:r>
              <w:rPr>
                <w:rFonts w:hint="eastAsia" w:ascii="宋体" w:hAnsi="宋体" w:cs="方正书宋_GBK"/>
                <w:b/>
                <w:bCs/>
              </w:rPr>
              <w:t>项目名称</w:t>
            </w:r>
          </w:p>
        </w:tc>
        <w:tc>
          <w:tcPr>
            <w:tcW w:w="650" w:type="dxa"/>
            <w:vMerge w:val="restart"/>
            <w:vAlign w:val="center"/>
          </w:tcPr>
          <w:p>
            <w:pPr>
              <w:spacing w:line="560" w:lineRule="exact"/>
              <w:jc w:val="center"/>
              <w:rPr>
                <w:rFonts w:ascii="宋体" w:hAnsi="宋体" w:cs="Times New Roman"/>
                <w:b/>
                <w:bCs/>
              </w:rPr>
            </w:pPr>
            <w:r>
              <w:rPr>
                <w:rFonts w:hint="eastAsia" w:ascii="宋体" w:hAnsi="宋体" w:cs="方正书宋_GBK"/>
                <w:b/>
                <w:bCs/>
              </w:rPr>
              <w:t>预算资金</w:t>
            </w:r>
          </w:p>
        </w:tc>
        <w:tc>
          <w:tcPr>
            <w:tcW w:w="991" w:type="dxa"/>
            <w:vMerge w:val="continue"/>
            <w:vAlign w:val="center"/>
          </w:tcPr>
          <w:p>
            <w:pPr>
              <w:spacing w:line="560" w:lineRule="exact"/>
              <w:jc w:val="left"/>
              <w:outlineLvl w:val="0"/>
              <w:rPr>
                <w:rFonts w:ascii="宋体" w:hAnsi="宋体" w:cs="Times New Roman"/>
              </w:rPr>
            </w:pPr>
          </w:p>
        </w:tc>
        <w:tc>
          <w:tcPr>
            <w:tcW w:w="598" w:type="dxa"/>
            <w:vMerge w:val="continue"/>
            <w:vAlign w:val="center"/>
          </w:tcPr>
          <w:p>
            <w:pPr>
              <w:spacing w:line="280" w:lineRule="exact"/>
              <w:jc w:val="left"/>
              <w:outlineLvl w:val="0"/>
              <w:rPr>
                <w:rFonts w:ascii="宋体" w:hAnsi="宋体" w:cs="Times New Roman"/>
              </w:rPr>
            </w:pPr>
          </w:p>
        </w:tc>
        <w:tc>
          <w:tcPr>
            <w:tcW w:w="563" w:type="dxa"/>
            <w:vMerge w:val="continue"/>
            <w:vAlign w:val="center"/>
          </w:tcPr>
          <w:p>
            <w:pPr>
              <w:spacing w:line="280" w:lineRule="exact"/>
              <w:jc w:val="left"/>
              <w:outlineLvl w:val="0"/>
              <w:rPr>
                <w:rFonts w:ascii="宋体" w:hAnsi="宋体" w:cs="Times New Roman"/>
              </w:rPr>
            </w:pPr>
          </w:p>
        </w:tc>
        <w:tc>
          <w:tcPr>
            <w:tcW w:w="563" w:type="dxa"/>
            <w:vMerge w:val="continue"/>
            <w:vAlign w:val="center"/>
          </w:tcPr>
          <w:p>
            <w:pPr>
              <w:spacing w:line="280" w:lineRule="exact"/>
              <w:jc w:val="left"/>
              <w:outlineLvl w:val="0"/>
              <w:rPr>
                <w:rFonts w:ascii="宋体" w:hAnsi="宋体" w:cs="Times New Roman"/>
              </w:rPr>
            </w:pPr>
          </w:p>
        </w:tc>
        <w:tc>
          <w:tcPr>
            <w:tcW w:w="749" w:type="dxa"/>
            <w:vMerge w:val="continue"/>
            <w:vAlign w:val="center"/>
          </w:tcPr>
          <w:p>
            <w:pPr>
              <w:spacing w:line="280" w:lineRule="exact"/>
              <w:jc w:val="left"/>
              <w:outlineLvl w:val="0"/>
              <w:rPr>
                <w:rFonts w:ascii="宋体" w:hAnsi="宋体" w:cs="Times New Roman"/>
              </w:rPr>
            </w:pPr>
          </w:p>
        </w:tc>
        <w:tc>
          <w:tcPr>
            <w:tcW w:w="729" w:type="dxa"/>
            <w:vMerge w:val="restart"/>
            <w:vAlign w:val="center"/>
          </w:tcPr>
          <w:p>
            <w:pPr>
              <w:spacing w:line="280" w:lineRule="exact"/>
              <w:jc w:val="center"/>
              <w:rPr>
                <w:rFonts w:ascii="宋体" w:hAnsi="宋体" w:cs="Times New Roman"/>
                <w:b/>
                <w:bCs/>
              </w:rPr>
            </w:pPr>
            <w:r>
              <w:rPr>
                <w:rFonts w:hint="eastAsia" w:ascii="宋体" w:hAnsi="宋体" w:cs="方正书宋_GBK"/>
                <w:b/>
                <w:bCs/>
              </w:rPr>
              <w:t>总计</w:t>
            </w:r>
          </w:p>
        </w:tc>
        <w:tc>
          <w:tcPr>
            <w:tcW w:w="2941" w:type="dxa"/>
            <w:gridSpan w:val="5"/>
            <w:vAlign w:val="center"/>
          </w:tcPr>
          <w:p>
            <w:pPr>
              <w:spacing w:line="280" w:lineRule="exact"/>
              <w:jc w:val="center"/>
              <w:rPr>
                <w:rFonts w:ascii="宋体" w:hAnsi="宋体" w:cs="Times New Roman"/>
                <w:b/>
                <w:bCs/>
              </w:rPr>
            </w:pPr>
            <w:r>
              <w:rPr>
                <w:rFonts w:hint="eastAsia" w:ascii="宋体" w:hAnsi="宋体" w:cs="方正书宋_GBK"/>
                <w:b/>
                <w:bCs/>
              </w:rPr>
              <w:t>当年部门预算安排资金</w:t>
            </w:r>
          </w:p>
        </w:tc>
        <w:tc>
          <w:tcPr>
            <w:tcW w:w="512" w:type="dxa"/>
            <w:vMerge w:val="restart"/>
            <w:vAlign w:val="center"/>
          </w:tcPr>
          <w:p>
            <w:pPr>
              <w:spacing w:line="280" w:lineRule="exact"/>
              <w:jc w:val="center"/>
              <w:rPr>
                <w:rFonts w:ascii="宋体" w:hAnsi="宋体" w:cs="Times New Roman"/>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59" w:type="dxa"/>
            <w:vMerge w:val="continue"/>
            <w:vAlign w:val="center"/>
          </w:tcPr>
          <w:p>
            <w:pPr>
              <w:spacing w:line="560" w:lineRule="exact"/>
              <w:jc w:val="left"/>
              <w:outlineLvl w:val="0"/>
              <w:rPr>
                <w:rFonts w:ascii="宋体" w:hAnsi="宋体" w:cs="Times New Roman"/>
              </w:rPr>
            </w:pPr>
          </w:p>
        </w:tc>
        <w:tc>
          <w:tcPr>
            <w:tcW w:w="650" w:type="dxa"/>
            <w:vMerge w:val="continue"/>
            <w:vAlign w:val="center"/>
          </w:tcPr>
          <w:p>
            <w:pPr>
              <w:spacing w:line="560" w:lineRule="exact"/>
              <w:jc w:val="left"/>
              <w:outlineLvl w:val="0"/>
              <w:rPr>
                <w:rFonts w:ascii="宋体" w:hAnsi="宋体" w:cs="Times New Roman"/>
              </w:rPr>
            </w:pPr>
          </w:p>
        </w:tc>
        <w:tc>
          <w:tcPr>
            <w:tcW w:w="991" w:type="dxa"/>
            <w:vMerge w:val="continue"/>
            <w:vAlign w:val="center"/>
          </w:tcPr>
          <w:p>
            <w:pPr>
              <w:spacing w:line="560" w:lineRule="exact"/>
              <w:jc w:val="left"/>
              <w:outlineLvl w:val="0"/>
              <w:rPr>
                <w:rFonts w:ascii="宋体" w:hAnsi="宋体" w:cs="Times New Roman"/>
              </w:rPr>
            </w:pPr>
          </w:p>
        </w:tc>
        <w:tc>
          <w:tcPr>
            <w:tcW w:w="598" w:type="dxa"/>
            <w:vMerge w:val="continue"/>
            <w:vAlign w:val="center"/>
          </w:tcPr>
          <w:p>
            <w:pPr>
              <w:spacing w:line="280" w:lineRule="exact"/>
              <w:jc w:val="left"/>
              <w:outlineLvl w:val="0"/>
              <w:rPr>
                <w:rFonts w:ascii="宋体" w:hAnsi="宋体" w:cs="Times New Roman"/>
              </w:rPr>
            </w:pPr>
          </w:p>
        </w:tc>
        <w:tc>
          <w:tcPr>
            <w:tcW w:w="563" w:type="dxa"/>
            <w:vMerge w:val="continue"/>
            <w:vAlign w:val="center"/>
          </w:tcPr>
          <w:p>
            <w:pPr>
              <w:spacing w:line="280" w:lineRule="exact"/>
              <w:jc w:val="left"/>
              <w:outlineLvl w:val="0"/>
              <w:rPr>
                <w:rFonts w:ascii="宋体" w:hAnsi="宋体" w:cs="Times New Roman"/>
              </w:rPr>
            </w:pPr>
          </w:p>
        </w:tc>
        <w:tc>
          <w:tcPr>
            <w:tcW w:w="563" w:type="dxa"/>
            <w:vMerge w:val="continue"/>
            <w:vAlign w:val="center"/>
          </w:tcPr>
          <w:p>
            <w:pPr>
              <w:spacing w:line="280" w:lineRule="exact"/>
              <w:jc w:val="left"/>
              <w:outlineLvl w:val="0"/>
              <w:rPr>
                <w:rFonts w:ascii="宋体" w:hAnsi="宋体" w:cs="Times New Roman"/>
              </w:rPr>
            </w:pPr>
          </w:p>
        </w:tc>
        <w:tc>
          <w:tcPr>
            <w:tcW w:w="749" w:type="dxa"/>
            <w:vMerge w:val="continue"/>
            <w:vAlign w:val="center"/>
          </w:tcPr>
          <w:p>
            <w:pPr>
              <w:spacing w:line="280" w:lineRule="exact"/>
              <w:jc w:val="left"/>
              <w:outlineLvl w:val="0"/>
              <w:rPr>
                <w:rFonts w:ascii="宋体" w:hAnsi="宋体" w:cs="Times New Roman"/>
              </w:rPr>
            </w:pPr>
          </w:p>
        </w:tc>
        <w:tc>
          <w:tcPr>
            <w:tcW w:w="729" w:type="dxa"/>
            <w:vMerge w:val="continue"/>
            <w:vAlign w:val="center"/>
          </w:tcPr>
          <w:p>
            <w:pPr>
              <w:spacing w:line="280" w:lineRule="exact"/>
              <w:jc w:val="left"/>
              <w:outlineLvl w:val="0"/>
              <w:rPr>
                <w:rFonts w:ascii="宋体" w:hAnsi="宋体" w:cs="Times New Roman"/>
              </w:rPr>
            </w:pPr>
          </w:p>
        </w:tc>
        <w:tc>
          <w:tcPr>
            <w:tcW w:w="640" w:type="dxa"/>
            <w:vAlign w:val="center"/>
          </w:tcPr>
          <w:p>
            <w:pPr>
              <w:spacing w:line="280" w:lineRule="exact"/>
              <w:jc w:val="center"/>
              <w:rPr>
                <w:rFonts w:ascii="宋体" w:hAnsi="宋体" w:cs="Times New Roman"/>
                <w:b/>
                <w:bCs/>
              </w:rPr>
            </w:pPr>
            <w:r>
              <w:rPr>
                <w:rFonts w:hint="eastAsia" w:ascii="宋体" w:hAnsi="宋体" w:cs="方正书宋_GBK"/>
                <w:b/>
                <w:bCs/>
              </w:rPr>
              <w:t>合计</w:t>
            </w:r>
          </w:p>
        </w:tc>
        <w:tc>
          <w:tcPr>
            <w:tcW w:w="640" w:type="dxa"/>
            <w:vAlign w:val="center"/>
          </w:tcPr>
          <w:p>
            <w:pPr>
              <w:spacing w:line="280" w:lineRule="exact"/>
              <w:jc w:val="center"/>
              <w:rPr>
                <w:rFonts w:ascii="宋体" w:hAnsi="宋体" w:cs="Times New Roman"/>
                <w:b/>
                <w:bCs/>
              </w:rPr>
            </w:pPr>
            <w:r>
              <w:rPr>
                <w:rFonts w:hint="eastAsia" w:ascii="宋体" w:hAnsi="宋体" w:cs="方正书宋_GBK"/>
                <w:b/>
                <w:bCs/>
              </w:rPr>
              <w:t>一般公共预算拨款</w:t>
            </w:r>
          </w:p>
        </w:tc>
        <w:tc>
          <w:tcPr>
            <w:tcW w:w="521" w:type="dxa"/>
            <w:vAlign w:val="center"/>
          </w:tcPr>
          <w:p>
            <w:pPr>
              <w:spacing w:line="280" w:lineRule="exact"/>
              <w:jc w:val="center"/>
              <w:rPr>
                <w:rFonts w:ascii="宋体" w:hAnsi="宋体" w:cs="Times New Roman"/>
                <w:b/>
                <w:bCs/>
              </w:rPr>
            </w:pPr>
            <w:r>
              <w:rPr>
                <w:rFonts w:hint="eastAsia" w:ascii="宋体" w:hAnsi="宋体" w:cs="方正书宋_GBK"/>
                <w:b/>
                <w:bCs/>
              </w:rPr>
              <w:t>基金预算拨款</w:t>
            </w:r>
          </w:p>
        </w:tc>
        <w:tc>
          <w:tcPr>
            <w:tcW w:w="568" w:type="dxa"/>
            <w:vAlign w:val="center"/>
          </w:tcPr>
          <w:p>
            <w:pPr>
              <w:spacing w:line="280" w:lineRule="exact"/>
              <w:jc w:val="center"/>
              <w:rPr>
                <w:rFonts w:ascii="宋体" w:hAnsi="宋体" w:cs="Times New Roman"/>
                <w:b/>
                <w:bCs/>
              </w:rPr>
            </w:pPr>
            <w:r>
              <w:rPr>
                <w:rFonts w:hint="eastAsia" w:ascii="宋体" w:hAnsi="宋体" w:cs="方正书宋_GBK"/>
                <w:b/>
                <w:bCs/>
              </w:rPr>
              <w:t>财政专户核拨</w:t>
            </w:r>
          </w:p>
        </w:tc>
        <w:tc>
          <w:tcPr>
            <w:tcW w:w="572" w:type="dxa"/>
            <w:vAlign w:val="center"/>
          </w:tcPr>
          <w:p>
            <w:pPr>
              <w:spacing w:line="280" w:lineRule="exact"/>
              <w:jc w:val="center"/>
              <w:rPr>
                <w:rFonts w:ascii="宋体" w:hAnsi="宋体" w:cs="Times New Roman"/>
                <w:b/>
                <w:bCs/>
              </w:rPr>
            </w:pPr>
            <w:r>
              <w:rPr>
                <w:rFonts w:hint="eastAsia" w:ascii="宋体" w:hAnsi="宋体" w:cs="方正书宋_GBK"/>
                <w:b/>
                <w:bCs/>
              </w:rPr>
              <w:t>其他来源收入</w:t>
            </w:r>
          </w:p>
        </w:tc>
        <w:tc>
          <w:tcPr>
            <w:tcW w:w="512" w:type="dxa"/>
            <w:vMerge w:val="continue"/>
            <w:vAlign w:val="center"/>
          </w:tcPr>
          <w:p>
            <w:pPr>
              <w:spacing w:line="560" w:lineRule="exact"/>
              <w:jc w:val="left"/>
              <w:outlineLvl w:val="0"/>
              <w:rPr>
                <w:rFonts w:ascii="宋体" w:hAns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9" w:type="dxa"/>
            <w:vAlign w:val="center"/>
          </w:tcPr>
          <w:p>
            <w:pPr>
              <w:spacing w:line="560" w:lineRule="exact"/>
              <w:jc w:val="center"/>
              <w:rPr>
                <w:rFonts w:ascii="宋体" w:hAnsi="宋体" w:cs="Times New Roman"/>
                <w:b/>
                <w:bCs/>
              </w:rPr>
            </w:pPr>
            <w:r>
              <w:rPr>
                <w:rFonts w:hint="eastAsia" w:ascii="宋体" w:hAnsi="宋体" w:cs="方正书宋_GBK"/>
                <w:b/>
                <w:bCs/>
              </w:rPr>
              <w:t>合　计</w:t>
            </w:r>
          </w:p>
        </w:tc>
        <w:tc>
          <w:tcPr>
            <w:tcW w:w="650" w:type="dxa"/>
            <w:vAlign w:val="center"/>
          </w:tcPr>
          <w:p>
            <w:pPr>
              <w:spacing w:line="560" w:lineRule="exact"/>
              <w:jc w:val="right"/>
              <w:rPr>
                <w:rFonts w:hint="default" w:ascii="宋体" w:hAnsi="宋体" w:eastAsia="宋体" w:cs="Times New Roman"/>
                <w:b/>
                <w:bCs/>
                <w:lang w:val="en-US" w:eastAsia="zh-CN"/>
              </w:rPr>
            </w:pPr>
            <w:r>
              <w:rPr>
                <w:rFonts w:hint="eastAsia" w:ascii="宋体" w:hAnsi="宋体" w:cs="Times New Roman"/>
                <w:b/>
                <w:bCs/>
                <w:lang w:val="en-US" w:eastAsia="zh-CN"/>
              </w:rPr>
              <w:t>10</w:t>
            </w:r>
          </w:p>
        </w:tc>
        <w:tc>
          <w:tcPr>
            <w:tcW w:w="991" w:type="dxa"/>
            <w:vAlign w:val="center"/>
          </w:tcPr>
          <w:p>
            <w:pPr>
              <w:spacing w:line="560" w:lineRule="exact"/>
              <w:jc w:val="left"/>
              <w:rPr>
                <w:rFonts w:ascii="宋体" w:hAnsi="宋体" w:cs="Times New Roman"/>
                <w:b/>
                <w:bCs/>
              </w:rPr>
            </w:pPr>
          </w:p>
        </w:tc>
        <w:tc>
          <w:tcPr>
            <w:tcW w:w="598" w:type="dxa"/>
            <w:vAlign w:val="center"/>
          </w:tcPr>
          <w:p>
            <w:pPr>
              <w:spacing w:line="560" w:lineRule="exact"/>
              <w:jc w:val="left"/>
              <w:rPr>
                <w:rFonts w:ascii="宋体" w:hAnsi="宋体" w:cs="Times New Roman"/>
                <w:b/>
                <w:bCs/>
              </w:rPr>
            </w:pPr>
          </w:p>
        </w:tc>
        <w:tc>
          <w:tcPr>
            <w:tcW w:w="563" w:type="dxa"/>
            <w:vAlign w:val="center"/>
          </w:tcPr>
          <w:p>
            <w:pPr>
              <w:spacing w:line="560" w:lineRule="exact"/>
              <w:jc w:val="left"/>
              <w:rPr>
                <w:rFonts w:ascii="宋体" w:hAnsi="宋体" w:cs="Times New Roman"/>
                <w:b/>
                <w:bCs/>
              </w:rPr>
            </w:pPr>
          </w:p>
        </w:tc>
        <w:tc>
          <w:tcPr>
            <w:tcW w:w="563" w:type="dxa"/>
            <w:vAlign w:val="center"/>
          </w:tcPr>
          <w:p>
            <w:pPr>
              <w:spacing w:line="560" w:lineRule="exact"/>
              <w:jc w:val="right"/>
              <w:rPr>
                <w:rFonts w:ascii="宋体" w:hAnsi="宋体" w:cs="Times New Roman"/>
                <w:b/>
                <w:bCs/>
              </w:rPr>
            </w:pPr>
          </w:p>
        </w:tc>
        <w:tc>
          <w:tcPr>
            <w:tcW w:w="749" w:type="dxa"/>
            <w:vAlign w:val="center"/>
          </w:tcPr>
          <w:p>
            <w:pPr>
              <w:spacing w:line="560" w:lineRule="exact"/>
              <w:jc w:val="right"/>
              <w:rPr>
                <w:rFonts w:ascii="宋体" w:hAnsi="宋体" w:cs="Times New Roman"/>
                <w:b/>
                <w:bCs/>
              </w:rPr>
            </w:pPr>
          </w:p>
        </w:tc>
        <w:tc>
          <w:tcPr>
            <w:tcW w:w="729" w:type="dxa"/>
            <w:vAlign w:val="center"/>
          </w:tcPr>
          <w:p>
            <w:pPr>
              <w:spacing w:line="560" w:lineRule="exact"/>
              <w:jc w:val="right"/>
              <w:rPr>
                <w:rFonts w:hint="default" w:ascii="宋体" w:hAnsi="宋体" w:eastAsia="宋体" w:cs="Times New Roman"/>
                <w:b/>
                <w:bCs/>
                <w:lang w:val="en-US" w:eastAsia="zh-CN"/>
              </w:rPr>
            </w:pPr>
            <w:r>
              <w:rPr>
                <w:rFonts w:hint="eastAsia" w:ascii="宋体" w:hAnsi="宋体" w:cs="Times New Roman"/>
                <w:b/>
                <w:bCs/>
                <w:lang w:val="en-US" w:eastAsia="zh-CN"/>
              </w:rPr>
              <w:t>10</w:t>
            </w:r>
          </w:p>
        </w:tc>
        <w:tc>
          <w:tcPr>
            <w:tcW w:w="640" w:type="dxa"/>
            <w:vAlign w:val="center"/>
          </w:tcPr>
          <w:p>
            <w:pPr>
              <w:spacing w:line="560" w:lineRule="exact"/>
              <w:jc w:val="right"/>
              <w:rPr>
                <w:rFonts w:hint="default" w:ascii="宋体" w:hAnsi="宋体" w:eastAsia="宋体" w:cs="Times New Roman"/>
                <w:b/>
                <w:bCs/>
                <w:lang w:val="en-US" w:eastAsia="zh-CN"/>
              </w:rPr>
            </w:pPr>
            <w:r>
              <w:rPr>
                <w:rFonts w:hint="eastAsia" w:ascii="宋体" w:hAnsi="宋体" w:cs="Times New Roman"/>
                <w:b/>
                <w:bCs/>
                <w:lang w:val="en-US" w:eastAsia="zh-CN"/>
              </w:rPr>
              <w:t>10</w:t>
            </w:r>
          </w:p>
        </w:tc>
        <w:tc>
          <w:tcPr>
            <w:tcW w:w="640" w:type="dxa"/>
            <w:vAlign w:val="center"/>
          </w:tcPr>
          <w:p>
            <w:pPr>
              <w:spacing w:line="560" w:lineRule="exact"/>
              <w:jc w:val="right"/>
              <w:rPr>
                <w:rFonts w:hint="default" w:ascii="宋体" w:hAnsi="宋体" w:eastAsia="宋体" w:cs="Times New Roman"/>
                <w:b/>
                <w:bCs/>
                <w:lang w:val="en-US" w:eastAsia="zh-CN"/>
              </w:rPr>
            </w:pPr>
            <w:r>
              <w:rPr>
                <w:rFonts w:hint="eastAsia" w:ascii="宋体" w:hAnsi="宋体" w:cs="Times New Roman"/>
                <w:b/>
                <w:bCs/>
                <w:lang w:val="en-US" w:eastAsia="zh-CN"/>
              </w:rPr>
              <w:t>10</w:t>
            </w:r>
          </w:p>
        </w:tc>
        <w:tc>
          <w:tcPr>
            <w:tcW w:w="521" w:type="dxa"/>
            <w:vAlign w:val="center"/>
          </w:tcPr>
          <w:p>
            <w:pPr>
              <w:spacing w:line="560" w:lineRule="exact"/>
              <w:jc w:val="right"/>
              <w:rPr>
                <w:rFonts w:ascii="宋体" w:hAnsi="宋体" w:cs="Times New Roman"/>
                <w:b/>
                <w:bCs/>
              </w:rPr>
            </w:pPr>
          </w:p>
        </w:tc>
        <w:tc>
          <w:tcPr>
            <w:tcW w:w="568" w:type="dxa"/>
            <w:vAlign w:val="center"/>
          </w:tcPr>
          <w:p>
            <w:pPr>
              <w:spacing w:line="560" w:lineRule="exact"/>
              <w:jc w:val="right"/>
              <w:rPr>
                <w:rFonts w:ascii="宋体" w:hAnsi="宋体" w:cs="Times New Roman"/>
                <w:b/>
                <w:bCs/>
              </w:rPr>
            </w:pPr>
          </w:p>
        </w:tc>
        <w:tc>
          <w:tcPr>
            <w:tcW w:w="572" w:type="dxa"/>
            <w:vAlign w:val="center"/>
          </w:tcPr>
          <w:p>
            <w:pPr>
              <w:spacing w:line="560" w:lineRule="exact"/>
              <w:jc w:val="right"/>
              <w:rPr>
                <w:rFonts w:ascii="宋体" w:hAnsi="宋体" w:cs="Times New Roman"/>
                <w:b/>
                <w:bCs/>
              </w:rPr>
            </w:pPr>
          </w:p>
        </w:tc>
        <w:tc>
          <w:tcPr>
            <w:tcW w:w="512" w:type="dxa"/>
            <w:vAlign w:val="center"/>
          </w:tcPr>
          <w:p>
            <w:pPr>
              <w:spacing w:line="560" w:lineRule="exact"/>
              <w:jc w:val="right"/>
              <w:rPr>
                <w:rFonts w:ascii="宋体" w:hAnsi="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9" w:type="dxa"/>
            <w:vAlign w:val="center"/>
          </w:tcPr>
          <w:p>
            <w:pPr>
              <w:spacing w:line="560" w:lineRule="exact"/>
              <w:jc w:val="center"/>
              <w:rPr>
                <w:rFonts w:hint="eastAsia" w:ascii="宋体" w:hAnsi="宋体" w:eastAsia="宋体" w:cs="Times New Roman"/>
                <w:b/>
                <w:bCs/>
                <w:lang w:eastAsia="zh-CN"/>
              </w:rPr>
            </w:pPr>
            <w:r>
              <w:rPr>
                <w:rFonts w:hint="eastAsia" w:ascii="宋体" w:hAnsi="宋体" w:cs="Times New Roman"/>
                <w:b/>
                <w:bCs/>
                <w:lang w:eastAsia="zh-CN"/>
              </w:rPr>
              <w:t>日常公用经费</w:t>
            </w:r>
          </w:p>
        </w:tc>
        <w:tc>
          <w:tcPr>
            <w:tcW w:w="650" w:type="dxa"/>
            <w:vAlign w:val="center"/>
          </w:tcPr>
          <w:p>
            <w:pPr>
              <w:spacing w:line="560" w:lineRule="exact"/>
              <w:jc w:val="right"/>
              <w:rPr>
                <w:rFonts w:ascii="宋体" w:hAnsi="宋体" w:cs="Times New Roman"/>
                <w:b/>
                <w:bCs/>
              </w:rPr>
            </w:pPr>
            <w:r>
              <w:rPr>
                <w:rFonts w:hint="eastAsia" w:ascii="宋体" w:hAnsi="宋体" w:cs="Times New Roman"/>
                <w:b/>
                <w:bCs/>
              </w:rPr>
              <w:t>4.08</w:t>
            </w:r>
          </w:p>
        </w:tc>
        <w:tc>
          <w:tcPr>
            <w:tcW w:w="991" w:type="dxa"/>
            <w:vAlign w:val="center"/>
          </w:tcPr>
          <w:p>
            <w:pPr>
              <w:spacing w:line="560" w:lineRule="exact"/>
              <w:jc w:val="center"/>
              <w:rPr>
                <w:rFonts w:ascii="宋体" w:hAnsi="宋体" w:cs="Times New Roman"/>
                <w:b/>
                <w:bCs/>
              </w:rPr>
            </w:pPr>
            <w:r>
              <w:rPr>
                <w:rFonts w:hint="eastAsia" w:ascii="宋体" w:hAnsi="宋体" w:cs="Times New Roman"/>
                <w:b/>
                <w:bCs/>
              </w:rPr>
              <w:t>电脑</w:t>
            </w:r>
          </w:p>
        </w:tc>
        <w:tc>
          <w:tcPr>
            <w:tcW w:w="598" w:type="dxa"/>
            <w:vAlign w:val="center"/>
          </w:tcPr>
          <w:p>
            <w:pPr>
              <w:spacing w:line="560" w:lineRule="exact"/>
              <w:jc w:val="left"/>
              <w:rPr>
                <w:rFonts w:hint="default" w:ascii="宋体" w:hAnsi="宋体" w:eastAsia="宋体" w:cs="Times New Roman"/>
                <w:b/>
                <w:bCs/>
                <w:lang w:val="en-US" w:eastAsia="zh-CN"/>
              </w:rPr>
            </w:pPr>
            <w:r>
              <w:rPr>
                <w:rFonts w:hint="eastAsia" w:ascii="宋体" w:hAnsi="宋体" w:cs="Times New Roman"/>
                <w:b/>
                <w:bCs/>
                <w:lang w:val="en-US" w:eastAsia="zh-CN"/>
              </w:rPr>
              <w:t>A020199</w:t>
            </w:r>
          </w:p>
        </w:tc>
        <w:tc>
          <w:tcPr>
            <w:tcW w:w="563" w:type="dxa"/>
            <w:vAlign w:val="center"/>
          </w:tcPr>
          <w:p>
            <w:pPr>
              <w:spacing w:line="560" w:lineRule="exact"/>
              <w:jc w:val="left"/>
              <w:rPr>
                <w:rFonts w:ascii="宋体" w:hAnsi="宋体" w:cs="Times New Roman"/>
                <w:b/>
                <w:bCs/>
              </w:rPr>
            </w:pPr>
            <w:bookmarkStart w:id="1" w:name="_GoBack"/>
            <w:bookmarkEnd w:id="1"/>
            <w:r>
              <w:rPr>
                <w:rFonts w:hint="eastAsia" w:ascii="宋体" w:hAnsi="宋体" w:cs="Times New Roman"/>
                <w:b/>
                <w:bCs/>
              </w:rPr>
              <w:t>台</w:t>
            </w:r>
          </w:p>
        </w:tc>
        <w:tc>
          <w:tcPr>
            <w:tcW w:w="563" w:type="dxa"/>
            <w:vAlign w:val="center"/>
          </w:tcPr>
          <w:p>
            <w:pPr>
              <w:spacing w:line="560" w:lineRule="exact"/>
              <w:jc w:val="right"/>
              <w:rPr>
                <w:rFonts w:ascii="宋体" w:hAnsi="宋体" w:cs="Times New Roman"/>
                <w:b/>
                <w:bCs/>
              </w:rPr>
            </w:pPr>
            <w:r>
              <w:rPr>
                <w:rFonts w:hint="eastAsia" w:ascii="宋体" w:hAnsi="宋体" w:cs="Times New Roman"/>
                <w:b/>
                <w:bCs/>
              </w:rPr>
              <w:t>12</w:t>
            </w:r>
          </w:p>
        </w:tc>
        <w:tc>
          <w:tcPr>
            <w:tcW w:w="749" w:type="dxa"/>
            <w:vAlign w:val="center"/>
          </w:tcPr>
          <w:p>
            <w:pPr>
              <w:spacing w:line="560" w:lineRule="exact"/>
              <w:jc w:val="right"/>
              <w:rPr>
                <w:rFonts w:ascii="宋体" w:hAnsi="宋体" w:cs="Times New Roman"/>
                <w:b/>
                <w:bCs/>
              </w:rPr>
            </w:pPr>
            <w:r>
              <w:rPr>
                <w:rFonts w:hint="eastAsia" w:ascii="宋体" w:hAnsi="宋体" w:cs="Times New Roman"/>
                <w:b/>
                <w:bCs/>
              </w:rPr>
              <w:t>0.34</w:t>
            </w:r>
          </w:p>
        </w:tc>
        <w:tc>
          <w:tcPr>
            <w:tcW w:w="729" w:type="dxa"/>
            <w:vAlign w:val="center"/>
          </w:tcPr>
          <w:p>
            <w:pPr>
              <w:spacing w:line="560" w:lineRule="exact"/>
              <w:jc w:val="right"/>
              <w:rPr>
                <w:rFonts w:ascii="宋体" w:hAnsi="宋体" w:cs="Times New Roman"/>
                <w:b/>
                <w:bCs/>
              </w:rPr>
            </w:pPr>
            <w:r>
              <w:rPr>
                <w:rFonts w:hint="eastAsia" w:ascii="宋体" w:hAnsi="宋体" w:cs="Times New Roman"/>
                <w:b/>
                <w:bCs/>
              </w:rPr>
              <w:t>4.08</w:t>
            </w:r>
          </w:p>
        </w:tc>
        <w:tc>
          <w:tcPr>
            <w:tcW w:w="640" w:type="dxa"/>
            <w:vAlign w:val="center"/>
          </w:tcPr>
          <w:p>
            <w:pPr>
              <w:spacing w:line="560" w:lineRule="exact"/>
              <w:jc w:val="right"/>
              <w:rPr>
                <w:rFonts w:ascii="宋体" w:hAnsi="宋体" w:cs="Times New Roman"/>
                <w:b/>
                <w:bCs/>
              </w:rPr>
            </w:pPr>
            <w:r>
              <w:rPr>
                <w:rFonts w:hint="eastAsia" w:ascii="宋体" w:hAnsi="宋体" w:cs="Times New Roman"/>
                <w:b/>
                <w:bCs/>
              </w:rPr>
              <w:t>4.08</w:t>
            </w:r>
          </w:p>
        </w:tc>
        <w:tc>
          <w:tcPr>
            <w:tcW w:w="640" w:type="dxa"/>
            <w:vAlign w:val="center"/>
          </w:tcPr>
          <w:p>
            <w:pPr>
              <w:spacing w:line="560" w:lineRule="exact"/>
              <w:jc w:val="right"/>
              <w:rPr>
                <w:rFonts w:ascii="宋体" w:hAnsi="宋体" w:cs="Times New Roman"/>
                <w:b/>
                <w:bCs/>
              </w:rPr>
            </w:pPr>
            <w:r>
              <w:rPr>
                <w:rFonts w:hint="eastAsia" w:ascii="宋体" w:hAnsi="宋体" w:cs="Times New Roman"/>
                <w:b/>
                <w:bCs/>
              </w:rPr>
              <w:t>4.08</w:t>
            </w:r>
          </w:p>
        </w:tc>
        <w:tc>
          <w:tcPr>
            <w:tcW w:w="521" w:type="dxa"/>
            <w:vAlign w:val="center"/>
          </w:tcPr>
          <w:p>
            <w:pPr>
              <w:spacing w:line="560" w:lineRule="exact"/>
              <w:jc w:val="right"/>
              <w:rPr>
                <w:rFonts w:ascii="宋体" w:hAnsi="宋体" w:cs="Times New Roman"/>
                <w:b/>
                <w:bCs/>
              </w:rPr>
            </w:pPr>
          </w:p>
        </w:tc>
        <w:tc>
          <w:tcPr>
            <w:tcW w:w="568" w:type="dxa"/>
            <w:vAlign w:val="center"/>
          </w:tcPr>
          <w:p>
            <w:pPr>
              <w:spacing w:line="560" w:lineRule="exact"/>
              <w:jc w:val="right"/>
              <w:rPr>
                <w:rFonts w:ascii="宋体" w:hAnsi="宋体" w:cs="Times New Roman"/>
                <w:b/>
                <w:bCs/>
              </w:rPr>
            </w:pPr>
          </w:p>
        </w:tc>
        <w:tc>
          <w:tcPr>
            <w:tcW w:w="572" w:type="dxa"/>
            <w:vAlign w:val="center"/>
          </w:tcPr>
          <w:p>
            <w:pPr>
              <w:spacing w:line="560" w:lineRule="exact"/>
              <w:jc w:val="right"/>
              <w:rPr>
                <w:rFonts w:ascii="宋体" w:hAnsi="宋体" w:cs="Times New Roman"/>
                <w:b/>
                <w:bCs/>
              </w:rPr>
            </w:pPr>
          </w:p>
        </w:tc>
        <w:tc>
          <w:tcPr>
            <w:tcW w:w="512" w:type="dxa"/>
            <w:vAlign w:val="center"/>
          </w:tcPr>
          <w:p>
            <w:pPr>
              <w:spacing w:line="560" w:lineRule="exact"/>
              <w:jc w:val="right"/>
              <w:rPr>
                <w:rFonts w:ascii="宋体" w:hAnsi="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9" w:type="dxa"/>
            <w:vAlign w:val="center"/>
          </w:tcPr>
          <w:p>
            <w:pPr>
              <w:spacing w:line="560" w:lineRule="exact"/>
              <w:jc w:val="center"/>
              <w:rPr>
                <w:rFonts w:hint="eastAsia" w:ascii="宋体" w:hAnsi="宋体" w:eastAsia="宋体" w:cs="方正书宋_GBK"/>
                <w:b/>
                <w:bCs/>
                <w:lang w:eastAsia="zh-CN"/>
              </w:rPr>
            </w:pPr>
            <w:r>
              <w:rPr>
                <w:rFonts w:hint="eastAsia" w:ascii="宋体" w:hAnsi="宋体" w:cs="方正书宋_GBK"/>
                <w:b/>
                <w:bCs/>
                <w:lang w:eastAsia="zh-CN"/>
              </w:rPr>
              <w:t>日常公用经费</w:t>
            </w:r>
          </w:p>
        </w:tc>
        <w:tc>
          <w:tcPr>
            <w:tcW w:w="650" w:type="dxa"/>
            <w:vAlign w:val="center"/>
          </w:tcPr>
          <w:p>
            <w:pPr>
              <w:spacing w:line="560" w:lineRule="exact"/>
              <w:jc w:val="center"/>
              <w:rPr>
                <w:rFonts w:ascii="宋体" w:hAnsi="宋体" w:cs="方正书宋_GBK"/>
                <w:b/>
                <w:bCs/>
              </w:rPr>
            </w:pPr>
            <w:r>
              <w:rPr>
                <w:rFonts w:hint="eastAsia" w:ascii="宋体" w:hAnsi="宋体" w:cs="方正书宋_GBK"/>
                <w:b/>
                <w:bCs/>
              </w:rPr>
              <w:t>5.92</w:t>
            </w:r>
          </w:p>
        </w:tc>
        <w:tc>
          <w:tcPr>
            <w:tcW w:w="991" w:type="dxa"/>
            <w:vAlign w:val="center"/>
          </w:tcPr>
          <w:p>
            <w:pPr>
              <w:spacing w:line="560" w:lineRule="exact"/>
              <w:jc w:val="center"/>
              <w:rPr>
                <w:rFonts w:ascii="宋体" w:hAnsi="宋体" w:cs="方正书宋_GBK"/>
                <w:b/>
                <w:bCs/>
              </w:rPr>
            </w:pPr>
            <w:r>
              <w:rPr>
                <w:rFonts w:hint="eastAsia" w:ascii="宋体" w:hAnsi="宋体" w:cs="方正书宋_GBK"/>
                <w:b/>
                <w:bCs/>
              </w:rPr>
              <w:t>摄像机</w:t>
            </w:r>
          </w:p>
        </w:tc>
        <w:tc>
          <w:tcPr>
            <w:tcW w:w="598" w:type="dxa"/>
            <w:vAlign w:val="center"/>
          </w:tcPr>
          <w:p>
            <w:pPr>
              <w:spacing w:line="560" w:lineRule="exact"/>
              <w:jc w:val="center"/>
              <w:rPr>
                <w:rFonts w:hint="default" w:ascii="宋体" w:hAnsi="宋体" w:eastAsia="宋体" w:cs="方正书宋_GBK"/>
                <w:b/>
                <w:bCs/>
                <w:lang w:val="en-US" w:eastAsia="zh-CN"/>
              </w:rPr>
            </w:pPr>
            <w:r>
              <w:rPr>
                <w:rFonts w:hint="eastAsia" w:ascii="宋体" w:hAnsi="宋体" w:cs="方正书宋_GBK"/>
                <w:b/>
                <w:bCs/>
                <w:lang w:val="en-US" w:eastAsia="zh-CN"/>
              </w:rPr>
              <w:t>A02090504</w:t>
            </w:r>
          </w:p>
        </w:tc>
        <w:tc>
          <w:tcPr>
            <w:tcW w:w="563" w:type="dxa"/>
            <w:vAlign w:val="center"/>
          </w:tcPr>
          <w:p>
            <w:pPr>
              <w:spacing w:line="560" w:lineRule="exact"/>
              <w:jc w:val="center"/>
              <w:rPr>
                <w:rFonts w:ascii="宋体" w:hAnsi="宋体" w:cs="方正书宋_GBK"/>
                <w:b/>
                <w:bCs/>
              </w:rPr>
            </w:pPr>
            <w:r>
              <w:rPr>
                <w:rFonts w:hint="eastAsia" w:ascii="宋体" w:hAnsi="宋体" w:cs="方正书宋_GBK"/>
                <w:b/>
                <w:bCs/>
              </w:rPr>
              <w:t>台</w:t>
            </w:r>
          </w:p>
        </w:tc>
        <w:tc>
          <w:tcPr>
            <w:tcW w:w="563" w:type="dxa"/>
            <w:vAlign w:val="center"/>
          </w:tcPr>
          <w:p>
            <w:pPr>
              <w:spacing w:line="560" w:lineRule="exact"/>
              <w:jc w:val="center"/>
              <w:rPr>
                <w:rFonts w:ascii="宋体" w:hAnsi="宋体" w:cs="方正书宋_GBK"/>
                <w:b/>
                <w:bCs/>
              </w:rPr>
            </w:pPr>
            <w:r>
              <w:rPr>
                <w:rFonts w:hint="eastAsia" w:ascii="宋体" w:hAnsi="宋体" w:cs="方正书宋_GBK"/>
                <w:b/>
                <w:bCs/>
              </w:rPr>
              <w:t>2</w:t>
            </w:r>
          </w:p>
        </w:tc>
        <w:tc>
          <w:tcPr>
            <w:tcW w:w="749" w:type="dxa"/>
            <w:vAlign w:val="center"/>
          </w:tcPr>
          <w:p>
            <w:pPr>
              <w:spacing w:line="560" w:lineRule="exact"/>
              <w:jc w:val="center"/>
              <w:rPr>
                <w:rFonts w:ascii="宋体" w:hAnsi="宋体" w:cs="方正书宋_GBK"/>
                <w:b/>
                <w:bCs/>
              </w:rPr>
            </w:pPr>
            <w:r>
              <w:rPr>
                <w:rFonts w:hint="eastAsia" w:ascii="宋体" w:hAnsi="宋体" w:cs="方正书宋_GBK"/>
                <w:b/>
                <w:bCs/>
              </w:rPr>
              <w:t>2.96</w:t>
            </w:r>
          </w:p>
        </w:tc>
        <w:tc>
          <w:tcPr>
            <w:tcW w:w="729" w:type="dxa"/>
            <w:vAlign w:val="center"/>
          </w:tcPr>
          <w:p>
            <w:pPr>
              <w:spacing w:line="560" w:lineRule="exact"/>
              <w:jc w:val="center"/>
              <w:rPr>
                <w:rFonts w:ascii="宋体" w:hAnsi="宋体" w:cs="方正书宋_GBK"/>
                <w:b/>
                <w:bCs/>
              </w:rPr>
            </w:pPr>
            <w:r>
              <w:rPr>
                <w:rFonts w:hint="eastAsia" w:ascii="宋体" w:hAnsi="宋体" w:cs="方正书宋_GBK"/>
                <w:b/>
                <w:bCs/>
              </w:rPr>
              <w:t>5.92</w:t>
            </w:r>
          </w:p>
        </w:tc>
        <w:tc>
          <w:tcPr>
            <w:tcW w:w="640" w:type="dxa"/>
            <w:vAlign w:val="center"/>
          </w:tcPr>
          <w:p>
            <w:pPr>
              <w:spacing w:line="560" w:lineRule="exact"/>
              <w:jc w:val="center"/>
              <w:rPr>
                <w:rFonts w:ascii="宋体" w:hAnsi="宋体" w:cs="方正书宋_GBK"/>
                <w:b/>
                <w:bCs/>
              </w:rPr>
            </w:pPr>
            <w:r>
              <w:rPr>
                <w:rFonts w:hint="eastAsia" w:ascii="宋体" w:hAnsi="宋体" w:cs="方正书宋_GBK"/>
                <w:b/>
                <w:bCs/>
              </w:rPr>
              <w:t>5.92</w:t>
            </w:r>
          </w:p>
        </w:tc>
        <w:tc>
          <w:tcPr>
            <w:tcW w:w="640" w:type="dxa"/>
            <w:vAlign w:val="center"/>
          </w:tcPr>
          <w:p>
            <w:pPr>
              <w:spacing w:line="560" w:lineRule="exact"/>
              <w:jc w:val="center"/>
              <w:rPr>
                <w:rFonts w:ascii="宋体" w:hAnsi="宋体" w:cs="方正书宋_GBK"/>
                <w:b/>
                <w:bCs/>
              </w:rPr>
            </w:pPr>
            <w:r>
              <w:rPr>
                <w:rFonts w:hint="eastAsia" w:ascii="宋体" w:hAnsi="宋体" w:cs="方正书宋_GBK"/>
                <w:b/>
                <w:bCs/>
              </w:rPr>
              <w:t>5.92</w:t>
            </w:r>
          </w:p>
        </w:tc>
        <w:tc>
          <w:tcPr>
            <w:tcW w:w="521" w:type="dxa"/>
            <w:vAlign w:val="center"/>
          </w:tcPr>
          <w:p>
            <w:pPr>
              <w:spacing w:line="560" w:lineRule="exact"/>
              <w:jc w:val="right"/>
              <w:rPr>
                <w:rFonts w:ascii="宋体" w:hAnsi="宋体" w:cs="Times New Roman"/>
              </w:rPr>
            </w:pPr>
          </w:p>
        </w:tc>
        <w:tc>
          <w:tcPr>
            <w:tcW w:w="568" w:type="dxa"/>
            <w:vAlign w:val="center"/>
          </w:tcPr>
          <w:p>
            <w:pPr>
              <w:spacing w:line="560" w:lineRule="exact"/>
              <w:jc w:val="right"/>
              <w:rPr>
                <w:rFonts w:ascii="宋体" w:hAnsi="宋体" w:cs="Times New Roman"/>
              </w:rPr>
            </w:pPr>
          </w:p>
        </w:tc>
        <w:tc>
          <w:tcPr>
            <w:tcW w:w="572" w:type="dxa"/>
            <w:vAlign w:val="center"/>
          </w:tcPr>
          <w:p>
            <w:pPr>
              <w:spacing w:line="560" w:lineRule="exact"/>
              <w:jc w:val="right"/>
              <w:rPr>
                <w:rFonts w:ascii="宋体" w:hAnsi="宋体" w:cs="Times New Roman"/>
              </w:rPr>
            </w:pPr>
          </w:p>
        </w:tc>
        <w:tc>
          <w:tcPr>
            <w:tcW w:w="512" w:type="dxa"/>
            <w:vAlign w:val="center"/>
          </w:tcPr>
          <w:p>
            <w:pPr>
              <w:spacing w:line="560" w:lineRule="exact"/>
              <w:jc w:val="right"/>
              <w:rPr>
                <w:rFonts w:ascii="宋体" w:hAnsi="宋体" w:cs="Times New Roman"/>
              </w:rPr>
            </w:pPr>
          </w:p>
        </w:tc>
      </w:tr>
    </w:tbl>
    <w:p>
      <w:pPr>
        <w:widowControl/>
        <w:spacing w:line="360" w:lineRule="auto"/>
        <w:ind w:firstLine="640" w:firstLineChars="200"/>
        <w:jc w:val="left"/>
        <w:rPr>
          <w:rFonts w:hint="eastAsia" w:ascii="仿宋" w:hAnsi="仿宋" w:eastAsia="仿宋" w:cs="Calibri"/>
          <w:b/>
          <w:kern w:val="0"/>
          <w:sz w:val="32"/>
          <w:szCs w:val="32"/>
          <w:lang w:eastAsia="zh-CN"/>
        </w:rPr>
      </w:pPr>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20</w:t>
      </w:r>
      <w:r>
        <w:rPr>
          <w:rFonts w:hint="eastAsia" w:ascii="仿宋" w:hAnsi="仿宋" w:eastAsia="仿宋" w:cs="仿宋_GB2312"/>
          <w:kern w:val="0"/>
          <w:sz w:val="32"/>
          <w:szCs w:val="32"/>
          <w:lang w:val="en-US" w:eastAsia="zh-CN"/>
        </w:rPr>
        <w:t>20</w:t>
      </w:r>
      <w:r>
        <w:rPr>
          <w:rFonts w:ascii="仿宋" w:hAnsi="仿宋" w:eastAsia="仿宋" w:cs="仿宋_GB2312"/>
          <w:kern w:val="0"/>
          <w:sz w:val="32"/>
          <w:szCs w:val="32"/>
        </w:rPr>
        <w:t>年我</w:t>
      </w:r>
      <w:r>
        <w:rPr>
          <w:rFonts w:hint="eastAsia" w:ascii="仿宋" w:hAnsi="仿宋" w:eastAsia="仿宋" w:cs="仿宋_GB2312"/>
          <w:kern w:val="0"/>
          <w:sz w:val="32"/>
          <w:szCs w:val="32"/>
        </w:rPr>
        <w:t>台</w:t>
      </w:r>
      <w:r>
        <w:rPr>
          <w:rFonts w:ascii="仿宋" w:hAnsi="仿宋" w:eastAsia="仿宋" w:cs="仿宋_GB2312"/>
          <w:kern w:val="0"/>
          <w:sz w:val="32"/>
          <w:szCs w:val="32"/>
        </w:rPr>
        <w:t>政府采购事项为</w:t>
      </w:r>
      <w:r>
        <w:rPr>
          <w:rFonts w:hint="eastAsia" w:ascii="仿宋" w:hAnsi="仿宋" w:eastAsia="仿宋" w:cs="仿宋_GB2312"/>
          <w:kern w:val="0"/>
          <w:sz w:val="32"/>
          <w:szCs w:val="32"/>
        </w:rPr>
        <w:t>10万元（其中：电脑12台，3400元，计40800元，摄像机2台，单价29600元，</w:t>
      </w:r>
      <w:r>
        <w:rPr>
          <w:rFonts w:hint="eastAsia" w:ascii="仿宋" w:hAnsi="仿宋" w:eastAsia="仿宋" w:cs="仿宋_GB2312"/>
          <w:kern w:val="0"/>
          <w:sz w:val="32"/>
          <w:szCs w:val="32"/>
          <w:lang w:eastAsia="zh-CN"/>
        </w:rPr>
        <w:t>共</w:t>
      </w:r>
      <w:r>
        <w:rPr>
          <w:rFonts w:hint="eastAsia" w:ascii="仿宋" w:hAnsi="仿宋" w:eastAsia="仿宋" w:cs="仿宋_GB2312"/>
          <w:kern w:val="0"/>
          <w:sz w:val="32"/>
          <w:szCs w:val="32"/>
        </w:rPr>
        <w:t>计59200元</w:t>
      </w:r>
      <w:r>
        <w:rPr>
          <w:rFonts w:hint="eastAsia" w:ascii="仿宋" w:hAnsi="仿宋" w:eastAsia="仿宋" w:cs="仿宋_GB2312"/>
          <w:kern w:val="0"/>
          <w:sz w:val="32"/>
          <w:szCs w:val="32"/>
          <w:lang w:eastAsia="zh-CN"/>
        </w:rPr>
        <w:t>。</w:t>
      </w:r>
    </w:p>
    <w:p>
      <w:pPr>
        <w:pStyle w:val="8"/>
        <w:widowControl/>
        <w:numPr>
          <w:ilvl w:val="0"/>
          <w:numId w:val="1"/>
        </w:numPr>
        <w:spacing w:line="360" w:lineRule="auto"/>
        <w:ind w:firstLineChars="0"/>
        <w:jc w:val="left"/>
        <w:rPr>
          <w:rFonts w:ascii="黑体" w:hAnsi="黑体" w:eastAsia="黑体" w:cs="Calibri"/>
          <w:b/>
          <w:kern w:val="0"/>
          <w:sz w:val="32"/>
          <w:szCs w:val="32"/>
        </w:rPr>
      </w:pPr>
      <w:r>
        <w:rPr>
          <w:rFonts w:hint="eastAsia" w:ascii="黑体" w:hAnsi="黑体" w:eastAsia="黑体" w:cs="Calibri"/>
          <w:b/>
          <w:kern w:val="0"/>
          <w:sz w:val="32"/>
          <w:szCs w:val="32"/>
        </w:rPr>
        <w:t>国有资产信息</w:t>
      </w:r>
    </w:p>
    <w:p>
      <w:pPr>
        <w:pStyle w:val="8"/>
        <w:widowControl/>
        <w:spacing w:line="360" w:lineRule="auto"/>
        <w:ind w:firstLineChars="0"/>
        <w:jc w:val="left"/>
        <w:rPr>
          <w:rFonts w:ascii="仿宋" w:hAnsi="仿宋" w:eastAsia="仿宋" w:cs="仿宋_GB2312"/>
          <w:sz w:val="32"/>
          <w:szCs w:val="32"/>
        </w:rPr>
      </w:pPr>
      <w:r>
        <w:rPr>
          <w:rFonts w:hint="eastAsia" w:ascii="仿宋" w:hAnsi="仿宋" w:eastAsia="仿宋" w:cs="仿宋_GB2312"/>
          <w:sz w:val="32"/>
          <w:szCs w:val="32"/>
        </w:rPr>
        <w:t>成安县广播电视台上年末固定资产金额为2166万元，本年度拟购置固定资产</w:t>
      </w:r>
      <w:r>
        <w:rPr>
          <w:rFonts w:hint="eastAsia" w:ascii="仿宋" w:hAnsi="仿宋" w:eastAsia="仿宋" w:cs="仿宋_GB2312"/>
          <w:sz w:val="32"/>
          <w:szCs w:val="32"/>
          <w:lang w:val="en-US" w:eastAsia="zh-CN"/>
        </w:rPr>
        <w:t>10万元。</w:t>
      </w:r>
      <w:r>
        <w:rPr>
          <w:rFonts w:hint="eastAsia" w:ascii="仿宋" w:hAnsi="仿宋" w:eastAsia="仿宋" w:cs="仿宋_GB2312"/>
          <w:sz w:val="32"/>
          <w:szCs w:val="32"/>
        </w:rPr>
        <w:t>主要为摄像机、计算机设备、打印设备、空调、办公家具等，已列入政府采购预算。详见下表。</w:t>
      </w:r>
    </w:p>
    <w:tbl>
      <w:tblPr>
        <w:tblStyle w:val="4"/>
        <w:tblW w:w="9855" w:type="dxa"/>
        <w:tblInd w:w="-106" w:type="dxa"/>
        <w:tblLayout w:type="fixed"/>
        <w:tblCellMar>
          <w:top w:w="0" w:type="dxa"/>
          <w:left w:w="108" w:type="dxa"/>
          <w:bottom w:w="0" w:type="dxa"/>
          <w:right w:w="108" w:type="dxa"/>
        </w:tblCellMar>
      </w:tblPr>
      <w:tblGrid>
        <w:gridCol w:w="4502"/>
        <w:gridCol w:w="930"/>
        <w:gridCol w:w="4423"/>
      </w:tblGrid>
      <w:tr>
        <w:tblPrEx>
          <w:tblCellMar>
            <w:top w:w="0" w:type="dxa"/>
            <w:left w:w="108" w:type="dxa"/>
            <w:bottom w:w="0" w:type="dxa"/>
            <w:right w:w="108" w:type="dxa"/>
          </w:tblCellMar>
        </w:tblPrEx>
        <w:trPr>
          <w:trHeight w:val="705" w:hRule="atLeast"/>
        </w:trPr>
        <w:tc>
          <w:tcPr>
            <w:tcW w:w="9855" w:type="dxa"/>
            <w:gridSpan w:val="3"/>
            <w:tcBorders>
              <w:top w:val="nil"/>
              <w:left w:val="nil"/>
              <w:bottom w:val="nil"/>
              <w:right w:val="nil"/>
            </w:tcBorders>
            <w:vAlign w:val="center"/>
          </w:tcPr>
          <w:p>
            <w:pPr>
              <w:widowControl/>
              <w:rPr>
                <w:rFonts w:ascii="宋体" w:hAnsi="宋体" w:cs="Times New Roman"/>
                <w:b/>
                <w:bCs/>
                <w:kern w:val="0"/>
                <w:sz w:val="32"/>
                <w:szCs w:val="32"/>
              </w:rPr>
            </w:pPr>
          </w:p>
          <w:p>
            <w:pPr>
              <w:widowControl/>
              <w:jc w:val="center"/>
              <w:rPr>
                <w:rFonts w:ascii="楷体" w:hAnsi="楷体" w:eastAsia="楷体" w:cs="Times New Roman"/>
                <w:b/>
                <w:bCs/>
                <w:kern w:val="0"/>
                <w:sz w:val="32"/>
                <w:szCs w:val="32"/>
              </w:rPr>
            </w:pPr>
            <w:r>
              <w:rPr>
                <w:rFonts w:hint="eastAsia" w:ascii="楷体" w:hAnsi="楷体" w:eastAsia="楷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432" w:type="dxa"/>
            <w:gridSpan w:val="2"/>
            <w:tcBorders>
              <w:top w:val="nil"/>
              <w:left w:val="nil"/>
              <w:bottom w:val="nil"/>
              <w:right w:val="nil"/>
            </w:tcBorders>
            <w:vAlign w:val="center"/>
          </w:tcPr>
          <w:p>
            <w:pPr>
              <w:widowControl/>
              <w:jc w:val="left"/>
              <w:rPr>
                <w:rFonts w:ascii="宋体" w:hAnsi="宋体" w:cs="Times New Roman"/>
                <w:kern w:val="0"/>
                <w:sz w:val="22"/>
              </w:rPr>
            </w:pPr>
            <w:r>
              <w:rPr>
                <w:rFonts w:hint="eastAsia" w:ascii="宋体" w:hAnsi="宋体" w:cs="宋体"/>
                <w:kern w:val="0"/>
                <w:sz w:val="22"/>
              </w:rPr>
              <w:t>编制部门：成安县广播电视台</w:t>
            </w:r>
          </w:p>
        </w:tc>
        <w:tc>
          <w:tcPr>
            <w:tcW w:w="4423" w:type="dxa"/>
            <w:tcBorders>
              <w:top w:val="nil"/>
              <w:left w:val="nil"/>
              <w:bottom w:val="nil"/>
              <w:right w:val="nil"/>
            </w:tcBorders>
            <w:vAlign w:val="center"/>
          </w:tcPr>
          <w:p>
            <w:pPr>
              <w:widowControl/>
              <w:ind w:firstLine="550" w:firstLineChars="250"/>
              <w:jc w:val="left"/>
              <w:rPr>
                <w:rFonts w:ascii="宋体" w:hAnsi="宋体" w:cs="宋体"/>
                <w:kern w:val="0"/>
                <w:sz w:val="22"/>
              </w:rPr>
            </w:pPr>
            <w:r>
              <w:rPr>
                <w:rFonts w:hint="eastAsia" w:ascii="宋体" w:hAnsi="宋体" w:cs="宋体"/>
                <w:kern w:val="0"/>
                <w:sz w:val="22"/>
              </w:rPr>
              <w:t>截止时间：</w:t>
            </w:r>
            <w:r>
              <w:rPr>
                <w:rFonts w:ascii="宋体" w:hAnsi="宋体" w:cs="宋体"/>
                <w:kern w:val="0"/>
                <w:sz w:val="22"/>
              </w:rPr>
              <w:t>201</w:t>
            </w:r>
            <w:r>
              <w:rPr>
                <w:rFonts w:hint="eastAsia" w:ascii="宋体" w:hAnsi="宋体" w:cs="宋体"/>
                <w:kern w:val="0"/>
                <w:sz w:val="22"/>
              </w:rPr>
              <w:t>9年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p>
        </w:tc>
      </w:tr>
      <w:tr>
        <w:tblPrEx>
          <w:tblCellMar>
            <w:top w:w="0" w:type="dxa"/>
            <w:left w:w="108" w:type="dxa"/>
            <w:bottom w:w="0" w:type="dxa"/>
            <w:right w:w="108" w:type="dxa"/>
          </w:tblCellMar>
        </w:tblPrEx>
        <w:trPr>
          <w:trHeight w:val="645" w:hRule="atLeast"/>
        </w:trPr>
        <w:tc>
          <w:tcPr>
            <w:tcW w:w="4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imes New Roman"/>
                <w:b/>
                <w:bCs/>
                <w:kern w:val="0"/>
                <w:sz w:val="22"/>
              </w:rPr>
            </w:pPr>
            <w:r>
              <w:rPr>
                <w:rFonts w:hint="eastAsia" w:ascii="宋体" w:hAnsi="宋体" w:cs="宋体"/>
                <w:b/>
                <w:bCs/>
                <w:kern w:val="0"/>
                <w:sz w:val="22"/>
              </w:rPr>
              <w:t>项目</w:t>
            </w:r>
          </w:p>
        </w:tc>
        <w:tc>
          <w:tcPr>
            <w:tcW w:w="930"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b/>
                <w:bCs/>
                <w:kern w:val="0"/>
                <w:sz w:val="22"/>
              </w:rPr>
            </w:pPr>
            <w:r>
              <w:rPr>
                <w:rFonts w:hint="eastAsia" w:ascii="宋体" w:hAnsi="宋体" w:cs="宋体"/>
                <w:b/>
                <w:bCs/>
                <w:kern w:val="0"/>
                <w:sz w:val="22"/>
              </w:rPr>
              <w:t>数量</w:t>
            </w:r>
          </w:p>
        </w:tc>
        <w:tc>
          <w:tcPr>
            <w:tcW w:w="4423"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宋体"/>
                <w:kern w:val="0"/>
                <w:sz w:val="22"/>
              </w:rPr>
              <w:t>资产总额</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2166</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sz w:val="22"/>
              </w:rPr>
            </w:pPr>
            <w:r>
              <w:rPr>
                <w:rFonts w:ascii="宋体" w:hAnsi="宋体" w:cs="宋体"/>
                <w:kern w:val="0"/>
                <w:sz w:val="22"/>
              </w:rPr>
              <w:t>1</w:t>
            </w:r>
            <w:r>
              <w:rPr>
                <w:rFonts w:hint="eastAsia" w:ascii="宋体" w:hAnsi="宋体" w:cs="宋体"/>
                <w:kern w:val="0"/>
                <w:sz w:val="22"/>
              </w:rPr>
              <w:t>、房屋（平方米）</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3900</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460.4</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sz w:val="22"/>
              </w:rPr>
            </w:pPr>
            <w:r>
              <w:rPr>
                <w:rFonts w:hint="eastAsia" w:ascii="宋体" w:hAnsi="宋体" w:cs="宋体"/>
                <w:kern w:val="0"/>
                <w:sz w:val="22"/>
              </w:rPr>
              <w:t>其中：办公用房（平方米）</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3900</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460.4</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sz w:val="22"/>
              </w:rPr>
            </w:pPr>
            <w:r>
              <w:rPr>
                <w:rFonts w:ascii="宋体" w:hAnsi="宋体" w:cs="宋体"/>
                <w:kern w:val="0"/>
                <w:sz w:val="22"/>
              </w:rPr>
              <w:t>2</w:t>
            </w:r>
            <w:r>
              <w:rPr>
                <w:rFonts w:hint="eastAsia" w:ascii="宋体" w:hAnsi="宋体" w:cs="宋体"/>
                <w:kern w:val="0"/>
                <w:sz w:val="22"/>
              </w:rPr>
              <w:t>、车辆（台、辆）</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2</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23</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50</w:t>
            </w:r>
            <w:r>
              <w:rPr>
                <w:rFonts w:hint="eastAsia" w:ascii="宋体" w:hAnsi="宋体" w:cs="宋体"/>
                <w:kern w:val="0"/>
                <w:sz w:val="22"/>
              </w:rPr>
              <w:t>万元以上的设备</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0</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0</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sz w:val="22"/>
              </w:rPr>
            </w:pPr>
            <w:r>
              <w:rPr>
                <w:rFonts w:ascii="宋体" w:hAnsi="宋体" w:cs="宋体"/>
                <w:kern w:val="0"/>
                <w:sz w:val="22"/>
              </w:rPr>
              <w:t>4</w:t>
            </w:r>
            <w:r>
              <w:rPr>
                <w:rFonts w:hint="eastAsia" w:ascii="宋体" w:hAnsi="宋体" w:cs="宋体"/>
                <w:kern w:val="0"/>
                <w:sz w:val="22"/>
              </w:rPr>
              <w:t>、其他固定资产</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215</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1451</w:t>
            </w:r>
          </w:p>
        </w:tc>
      </w:tr>
    </w:tbl>
    <w:p>
      <w:pPr>
        <w:widowControl/>
        <w:spacing w:line="360" w:lineRule="auto"/>
        <w:ind w:firstLine="640" w:firstLineChars="200"/>
        <w:jc w:val="left"/>
        <w:rPr>
          <w:rFonts w:ascii="仿宋" w:hAnsi="仿宋" w:eastAsia="仿宋" w:cs="仿宋_GB2312"/>
          <w:kern w:val="0"/>
          <w:sz w:val="32"/>
          <w:szCs w:val="32"/>
        </w:rPr>
      </w:pP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0" w:firstLineChars="200"/>
        <w:jc w:val="left"/>
        <w:rPr>
          <w:rFonts w:ascii="仿宋" w:hAnsi="仿宋" w:eastAsia="仿宋" w:cs="仿宋"/>
          <w:b/>
          <w:kern w:val="0"/>
          <w:sz w:val="32"/>
          <w:szCs w:val="32"/>
        </w:rPr>
      </w:pPr>
      <w:r>
        <w:rPr>
          <w:rFonts w:hint="eastAsia" w:ascii="仿宋" w:hAnsi="仿宋" w:eastAsia="仿宋" w:cs="微软雅黑"/>
          <w:kern w:val="0"/>
          <w:sz w:val="32"/>
          <w:szCs w:val="32"/>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b/>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pPr>
    </w:p>
    <w:sectPr>
      <w:pgSz w:w="11907" w:h="16839"/>
      <w:pgMar w:top="1020" w:right="1134" w:bottom="102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7"/>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doNotTrackMoves/>
  <w:documentProtection w:enforcement="0"/>
  <w:defaultTabStop w:val="420"/>
  <w:drawingGridHorizontalSpacing w:val="105"/>
  <w:drawingGridVerticalSpacing w:val="159"/>
  <w:noPunctuationKerning w:val="1"/>
  <w:characterSpacingControl w:val="compressPunctuation"/>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B3B"/>
    <w:rsid w:val="003B2B22"/>
    <w:rsid w:val="00431105"/>
    <w:rsid w:val="007553D8"/>
    <w:rsid w:val="007C1E70"/>
    <w:rsid w:val="009C3B3B"/>
    <w:rsid w:val="00B26722"/>
    <w:rsid w:val="0A5C1073"/>
    <w:rsid w:val="14EA0BED"/>
    <w:rsid w:val="178C1944"/>
    <w:rsid w:val="20D609FE"/>
    <w:rsid w:val="24A2799E"/>
    <w:rsid w:val="364436D7"/>
    <w:rsid w:val="37E477FA"/>
    <w:rsid w:val="466C23C5"/>
    <w:rsid w:val="4A9568DC"/>
    <w:rsid w:val="5C1F393D"/>
    <w:rsid w:val="638B4306"/>
    <w:rsid w:val="72676F11"/>
    <w:rsid w:val="7B630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semiHidden/>
    <w:uiPriority w:val="0"/>
    <w:rPr>
      <w:kern w:val="2"/>
      <w:sz w:val="18"/>
      <w:szCs w:val="18"/>
    </w:rPr>
  </w:style>
  <w:style w:type="character" w:customStyle="1" w:styleId="7">
    <w:name w:val="页眉 Char"/>
    <w:link w:val="3"/>
    <w:semiHidden/>
    <w:uiPriority w:val="0"/>
    <w:rPr>
      <w:kern w:val="2"/>
      <w:sz w:val="18"/>
      <w:szCs w:val="18"/>
    </w:rPr>
  </w:style>
  <w:style w:type="paragraph" w:customStyle="1" w:styleId="8">
    <w:name w:val="列出段落1"/>
    <w:basedOn w:val="1"/>
    <w:uiPriority w:val="0"/>
    <w:pPr>
      <w:ind w:firstLine="420" w:firstLineChars="200"/>
    </w:pPr>
  </w:style>
  <w:style w:type="paragraph" w:customStyle="1" w:styleId="9">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679</Words>
  <Characters>3874</Characters>
  <Lines>32</Lines>
  <Paragraphs>9</Paragraphs>
  <TotalTime>13</TotalTime>
  <ScaleCrop>false</ScaleCrop>
  <LinksUpToDate>false</LinksUpToDate>
  <CharactersWithSpaces>4544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2017-06-24T09:20:00Z</dcterms:created>
  <dc:creator>lenovo</dc:creator>
  <cp:lastModifiedBy>Administrator</cp:lastModifiedBy>
  <dcterms:modified xsi:type="dcterms:W3CDTF">2021-05-18T08:42:31Z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F389911F39904503B6D433A1607C183F</vt:lpwstr>
  </property>
</Properties>
</file>