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成安县交通运输局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2020年部门预算公开情况说明</w:t>
      </w:r>
    </w:p>
    <w:p>
      <w:pPr>
        <w:jc w:val="center"/>
        <w:rPr>
          <w:rFonts w:ascii="仿宋_GB2312" w:hAnsi="黑体" w:eastAsia="仿宋_GB2312"/>
          <w:sz w:val="10"/>
          <w:szCs w:val="10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现将交通运输局2020年部门预算公开如下：</w:t>
      </w:r>
    </w:p>
    <w:p>
      <w:p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一、部门职责及机构设置情况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（一）根据县委，县政府及市交通运输局指示，制定我县交通发展规划。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综合运输体系的规划协调工作，负责交通运输枢纽规划，建设和管理，负责县城区公共交通的经营及其场站设施的建设管理，负责城区营运线路的新辟和调整，推进全县城乡公交一体化的实施，指导协调运输企业、个体经营者客运线路运营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（三）负责全县公路运输市场管理。贯彻落实公路运输有关政策、法规、技术标准和运营规范并监督实施。负责 运输市场、运输服务、车辆维修、停车场、搬运装卸、机动车性能检测、机动车驾驶学校和驾驶员培训的行业管理。负责和指导城乡客运及相关设施规划和管理，负责出租汽车行业管理工作。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（四）承担全县公路路政管理，维护公路路产、路权及公路设施，治理公路运输车辆超载。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（五）承担全县城乡公路建设规划。负责辖区内公路及其设施建设、养护和管理。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（六）负责全局人事、劳动管理和工资、社会福利保险等工作，负责局属股、站领导班子建设管理工作。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（七）组织指导交通运输系统干部职工的业务、专业技术培训教育，负责组织职工技能和技术等级申报、考核。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（八）搞好交通运输系统财务管理，加强对直属单位的财务、审计、监督。收集整理交通运输行业数据信息。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（九）指导交通运输系统的精神文明建设，整顿职工的思想工作作风，搞好行风建设。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（十）承担全县公路行业安全生产和应急管理工作。按规定组织协调国家、省、市、县重点物资和紧急客货运输。承担国防交通战备工作。</w:t>
      </w:r>
    </w:p>
    <w:p>
      <w:pPr>
        <w:spacing w:line="36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（十一）承办县委、县政府，市交通运输局交办的其他项。</w:t>
      </w:r>
    </w:p>
    <w:p>
      <w:pPr>
        <w:widowControl/>
        <w:spacing w:line="360" w:lineRule="auto"/>
        <w:ind w:firstLine="630" w:firstLineChars="196"/>
        <w:jc w:val="left"/>
        <w:rPr>
          <w:rFonts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人员编制和领导职数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人员编制11名，其中领导职数6个。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部门机构设置情况</w:t>
      </w:r>
    </w:p>
    <w:tbl>
      <w:tblPr>
        <w:tblStyle w:val="4"/>
        <w:tblW w:w="8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成安县交通运输局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局级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财政拨款</w:t>
            </w:r>
          </w:p>
        </w:tc>
      </w:tr>
    </w:tbl>
    <w:p>
      <w:pPr>
        <w:widowControl/>
        <w:spacing w:line="360" w:lineRule="auto"/>
        <w:ind w:left="628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>内设主要</w:t>
      </w:r>
      <w:r>
        <w:rPr>
          <w:rFonts w:ascii="Calibri" w:hAnsi="Calibri" w:eastAsia="仿宋_GB2312" w:cs="Calibri"/>
          <w:b/>
          <w:kern w:val="0"/>
          <w:sz w:val="32"/>
          <w:szCs w:val="32"/>
        </w:rPr>
        <w:t>机构</w:t>
      </w: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>及职责</w:t>
      </w:r>
    </w:p>
    <w:p>
      <w:pPr>
        <w:widowControl/>
        <w:spacing w:line="360" w:lineRule="auto"/>
        <w:ind w:left="628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成安县成安县交通运输局，预算编码是348002，内设7个内部机构。</w:t>
      </w:r>
    </w:p>
    <w:p>
      <w:pPr>
        <w:widowControl/>
        <w:numPr>
          <w:ilvl w:val="0"/>
          <w:numId w:val="1"/>
        </w:numPr>
        <w:spacing w:line="360" w:lineRule="auto"/>
        <w:ind w:left="628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办公室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主要负责：</w:t>
      </w:r>
      <w:r>
        <w:rPr>
          <w:rFonts w:hint="eastAsia" w:ascii="仿宋" w:hAnsi="仿宋" w:eastAsia="仿宋" w:cs="仿宋"/>
          <w:sz w:val="32"/>
          <w:szCs w:val="32"/>
        </w:rPr>
        <w:t>负责组织协调局机关工作，机要、保密、提案、来信、来访督查、目标管理，安全保卫和后勤行政等管理工作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2、人事股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主要负责：</w:t>
      </w:r>
      <w:r>
        <w:rPr>
          <w:rFonts w:hint="eastAsia" w:ascii="仿宋" w:hAnsi="仿宋" w:eastAsia="仿宋" w:cs="仿宋"/>
          <w:sz w:val="32"/>
          <w:szCs w:val="32"/>
        </w:rPr>
        <w:t>负责全局人事工作；负责归口管理专业技术干部职称评聘、继续教育、人才交流与引进和培养工作；负责归口管理技术工人技术等级考核，评定和申报等工作；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3、财务股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负责全局财务工作；负责交通建设资金的筹集、调度、使用和管理工作；负责局下属单位财务监督、检查及财务管理的指导工作；加强财务管理、纠正违反财经纪律的行为；负责交通系统国有资产管理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4、纪检室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主要负责：交通系统的纪律检查和行政监察工作，抓好党风、党纪、廉政建设，负责交通系统党员和干部职工违反党的纪律及有关规定的案件督查。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5、工程股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主要负责：改造工程预算；负责对公路设计文件、施工单位资质审核；监督工程质量；负责落实有关变更设计，审定工程决算等。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6、项目办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主要负责：交通基础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</w:t>
      </w:r>
      <w:r>
        <w:rPr>
          <w:rFonts w:hint="eastAsia" w:ascii="仿宋" w:hAnsi="仿宋" w:eastAsia="仿宋" w:cs="仿宋"/>
          <w:sz w:val="32"/>
          <w:szCs w:val="32"/>
        </w:rPr>
        <w:t>施建设，项目管理。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7、规划科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主要负责：负责项目规划管理。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二、部门预算安排的总体情况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、收入说明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2020年预算收入1925.11万元，其中：一般公共预算收入1925.11万元，政府性基金收入０万元，国有资本经营收入０万元，事业收入０万元，其他收入０万元。</w:t>
      </w:r>
    </w:p>
    <w:p>
      <w:pPr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、支出说明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2020年支出预算1925.11万元，其中: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基本支出214.11万元，主要包括人员经费147.03万元，公用经费67.08万元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；项目支出1711万元，主要为农村道路建设和交通运输支出。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、比上年增减变化情况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2020年预算收支安排1925.11万元，较2019年预算减少了5904.33万元，其中：基本支出增加46.78万元，项目支出减少5951.11万元，基本支出增加主要是人员工资增加及养老保险清算，项目支出减少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主要原因是道路基础设施建设项目减少，因此支出减少。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机关运行经费共计安排67.08万元，由于体制下划的原因，该部分资金全部在项目支出中反映，主要用于办公区的日常维修、办公用房水电费、邮电费、办公用房取暖费、办公用房物业管理费等日常运行支出。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四、财政拨款“三公”经费预算情况及增减变化原因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2020年，我单位“三公”经费预算安排0万元，其中因公出国（境）费万元；公务用车购置及运维费万元（其中：公务用车购置费为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万元，公务用车运行费0万元)；公务接待费0万元。与去年相比降低了0%。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五、绩效预算信息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bookmarkStart w:id="0" w:name="_Toc471398463"/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总体绩效目标：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我局在县委、县政府和市交通运输局的正确领导下，认真落实各级绩效考核目标要求，切实改进作风，创新工作机制，提升服务效能。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华文仿宋" w:eastAsia="仿宋_GB2312"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分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项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绩效目标：</w:t>
      </w:r>
    </w:p>
    <w:p>
      <w:pPr>
        <w:topLinePunct/>
        <w:ind w:firstLine="64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疫情常态化防控工作绩效目标</w:t>
      </w:r>
    </w:p>
    <w:p>
      <w:pPr>
        <w:topLinePunct/>
        <w:ind w:firstLine="64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严格按照市委、市政府要求，进一步加强“四站一场”联防联控。会同市公安、卫健部门对“四站一场”进行体温检测，积极开展联防联控。全力做好交通运输行业常态化疫情防控工作，持续开展城市公交、出租汽车、长途客运疫情防控工作，坚决打赢疫情防控阻击战。</w:t>
      </w:r>
    </w:p>
    <w:p>
      <w:pPr>
        <w:topLinePunct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强化市场监管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topLinePunct/>
        <w:ind w:firstLine="640"/>
        <w:rPr>
          <w:rFonts w:hint="eastAsia" w:ascii="仿宋_GB2312" w:hAnsi="黑体" w:eastAsia="仿宋_GB2312" w:cs="楷体_GB2312"/>
          <w:bCs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强化路政管理，加大公路环境督导力度，推进公路视频信息系统建设，持续督导限高限宽设施及管控点整治工作。加强超限超载治理工作，加大科技治超力度，推进非现场执法和站前渠化建设。加强公路管养力度，加强重点工程项目、关键环节的质量管理，加快推进工程进展，确保高质量完成全年建设任务，保障公路安全畅通。</w:t>
      </w:r>
    </w:p>
    <w:p>
      <w:pPr>
        <w:topLinePunct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深入开展交通运输领域大气污染治理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topLinePunct/>
        <w:ind w:firstLine="64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大宗物料运输调控工作实现精准化、常态化；深入推进新能源汽车和道路运输节能环保技术；进一步完善主城区周边普通干线公路“三机一体”化作业，加大公路扬尘治理力度，实现网格化、常态化管理。强力推进公路施工扬尘治理，全面落实主城区建筑施工“八项标准”要求。持续开展公路两侧停车场整治，深化公路路域环境综合治理工作。</w:t>
      </w:r>
    </w:p>
    <w:p>
      <w:pPr>
        <w:topLinePunct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加快农村公路建设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topLinePunct/>
        <w:ind w:firstLine="64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持续推进农村公路管理养护体制改革，督促各县区将农村公路养护经费列入财政预算并足额拨付到位，更好地开展农村公路养护工作。持续推动“四好农村路”建设，争取更多的市级美丽农村路成功创建省级精品示范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</w:rPr>
        <w:t>保持交通运输行业安全稳定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深入开展安全生产专项整治三年行动，加强对道路运输、公路施工等重点领域的安全监管，全面提升企业安全生产管理水平。完善铁路沿线环境安全监管长效机制，高质量，高标准完成铁路沿线环境安全隐患的整治工作，确保全市交通运输系统安全稳定。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（三）工作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保障措施</w:t>
      </w:r>
    </w:p>
    <w:p>
      <w:pPr>
        <w:topLinePunct/>
        <w:ind w:firstLine="640"/>
        <w:rPr>
          <w:rFonts w:hint="eastAsia" w:ascii="仿宋_GB2312" w:hAnsi="黑体" w:eastAsia="仿宋_GB2312" w:cs="楷体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加强对道路运输、公路施工等重点领域的安全监管，强化路政管理，加大公路环境督导力度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加强超限超载治理工作，推进非现场执法和站前渠化建设。加强公路管养力度，加强重点工程项目、关键环节的质量管理，加快推进工程进展，确保高质量完成全年建设任务，保障公路安全畅通。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ascii="楷体_GB2312" w:hAnsi="黑体" w:eastAsia="楷体_GB2312" w:cs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 w:cs="楷体_GB2312"/>
          <w:b/>
          <w:bCs/>
          <w:sz w:val="32"/>
          <w:szCs w:val="32"/>
        </w:rPr>
        <w:t>部门职责及工作活动绩效目标指标：</w:t>
      </w:r>
      <w:bookmarkEnd w:id="0"/>
    </w:p>
    <w:p>
      <w:pPr>
        <w:spacing w:line="560" w:lineRule="exact"/>
        <w:ind w:firstLine="1920" w:firstLineChars="600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2560" w:firstLineChars="8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部门职责-工作活动绩效目标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96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881"/>
        <w:gridCol w:w="2054"/>
        <w:gridCol w:w="2055"/>
        <w:gridCol w:w="978"/>
        <w:gridCol w:w="509"/>
        <w:gridCol w:w="509"/>
        <w:gridCol w:w="508"/>
        <w:gridCol w:w="5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7585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348</w:t>
            </w:r>
            <w:r>
              <w:rPr>
                <w:rFonts w:hint="eastAsia" w:ascii="方正小标宋_GBK" w:eastAsia="方正小标宋_GBK"/>
                <w:sz w:val="24"/>
              </w:rPr>
              <w:t>成安县交通局</w:t>
            </w:r>
          </w:p>
        </w:tc>
        <w:tc>
          <w:tcPr>
            <w:tcW w:w="20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交通运输基础设施养护、维护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40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组织交通运输基础设施养护、维护，超限超载治理经费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使超限超载工作正常运行，保障道路畅通。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96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人员经费及公路养护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1412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人员经费支出，对普通国省干线公路主体及其附属设施、设备进行保养中修、大修、维护农村公路养护等。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完成全年普通干线公路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及农村公路养护 治理隐患，保障道路畅通，方便群众出行。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年度普通干线公路养护工程量完成率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96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年度普通干线公路养护投资完成率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94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91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农村公路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200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对农村公路保养与维护进行资金补助，引导带动各地加强农村公路养护。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恢复、提升农村公路原有技术指标，维护、完善交通工程、安全设施、服务管理等附属设施，保持良好的技术状况。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年度农村公路养护工程量完成率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97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年度农村公路养护投资完成率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97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公路建设管理养护基础数据采集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通过公路各项指标地理信息、数据采集及桥梁隧道检测、交通量调查等方式，适时采集相关数据并及时更新；管理维护设备及数据采集信息系统。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按时、保质、保量完成数据采集分析，为公路管理提供依据和支持。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公路基础信息数据使用率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公路基础信息数据更新率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公路、水运工程养护监督和管理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对公路、水运工程及其设施养护工程质量安全及招投标活动进行监督和管理。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各项业务顺利开展，按时完成工作。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项目质量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工作质量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承担全县综合运输体系的规划协调，指导城乡客运及有关设施规划和管理，对全县公路及其设施的建设和养护进行管理，指导出租汽车行业管理工作。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保障道路通畅，完成运输生产任务，确保安全生产，提高服务保障水平。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对公路建设、养护、运营及路政、治理超限超载进行管理。审批公路建设项目施工图并进行现场管理，依法行使公路方面行政处罚权，对全县公路超限治理进行监督管理。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 xml:space="preserve"> 缓解繁忙路段交通压力；维护路产路权，治理超限运输，保障通行能力，提高服务水平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超限超载率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审批完成率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安全生产维稳控制目标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道路运输管理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全县道路旅客运输、货物运输、从业人员、道路运输相关业务进行行业管理、市场监管及安全检查，依法行使道路运输行政许可、行政处罚强制权，监督检查有关道路运输法律法规的执行情况，对全县货运源头治超工作进行监督检查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旅客周转量人公里，公路货物周转量吨公里。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超限超载率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92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年营业性客货运周转量目标完成率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城市公交管理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59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对全县客运（含公共汽电车、出租汽车、汽车租赁）进行行业管理。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客运管理业务顺利开展，按时完成工作。并保障行业安全稳与稳定。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乘客满意率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安全生产维稳控制目标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地方成品油价格和税费改革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油价更好的控制，税费进一步完善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使成品油价格和税费得到稳固的改革目标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成品油和税费改革措施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按照上级要求，对地方成品油和税费进行改革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使成品油价格和税费得到稳固的改革目标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油价和税费改革得到的效益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交通政务管理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负责交通运输综合交通运输体系建设，综合业务管理和综合事物管理。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机动车维修与检测人员考试人次，信息管理系统正常运行，修订公路定额，应急事项处理及时，各项事务运行正常。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行政运行管理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214.11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保障人员工资正常发放，人员稳定，做好公路养护、行政执法、公路建设等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保障交通各项工作正常运行，保持稳定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发放到位率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98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86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74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交通运输基础设施建设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按县政府规定权限审批、核准县规划内和年度计划规模内的固定资产投资项目，完成交通基础设施投资；对重点工程建设、工程质量和安全生产进行监管，对招投标活动进行监督管理。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完成农村公路投资，保障交通基础设施建设项目质量；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质量合格率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95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93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90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普通国省干线公路建设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安排补助资金，组织实施各项普通国省干线公路建设，完成投资任务。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完成全年普通干线公路投资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年度普通干线公路建设项目工程质量合格率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96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69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58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六、政府采购预算情况</w:t>
      </w:r>
    </w:p>
    <w:p>
      <w:pPr>
        <w:spacing w:line="560" w:lineRule="exact"/>
        <w:ind w:firstLine="640" w:firstLineChars="200"/>
        <w:outlineLvl w:val="0"/>
        <w:rPr>
          <w:rFonts w:ascii="宋体" w:hAnsi="宋体" w:eastAsia="宋体" w:cs="Times New Roman"/>
          <w:sz w:val="32"/>
          <w:szCs w:val="32"/>
        </w:rPr>
      </w:pPr>
      <w:bookmarkStart w:id="1" w:name="_Toc471398468"/>
      <w:r>
        <w:rPr>
          <w:rFonts w:hint="eastAsia" w:ascii="宋体" w:hAnsi="宋体" w:eastAsia="宋体" w:cs="Times New Roman"/>
          <w:sz w:val="32"/>
          <w:szCs w:val="32"/>
        </w:rPr>
        <w:t>2020</w:t>
      </w:r>
      <w:r>
        <w:rPr>
          <w:rFonts w:hint="eastAsia" w:ascii="宋体" w:hAnsi="宋体" w:eastAsia="宋体" w:cs="方正仿宋_GBK"/>
          <w:sz w:val="32"/>
          <w:szCs w:val="32"/>
        </w:rPr>
        <w:t>年，我单位政府采购预算10万元。具体内容见下表。</w:t>
      </w:r>
    </w:p>
    <w:p>
      <w:pPr>
        <w:spacing w:line="560" w:lineRule="exact"/>
        <w:ind w:firstLine="3200" w:firstLineChars="1000"/>
        <w:outlineLvl w:val="0"/>
        <w:rPr>
          <w:rFonts w:ascii="宋体" w:hAnsi="宋体" w:eastAsia="宋体" w:cs="方正小标宋_GBK"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部门政府采购预算</w:t>
      </w:r>
      <w:bookmarkEnd w:id="1"/>
    </w:p>
    <w:tbl>
      <w:tblPr>
        <w:tblStyle w:val="4"/>
        <w:tblW w:w="90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2"/>
        <w:gridCol w:w="900"/>
        <w:gridCol w:w="695"/>
        <w:gridCol w:w="696"/>
        <w:gridCol w:w="572"/>
        <w:gridCol w:w="696"/>
        <w:gridCol w:w="727"/>
        <w:gridCol w:w="562"/>
        <w:gridCol w:w="562"/>
        <w:gridCol w:w="511"/>
        <w:gridCol w:w="551"/>
        <w:gridCol w:w="551"/>
        <w:gridCol w:w="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80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小标宋_GBK"/>
                <w:sz w:val="24"/>
                <w:szCs w:val="24"/>
              </w:rPr>
              <w:t>部门（单位）名称：成安县交通运输局</w:t>
            </w:r>
          </w:p>
        </w:tc>
        <w:tc>
          <w:tcPr>
            <w:tcW w:w="3980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政府采购项目来源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采购物品名称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政府采购目录序号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数量单位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单价</w:t>
            </w:r>
          </w:p>
        </w:tc>
        <w:tc>
          <w:tcPr>
            <w:tcW w:w="398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项目名称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预算资金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2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5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基金预算拨款</w:t>
            </w: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财政专户核拨</w:t>
            </w:r>
          </w:p>
        </w:tc>
        <w:tc>
          <w:tcPr>
            <w:tcW w:w="5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其他来源收入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　计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10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10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10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日常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公用经费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1.5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打印机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A0201060102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台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4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1.5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1.5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1.5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日常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公用经费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4.5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电脑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A02010104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台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10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4.5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4.5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4.5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日常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公用经费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空调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A0206180203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台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4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日常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公用经费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办公桌，椅</w:t>
            </w:r>
          </w:p>
        </w:tc>
        <w:tc>
          <w:tcPr>
            <w:tcW w:w="695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A060299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套</w:t>
            </w:r>
          </w:p>
        </w:tc>
        <w:tc>
          <w:tcPr>
            <w:tcW w:w="572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</w:t>
            </w:r>
          </w:p>
        </w:tc>
        <w:tc>
          <w:tcPr>
            <w:tcW w:w="69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宋体" w:hAnsi="宋体" w:eastAsia="宋体" w:cs="Times New Roma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宋体" w:hAnsi="宋体" w:eastAsia="宋体" w:cs="Times New Roman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按照政府采购相关法律法规要求，结合我局实际，2020年我局政府采购事项为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万元，主要用于改善办公条件。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七、国有资产信息</w:t>
      </w:r>
    </w:p>
    <w:p>
      <w:pPr>
        <w:spacing w:line="560" w:lineRule="exact"/>
        <w:ind w:firstLine="64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成安县交通运输部门上年末固定资产金额为521.48万元，本年度拟购置固定资产主要为10万元。计算机设备、打印设备、空调，已列入政府采购预算。详见下表。</w:t>
      </w:r>
    </w:p>
    <w:tbl>
      <w:tblPr>
        <w:tblStyle w:val="4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855"/>
        <w:gridCol w:w="4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编制部门：成安县交通运输局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截止时间：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340.43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340.43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63.05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、单价在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200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118</w:t>
            </w:r>
          </w:p>
        </w:tc>
      </w:tr>
    </w:tbl>
    <w:p>
      <w:p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八、名词解释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3、年初结转和结余：指以前年度尚未完成，结转到本年仍按照原规定用途继续使用的资金，或项目已完成等产生的结余资金。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  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tabs>
          <w:tab w:val="left" w:pos="1149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九、其它需要说明的事项</w:t>
      </w:r>
    </w:p>
    <w:p>
      <w:pPr>
        <w:tabs>
          <w:tab w:val="left" w:pos="11490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无其它需要说明的事项。</w:t>
      </w:r>
    </w:p>
    <w:p>
      <w:pPr>
        <w:spacing w:line="560" w:lineRule="exact"/>
        <w:ind w:firstLine="645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 w:cs="Times New Roman"/>
        <w:sz w:val="32"/>
        <w:szCs w:val="32"/>
      </w:rPr>
    </w:pPr>
    <w:r>
      <w:rPr>
        <w:rFonts w:ascii="仿宋" w:hAnsi="仿宋" w:eastAsia="仿宋" w:cs="仿宋"/>
        <w:sz w:val="32"/>
        <w:szCs w:val="32"/>
      </w:rPr>
      <w:fldChar w:fldCharType="begin"/>
    </w:r>
    <w:r>
      <w:rPr>
        <w:rFonts w:ascii="仿宋" w:hAnsi="仿宋" w:eastAsia="仿宋" w:cs="仿宋"/>
        <w:sz w:val="32"/>
        <w:szCs w:val="32"/>
      </w:rPr>
      <w:instrText xml:space="preserve">PAGE   \* MERGEFORMAT</w:instrText>
    </w:r>
    <w:r>
      <w:rPr>
        <w:rFonts w:ascii="仿宋" w:hAnsi="仿宋" w:eastAsia="仿宋" w:cs="仿宋"/>
        <w:sz w:val="32"/>
        <w:szCs w:val="32"/>
      </w:rPr>
      <w:fldChar w:fldCharType="separate"/>
    </w:r>
    <w:r>
      <w:rPr>
        <w:rFonts w:ascii="仿宋" w:hAnsi="仿宋" w:eastAsia="仿宋" w:cs="仿宋"/>
        <w:sz w:val="32"/>
        <w:szCs w:val="32"/>
        <w:lang w:val="zh-CN"/>
      </w:rPr>
      <w:t>5</w:t>
    </w:r>
    <w:r>
      <w:rPr>
        <w:rFonts w:ascii="仿宋" w:hAnsi="仿宋" w:eastAsia="仿宋" w:cs="仿宋"/>
        <w:sz w:val="32"/>
        <w:szCs w:val="32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CCB38"/>
    <w:multiLevelType w:val="singleLevel"/>
    <w:tmpl w:val="58BCCB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NlMjE1N2Y2ZWMzZDU0NzU4ZTI4ZDNiMDE1NmRhZWYifQ=="/>
  </w:docVars>
  <w:rsids>
    <w:rsidRoot w:val="00524AAA"/>
    <w:rsid w:val="00032857"/>
    <w:rsid w:val="000A796E"/>
    <w:rsid w:val="00101201"/>
    <w:rsid w:val="00101C7A"/>
    <w:rsid w:val="001030C1"/>
    <w:rsid w:val="00131928"/>
    <w:rsid w:val="001A3CB4"/>
    <w:rsid w:val="001E0232"/>
    <w:rsid w:val="00206B22"/>
    <w:rsid w:val="002307B5"/>
    <w:rsid w:val="0026772F"/>
    <w:rsid w:val="002C0317"/>
    <w:rsid w:val="00325594"/>
    <w:rsid w:val="003315F2"/>
    <w:rsid w:val="0037750D"/>
    <w:rsid w:val="003C4C5D"/>
    <w:rsid w:val="003D1126"/>
    <w:rsid w:val="003D1369"/>
    <w:rsid w:val="003D22B1"/>
    <w:rsid w:val="004150B7"/>
    <w:rsid w:val="00453A06"/>
    <w:rsid w:val="004A6FC5"/>
    <w:rsid w:val="00524AAA"/>
    <w:rsid w:val="00540B46"/>
    <w:rsid w:val="005412A2"/>
    <w:rsid w:val="005730D6"/>
    <w:rsid w:val="005F4345"/>
    <w:rsid w:val="005F5A4F"/>
    <w:rsid w:val="00645338"/>
    <w:rsid w:val="0064535F"/>
    <w:rsid w:val="006561F5"/>
    <w:rsid w:val="0068144F"/>
    <w:rsid w:val="007245CC"/>
    <w:rsid w:val="00747D9E"/>
    <w:rsid w:val="007775CB"/>
    <w:rsid w:val="007B4EB3"/>
    <w:rsid w:val="007C484E"/>
    <w:rsid w:val="007F0D2E"/>
    <w:rsid w:val="008060CB"/>
    <w:rsid w:val="00825F97"/>
    <w:rsid w:val="008327A0"/>
    <w:rsid w:val="00875ABF"/>
    <w:rsid w:val="008C39AE"/>
    <w:rsid w:val="00933068"/>
    <w:rsid w:val="00973104"/>
    <w:rsid w:val="00990CB9"/>
    <w:rsid w:val="009B2D48"/>
    <w:rsid w:val="009C264C"/>
    <w:rsid w:val="009F0612"/>
    <w:rsid w:val="009F6B65"/>
    <w:rsid w:val="00A12AE7"/>
    <w:rsid w:val="00A15ADE"/>
    <w:rsid w:val="00A6455D"/>
    <w:rsid w:val="00A95F51"/>
    <w:rsid w:val="00A9676E"/>
    <w:rsid w:val="00AC6968"/>
    <w:rsid w:val="00AE416F"/>
    <w:rsid w:val="00B13EFE"/>
    <w:rsid w:val="00B14C4D"/>
    <w:rsid w:val="00B50088"/>
    <w:rsid w:val="00B500A4"/>
    <w:rsid w:val="00B951D6"/>
    <w:rsid w:val="00BA2E2C"/>
    <w:rsid w:val="00BA40C6"/>
    <w:rsid w:val="00BA6B82"/>
    <w:rsid w:val="00CA555B"/>
    <w:rsid w:val="00CB3E21"/>
    <w:rsid w:val="00CD0F72"/>
    <w:rsid w:val="00CF3890"/>
    <w:rsid w:val="00CF7914"/>
    <w:rsid w:val="00D27A25"/>
    <w:rsid w:val="00D312BA"/>
    <w:rsid w:val="00D50CEF"/>
    <w:rsid w:val="00D5268B"/>
    <w:rsid w:val="00D73351"/>
    <w:rsid w:val="00DE2B0E"/>
    <w:rsid w:val="00DE674D"/>
    <w:rsid w:val="00E000C9"/>
    <w:rsid w:val="00E24B37"/>
    <w:rsid w:val="00E474B2"/>
    <w:rsid w:val="00E87B0C"/>
    <w:rsid w:val="00E91C36"/>
    <w:rsid w:val="00EC6317"/>
    <w:rsid w:val="00EF3D70"/>
    <w:rsid w:val="00F14752"/>
    <w:rsid w:val="00F311AF"/>
    <w:rsid w:val="00F66032"/>
    <w:rsid w:val="00FB5EA2"/>
    <w:rsid w:val="00FC5664"/>
    <w:rsid w:val="00FF3FE2"/>
    <w:rsid w:val="02BF36EC"/>
    <w:rsid w:val="06DA69E7"/>
    <w:rsid w:val="0CF60568"/>
    <w:rsid w:val="0D357E43"/>
    <w:rsid w:val="0D7A2D8A"/>
    <w:rsid w:val="13421F91"/>
    <w:rsid w:val="17DC185E"/>
    <w:rsid w:val="184032A0"/>
    <w:rsid w:val="195C3383"/>
    <w:rsid w:val="19A303FF"/>
    <w:rsid w:val="1EB10E92"/>
    <w:rsid w:val="1F49353F"/>
    <w:rsid w:val="206F16B6"/>
    <w:rsid w:val="26CE6F6C"/>
    <w:rsid w:val="2777798C"/>
    <w:rsid w:val="2B2A4C38"/>
    <w:rsid w:val="3336020C"/>
    <w:rsid w:val="36F842BF"/>
    <w:rsid w:val="38024030"/>
    <w:rsid w:val="3AFF7729"/>
    <w:rsid w:val="444A6A95"/>
    <w:rsid w:val="494447AB"/>
    <w:rsid w:val="506A55C5"/>
    <w:rsid w:val="50FE5FE4"/>
    <w:rsid w:val="51751B0B"/>
    <w:rsid w:val="57B940A4"/>
    <w:rsid w:val="58120EF7"/>
    <w:rsid w:val="5BAF22D6"/>
    <w:rsid w:val="5DC2281F"/>
    <w:rsid w:val="5EAB2628"/>
    <w:rsid w:val="5F9F14E2"/>
    <w:rsid w:val="605A1DCF"/>
    <w:rsid w:val="632B0D83"/>
    <w:rsid w:val="634E0237"/>
    <w:rsid w:val="64AB378F"/>
    <w:rsid w:val="67D4423F"/>
    <w:rsid w:val="6C1B62C7"/>
    <w:rsid w:val="7026747F"/>
    <w:rsid w:val="711A1DCB"/>
    <w:rsid w:val="76386D63"/>
    <w:rsid w:val="767A20E5"/>
    <w:rsid w:val="77336CA1"/>
    <w:rsid w:val="7A6F0B20"/>
    <w:rsid w:val="7E473C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60DD-672F-4E78-8905-D990A5B48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5136</Words>
  <Characters>5435</Characters>
  <Lines>35</Lines>
  <Paragraphs>10</Paragraphs>
  <TotalTime>4</TotalTime>
  <ScaleCrop>false</ScaleCrop>
  <LinksUpToDate>false</LinksUpToDate>
  <CharactersWithSpaces>5508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2017-11-10T09:22:00Z</dcterms:created>
  <dc:creator>旭东</dc:creator>
  <cp:lastModifiedBy>Administrator</cp:lastModifiedBy>
  <dcterms:modified xsi:type="dcterms:W3CDTF">2024-01-18T09:55:27Z</dcterms:modified>
  <dc:title>2017年部门预算公开督导整改要求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0CBA4C7CB7C94FC7BE56C73C13CA72A9</vt:lpwstr>
  </property>
</Properties>
</file>