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kern w:val="0"/>
          <w:sz w:val="44"/>
          <w:szCs w:val="44"/>
        </w:rPr>
      </w:pP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成安县审计局</w:t>
      </w: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2020年部门预算公开情况说明</w:t>
      </w:r>
    </w:p>
    <w:p>
      <w:pPr>
        <w:spacing w:line="580" w:lineRule="exact"/>
        <w:ind w:firstLine="640" w:firstLineChars="200"/>
        <w:rPr>
          <w:rFonts w:ascii="黑体" w:hAnsi="黑体" w:eastAsia="黑体" w:cs="黑体"/>
          <w:bCs/>
          <w:sz w:val="32"/>
          <w:szCs w:val="32"/>
        </w:rPr>
      </w:pPr>
    </w:p>
    <w:p>
      <w:pPr>
        <w:spacing w:line="580" w:lineRule="exact"/>
        <w:ind w:firstLine="640" w:firstLineChars="200"/>
        <w:rPr>
          <w:rFonts w:ascii="仿宋" w:hAnsi="仿宋" w:eastAsia="仿宋" w:cs="仿宋"/>
          <w:b/>
          <w:kern w:val="0"/>
          <w:sz w:val="32"/>
          <w:szCs w:val="32"/>
        </w:rPr>
      </w:pPr>
      <w:r>
        <w:rPr>
          <w:rFonts w:hint="eastAsia" w:ascii="黑体" w:hAnsi="黑体" w:eastAsia="黑体" w:cs="黑体"/>
          <w:bCs/>
          <w:sz w:val="32"/>
          <w:szCs w:val="32"/>
        </w:rPr>
        <w:t>一、部门职责及机构设置情况</w:t>
      </w:r>
    </w:p>
    <w:p>
      <w:pPr>
        <w:spacing w:line="580" w:lineRule="exact"/>
        <w:ind w:firstLine="630" w:firstLineChars="196"/>
        <w:rPr>
          <w:rFonts w:ascii="楷体" w:hAnsi="楷体" w:eastAsia="楷体" w:cs="仿宋"/>
          <w:b/>
          <w:kern w:val="0"/>
          <w:sz w:val="32"/>
          <w:szCs w:val="32"/>
        </w:rPr>
      </w:pPr>
      <w:r>
        <w:rPr>
          <w:rFonts w:hint="eastAsia" w:ascii="楷体" w:hAnsi="楷体" w:eastAsia="楷体" w:cs="仿宋"/>
          <w:b/>
          <w:kern w:val="0"/>
          <w:sz w:val="32"/>
          <w:szCs w:val="32"/>
        </w:rPr>
        <w:t>部门职责：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审计局的主要职责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（一）组织领导全县审计工作，编制全县审计工作长远计划，年度计划，确定年度工作重点，研究制定年度工作重点，研究制定地方性审计业务法规和规章制度，指导行业和专项资金审计。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（二）直接进行下列审计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县政府各部门和接受县财政拨款的财政财务收支及资金使用效益。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县政府各部门和乡（镇）人民政府的预算外资金的收支及使用效益。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县政府财政预算执行情况。</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乡（镇）政府的财政预算、决算。</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党政领导干部和国有控股企业领导人员任期经济责任。</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对县属与国计民生有重大关系、上交利税或接受财政补贴较多或亏损额较大的县办国有企业实行定期审计。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地方金融、保险机构以及非银行金融机构的财务审计。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基本建设资金来源有开工前、施工中和竣工决算审计。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县政府各部门管理和社会团体受县政府委托管理的保障资金、社会捐赠以及其他有关</w:t>
      </w:r>
      <w:bookmarkStart w:id="0" w:name="_GoBack"/>
      <w:bookmarkEnd w:id="0"/>
      <w:r>
        <w:rPr>
          <w:rFonts w:hint="eastAsia" w:ascii="仿宋" w:hAnsi="仿宋" w:eastAsia="仿宋" w:cs="仿宋"/>
          <w:sz w:val="32"/>
          <w:szCs w:val="32"/>
        </w:rPr>
        <w:t>资金。</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县政府各部门及乡（镇）借用国外资金和使用的国外援助资金。</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国有资产占控股地位或主要地位企业的资产、负债、损益。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对其他法律、行政法规规定应当审计的项目。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（三）对上级审计机关授权的国家金融保险企业的财务、信贷、现金、外汇管理以及我县辖区内的中央、省、市属企业事业的单位审计。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（四）以危害社会主义经济和严重贪污、侵占国家资财、严重损失浪费及损害国家利益等行为进行专案审计。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（五）对审计中发现的宏观管理方面的问题，进行专题审计或审计调查，并向县政府反映情况提出建议。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（六）指导和监察审计事务所。</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（七）指导、监督县属部门、单位内部审计工作。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（八）对社会中介组织执行有关财经法规情况实行审计监督。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（九）组织审计人员培训。</w:t>
      </w:r>
    </w:p>
    <w:p>
      <w:pPr>
        <w:widowControl/>
        <w:spacing w:line="580" w:lineRule="exact"/>
        <w:ind w:firstLine="627" w:firstLineChars="196"/>
        <w:jc w:val="left"/>
        <w:rPr>
          <w:rFonts w:ascii="仿宋" w:hAnsi="仿宋" w:eastAsia="仿宋" w:cs="仿宋"/>
          <w:sz w:val="32"/>
          <w:szCs w:val="32"/>
        </w:rPr>
      </w:pPr>
      <w:r>
        <w:rPr>
          <w:rFonts w:hint="eastAsia" w:ascii="仿宋" w:hAnsi="仿宋" w:eastAsia="仿宋" w:cs="仿宋"/>
          <w:sz w:val="32"/>
          <w:szCs w:val="32"/>
        </w:rPr>
        <w:t>（十）承办县政府和市审计局交办的其他事项。</w:t>
      </w:r>
    </w:p>
    <w:p>
      <w:pPr>
        <w:widowControl/>
        <w:spacing w:line="580" w:lineRule="exact"/>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58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人员编制23名，其中领导职数5个。</w:t>
      </w: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hint="eastAsia"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r>
        <w:rPr>
          <w:rFonts w:hint="eastAsia" w:ascii="楷体" w:hAnsi="楷体" w:eastAsia="楷体" w:cs="仿宋"/>
          <w:b/>
          <w:kern w:val="0"/>
          <w:sz w:val="32"/>
          <w:szCs w:val="32"/>
        </w:rPr>
        <w:t>内设机构：</w:t>
      </w:r>
    </w:p>
    <w:p>
      <w:pPr>
        <w:pStyle w:val="7"/>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1772"/>
        <w:gridCol w:w="204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ascii="仿宋" w:hAnsi="仿宋" w:eastAsia="仿宋" w:cs="仿宋"/>
                <w:sz w:val="32"/>
                <w:szCs w:val="32"/>
              </w:rPr>
              <w:t>成安县</w:t>
            </w:r>
            <w:r>
              <w:rPr>
                <w:rFonts w:hint="eastAsia" w:ascii="仿宋" w:hAnsi="仿宋" w:eastAsia="仿宋" w:cs="仿宋"/>
                <w:sz w:val="32"/>
                <w:szCs w:val="32"/>
              </w:rPr>
              <w:t>审计</w:t>
            </w:r>
            <w:r>
              <w:rPr>
                <w:rFonts w:ascii="仿宋" w:hAnsi="仿宋" w:eastAsia="仿宋" w:cs="仿宋"/>
                <w:sz w:val="32"/>
                <w:szCs w:val="32"/>
              </w:rPr>
              <w:t>局</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行政</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我单位内设4个内部机构。办公室主要负责：（1）负责机关行政事务和保密、保卫、卫生、计划生育、综合治理工作，承担文书、档案、打字文印、接待、信访等工作，负责机关财务收支及财产车辆管理，负责筹备重要会议。（2）负责对局机关及下属事业单位职工的调配、任免、录用提出初步意见，并报有关部门审批及考核、奖惩、工资福利管理。负责编制全县审计系统干部业务培训计划，组织指导干部审计培训工作，负责本局老干部服务工作。（3）负责编制县审计工作制度计划、长远规划，负责全县审计统计工作，负责对审计业务工作检查和审计项目质量考核、验收，分析研究全县审计工作情况并负责业务工作总结。（4）负责宣传贯彻审计法规，草拟地方性审计规章制度及收集、整理财经法规资料，负责全局宣传教育、执法检查和有关法律咨询，承办审计案件应诉工作。</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2、业务科室主要负责：（1）负责审计乡（镇）财政预决算外资金管理情况和县财政预算执行情况，负责起草县政府每年向县人大常委会提出审计机关对财政预算执行和其他财政收支的审计报告。（2）负责审计上级审计机关授权的县级国家金融机构和驻县地方金融和非银行金融机构的财务现金、外汇收支计划的执行及结果，负责审计上级审计机关授权的在我县辖区内的烟草、邮电、石油等中央省、市属企业的资产、负债、损益情况。（3）按照计划进行专项资金审计专题审计调查（4）负责审计县政府各部门管理固定资产投资、施工企业的财务收支及其经济效益。具体落实建设项目资金来源、使用情况和经济效益进行开工前、施工中及竣工决算审计。（5）负责审计县直党、政、群机关和县直事业单位的财政、财务收支，负责对文教、卫生、民政事业费及其他专项事业费的审计，负责对社会保障事业、社会福利保险事业和社会公用事业的审计。（6）负责审计县属中外合资、中外合作企业的财政收支及经济效益的真实合法、合规，审计县属企业事业单位使用国外贷款、援款。按要求对内、外提供审计报告。</w:t>
      </w:r>
    </w:p>
    <w:p>
      <w:pPr>
        <w:widowControl/>
        <w:spacing w:line="580"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二、部门预算安排的总体情况</w:t>
      </w:r>
    </w:p>
    <w:p>
      <w:pPr>
        <w:widowControl/>
        <w:spacing w:line="580" w:lineRule="exact"/>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年预算收入599.69万元，其中：一般公共预算收入599.69万元，政府性基金收入0万元，国有资本经营收入0万元，事业收入0万元，其他收入0万元。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年支出预算599.69万元，其中基本支出499.69万元，项目支出100万元，主要包括人员经费491.89万元和日常公用经费7.80万元，主要为办公经费支出、电脑采购等。</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80" w:lineRule="exact"/>
        <w:ind w:firstLine="480" w:firstLineChars="150"/>
        <w:jc w:val="left"/>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20年预算收支安排599.69万元，较上年预算增加115.69万元，其中：基本支出增加115.69万元，</w:t>
      </w:r>
      <w:r>
        <w:rPr>
          <w:rFonts w:ascii="仿宋" w:hAnsi="仿宋" w:eastAsia="仿宋" w:cs="仿宋"/>
          <w:sz w:val="32"/>
          <w:szCs w:val="32"/>
        </w:rPr>
        <w:t>增长原因是</w:t>
      </w:r>
      <w:r>
        <w:rPr>
          <w:rFonts w:hint="eastAsia" w:ascii="仿宋" w:hAnsi="仿宋" w:eastAsia="仿宋" w:cs="仿宋"/>
          <w:sz w:val="32"/>
          <w:szCs w:val="32"/>
        </w:rPr>
        <w:t>主要是2020年对机关事业单位养老保险进行第三次清算和人员工资调整，增加部分预算支出主要为单位16%部分养老保险清算资金</w:t>
      </w:r>
      <w:r>
        <w:rPr>
          <w:rFonts w:ascii="仿宋" w:hAnsi="仿宋" w:eastAsia="仿宋" w:cs="仿宋"/>
          <w:sz w:val="32"/>
          <w:szCs w:val="32"/>
        </w:rPr>
        <w:t>。</w:t>
      </w:r>
    </w:p>
    <w:p>
      <w:pPr>
        <w:widowControl/>
        <w:tabs>
          <w:tab w:val="left" w:pos="5115"/>
        </w:tabs>
        <w:spacing w:line="580" w:lineRule="exact"/>
        <w:ind w:firstLine="960" w:firstLineChars="300"/>
        <w:jc w:val="left"/>
        <w:rPr>
          <w:rFonts w:ascii="黑体" w:hAnsi="黑体" w:eastAsia="黑体" w:cs="仿宋_GB2312"/>
          <w:kern w:val="0"/>
          <w:sz w:val="32"/>
          <w:szCs w:val="32"/>
        </w:rPr>
      </w:pPr>
      <w:r>
        <w:rPr>
          <w:rFonts w:hint="eastAsia" w:ascii="黑体" w:hAnsi="黑体" w:eastAsia="黑体" w:cs="仿宋_GB2312"/>
          <w:kern w:val="0"/>
          <w:sz w:val="32"/>
          <w:szCs w:val="32"/>
        </w:rPr>
        <w:t>三、机关运行经费安排情况</w:t>
      </w:r>
      <w:r>
        <w:rPr>
          <w:rFonts w:ascii="黑体" w:hAnsi="黑体" w:eastAsia="黑体" w:cs="仿宋_GB2312"/>
          <w:kern w:val="0"/>
          <w:sz w:val="32"/>
          <w:szCs w:val="32"/>
        </w:rPr>
        <w:tab/>
      </w:r>
    </w:p>
    <w:p>
      <w:pPr>
        <w:widowControl/>
        <w:spacing w:line="580" w:lineRule="exact"/>
        <w:ind w:firstLine="960" w:firstLineChars="300"/>
        <w:jc w:val="left"/>
        <w:rPr>
          <w:rFonts w:ascii="仿宋" w:hAnsi="仿宋" w:eastAsia="仿宋" w:cs="仿宋_GB2312"/>
          <w:kern w:val="0"/>
          <w:sz w:val="32"/>
          <w:szCs w:val="32"/>
        </w:rPr>
      </w:pPr>
      <w:r>
        <w:rPr>
          <w:rFonts w:hint="eastAsia" w:ascii="仿宋" w:hAnsi="仿宋" w:eastAsia="仿宋" w:cs="仿宋"/>
          <w:sz w:val="32"/>
          <w:szCs w:val="32"/>
        </w:rPr>
        <w:t>2020年，我单位</w:t>
      </w:r>
      <w:r>
        <w:rPr>
          <w:rFonts w:hint="eastAsia" w:ascii="仿宋" w:hAnsi="仿宋" w:eastAsia="仿宋" w:cs="仿宋_GB2312"/>
          <w:kern w:val="0"/>
          <w:sz w:val="32"/>
          <w:szCs w:val="32"/>
        </w:rPr>
        <w:t>日常公用经费安排7.80万元，包括：办公费、差旅费、水费、电费、会议费、招待费、转移支付，其他支出等。</w:t>
      </w:r>
    </w:p>
    <w:p>
      <w:pPr>
        <w:widowControl/>
        <w:spacing w:line="580" w:lineRule="exact"/>
        <w:ind w:left="420" w:leftChars="200"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pacing w:line="74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2020年度“三公”预算支出5.80万元，其中，因公出国（境）费0元，安排公务用车维护费4万元，（其中公务用车购置费0元，公务用车运行维护费4万元），公务接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费1.8万元，2019年度“三公”预算支出6万元，其中，因公出国（境）费0元，安排公务用车维护费4万元，（其中公务用车购置费0元，公务用车运行维护费4万元），公务接待费用2万元，2020年“三公”经费</w:t>
      </w:r>
      <w:r>
        <w:rPr>
          <w:rFonts w:hint="eastAsia" w:ascii="仿宋" w:hAnsi="仿宋" w:eastAsia="仿宋" w:cs="仿宋_GB2312"/>
          <w:kern w:val="0"/>
          <w:sz w:val="32"/>
          <w:szCs w:val="32"/>
          <w:lang w:eastAsia="zh-CN"/>
        </w:rPr>
        <w:t>中因公</w:t>
      </w:r>
      <w:r>
        <w:rPr>
          <w:rFonts w:hint="eastAsia" w:ascii="仿宋" w:hAnsi="仿宋" w:eastAsia="仿宋" w:cs="仿宋_GB2312"/>
          <w:kern w:val="0"/>
          <w:sz w:val="32"/>
          <w:szCs w:val="32"/>
        </w:rPr>
        <w:t>出国（境）费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公务用车维护费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w:t>
      </w:r>
      <w:r>
        <w:rPr>
          <w:rFonts w:hint="eastAsia" w:ascii="仿宋" w:hAnsi="仿宋" w:eastAsia="仿宋" w:cs="仿宋_GB2312"/>
          <w:kern w:val="0"/>
          <w:sz w:val="32"/>
          <w:szCs w:val="32"/>
          <w:lang w:eastAsia="zh-CN"/>
        </w:rPr>
        <w:t>较去年</w:t>
      </w:r>
      <w:r>
        <w:rPr>
          <w:rFonts w:hint="eastAsia" w:ascii="仿宋" w:hAnsi="仿宋" w:eastAsia="仿宋" w:cs="仿宋_GB2312"/>
          <w:kern w:val="0"/>
          <w:sz w:val="32"/>
          <w:szCs w:val="32"/>
        </w:rPr>
        <w:t>减少了</w:t>
      </w:r>
      <w:r>
        <w:rPr>
          <w:rFonts w:hint="eastAsia" w:ascii="仿宋" w:hAnsi="仿宋" w:eastAsia="仿宋" w:cs="仿宋_GB2312"/>
          <w:kern w:val="0"/>
          <w:sz w:val="32"/>
          <w:szCs w:val="32"/>
          <w:lang w:val="en-US" w:eastAsia="zh-CN"/>
        </w:rPr>
        <w:t>3.33</w:t>
      </w:r>
      <w:r>
        <w:rPr>
          <w:rFonts w:hint="eastAsia"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年坚持厉行节约及公车改革等原因，预算安排减少。</w:t>
      </w:r>
    </w:p>
    <w:p>
      <w:pPr>
        <w:numPr>
          <w:ilvl w:val="0"/>
          <w:numId w:val="2"/>
        </w:numPr>
        <w:spacing w:line="58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绩效预算信息</w:t>
      </w:r>
    </w:p>
    <w:p>
      <w:pPr>
        <w:ind w:firstLine="320" w:firstLineChars="100"/>
        <w:rPr>
          <w:rFonts w:hint="eastAsia" w:ascii="仿宋_GB2312" w:hAnsi="宋体" w:eastAsia="仿宋_GB2312"/>
          <w:sz w:val="32"/>
          <w:szCs w:val="32"/>
        </w:rPr>
      </w:pPr>
      <w:r>
        <w:rPr>
          <w:rFonts w:hint="eastAsia" w:ascii="仿宋_GB2312" w:hAnsi="宋体" w:eastAsia="仿宋_GB2312"/>
          <w:sz w:val="32"/>
          <w:szCs w:val="32"/>
        </w:rPr>
        <w:t>（一）总体</w:t>
      </w:r>
      <w:r>
        <w:rPr>
          <w:rFonts w:hint="eastAsia" w:ascii="仿宋_GB2312" w:hAnsi="宋体" w:eastAsia="仿宋_GB2312"/>
          <w:sz w:val="32"/>
          <w:szCs w:val="32"/>
          <w:lang w:eastAsia="zh-CN"/>
        </w:rPr>
        <w:t>绩效</w:t>
      </w:r>
      <w:r>
        <w:rPr>
          <w:rFonts w:hint="eastAsia" w:ascii="仿宋_GB2312" w:hAnsi="宋体" w:eastAsia="仿宋_GB2312"/>
          <w:sz w:val="32"/>
          <w:szCs w:val="32"/>
        </w:rPr>
        <w:t>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w:t>
      </w:r>
      <w:r>
        <w:rPr>
          <w:rFonts w:hint="eastAsia" w:ascii="仿宋_GB2312" w:hAnsi="宋体" w:eastAsia="仿宋_GB2312"/>
          <w:sz w:val="32"/>
          <w:szCs w:val="32"/>
          <w:lang w:eastAsia="zh-CN"/>
        </w:rPr>
        <w:t>县</w:t>
      </w:r>
      <w:r>
        <w:rPr>
          <w:rFonts w:hint="eastAsia" w:ascii="仿宋_GB2312" w:hAnsi="宋体" w:eastAsia="仿宋_GB2312"/>
          <w:sz w:val="32"/>
          <w:szCs w:val="32"/>
        </w:rPr>
        <w:t>经济和社会健康发展。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（二</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rPr>
        <w:t>分</w:t>
      </w:r>
      <w:r>
        <w:rPr>
          <w:rFonts w:hint="eastAsia" w:ascii="仿宋_GB2312" w:hAnsi="宋体" w:eastAsia="仿宋_GB2312"/>
          <w:sz w:val="32"/>
          <w:szCs w:val="32"/>
          <w:lang w:eastAsia="zh-CN"/>
        </w:rPr>
        <w:t>项</w:t>
      </w:r>
      <w:r>
        <w:rPr>
          <w:rFonts w:hint="eastAsia" w:ascii="仿宋_GB2312" w:hAnsi="宋体" w:eastAsia="仿宋_GB2312"/>
          <w:sz w:val="32"/>
          <w:szCs w:val="32"/>
        </w:rPr>
        <w:t>绩效目标：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1、主管全</w:t>
      </w:r>
      <w:r>
        <w:rPr>
          <w:rFonts w:hint="eastAsia" w:ascii="仿宋_GB2312" w:hAnsi="宋体" w:eastAsia="仿宋_GB2312"/>
          <w:sz w:val="32"/>
          <w:szCs w:val="32"/>
          <w:lang w:eastAsia="zh-CN"/>
        </w:rPr>
        <w:t>县</w:t>
      </w:r>
      <w:r>
        <w:rPr>
          <w:rFonts w:hint="eastAsia" w:ascii="仿宋_GB2312" w:hAnsi="宋体" w:eastAsia="仿宋_GB2312"/>
          <w:sz w:val="32"/>
          <w:szCs w:val="32"/>
        </w:rPr>
        <w:t>审计工作。通过财政财务收支审计真实、合法和效益情况，维护国家财政经济秩序，提高财政资金使用效益，促进廉政建设，保障国民经济的健康运行。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2、进行内部审计管理和审计法制管理。通过建立健全法规，加大内部审计管理制度提高审计质量和审计机关法制管理水平。</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3、包括系统综合业务管理和机关综合事务管理。充分发挥参谋助手作用和综合协调作用，推进审计事业科学协调发展。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三</w:t>
      </w:r>
      <w:r>
        <w:rPr>
          <w:rFonts w:hint="eastAsia" w:ascii="仿宋_GB2312" w:hAnsi="宋体" w:eastAsia="仿宋_GB2312"/>
          <w:sz w:val="32"/>
          <w:szCs w:val="32"/>
        </w:rPr>
        <w:t>）</w:t>
      </w:r>
      <w:r>
        <w:rPr>
          <w:rFonts w:hint="eastAsia" w:ascii="仿宋_GB2312" w:hAnsi="宋体" w:eastAsia="仿宋_GB2312"/>
          <w:sz w:val="32"/>
          <w:szCs w:val="32"/>
          <w:lang w:eastAsia="zh-CN"/>
        </w:rPr>
        <w:t>工作</w:t>
      </w:r>
      <w:r>
        <w:rPr>
          <w:rFonts w:hint="eastAsia" w:ascii="仿宋_GB2312" w:hAnsi="宋体" w:eastAsia="仿宋_GB2312"/>
          <w:sz w:val="32"/>
          <w:szCs w:val="32"/>
        </w:rPr>
        <w:t>保障措施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2、对经济领域中带有全局性、普遍性、倾向性的特定事项进行系统调查了解并向市政府报告情况和结果。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3、制定内部审计措施并组织落实；制定内部审计业务规章、制度、管理办法等并开展监督检查；指导内部审计业务，受理内部审计业务咨询；提供内部审计成果。</w:t>
      </w:r>
    </w:p>
    <w:p>
      <w:pPr>
        <w:numPr>
          <w:ilvl w:val="0"/>
          <w:numId w:val="0"/>
        </w:numPr>
        <w:spacing w:line="580" w:lineRule="exact"/>
        <w:rPr>
          <w:rFonts w:hint="eastAsia" w:ascii="黑体" w:hAnsi="黑体" w:eastAsia="黑体" w:cs="黑体"/>
          <w:sz w:val="32"/>
          <w:szCs w:val="32"/>
        </w:rPr>
      </w:pPr>
    </w:p>
    <w:p>
      <w:pPr>
        <w:spacing w:line="740" w:lineRule="exact"/>
        <w:ind w:firstLine="640" w:firstLineChars="200"/>
        <w:jc w:val="left"/>
        <w:rPr>
          <w:rFonts w:ascii="仿宋_GB2312" w:eastAsia="仿宋_GB2312"/>
          <w:bCs/>
          <w:sz w:val="32"/>
          <w:szCs w:val="32"/>
        </w:rPr>
      </w:pPr>
    </w:p>
    <w:p>
      <w:pPr>
        <w:ind w:firstLine="4640" w:firstLineChars="1450"/>
        <w:outlineLvl w:val="0"/>
        <w:rPr>
          <w:rFonts w:ascii="黑体" w:hAnsi="黑体" w:eastAsia="黑体"/>
          <w:sz w:val="32"/>
          <w:szCs w:val="32"/>
        </w:rPr>
      </w:pPr>
      <w:r>
        <w:rPr>
          <w:rFonts w:hint="eastAsia" w:ascii="黑体" w:hAnsi="黑体" w:eastAsia="黑体"/>
          <w:sz w:val="32"/>
          <w:szCs w:val="32"/>
        </w:rPr>
        <w:t>部门职责-工作活动绩效目标</w:t>
      </w:r>
    </w:p>
    <w:tbl>
      <w:tblPr>
        <w:tblStyle w:val="8"/>
        <w:tblW w:w="147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632"/>
        <w:gridCol w:w="1144"/>
        <w:gridCol w:w="932"/>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rPr>
              <w:t>成安县审计局</w:t>
            </w:r>
          </w:p>
        </w:tc>
        <w:tc>
          <w:tcPr>
            <w:tcW w:w="3783"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783"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6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11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9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10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主管县级审计工作。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1417" w:type="dxa"/>
            <w:shd w:val="clear" w:color="auto" w:fill="auto"/>
            <w:vAlign w:val="center"/>
          </w:tcPr>
          <w:p>
            <w:pPr>
              <w:spacing w:line="300" w:lineRule="exact"/>
              <w:jc w:val="left"/>
              <w:rPr>
                <w:rFonts w:ascii="方正书宋_GBK" w:eastAsia="方正书宋_GBK"/>
              </w:rPr>
            </w:pP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审计业务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审计决定落实率</w:t>
            </w: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专项审计调查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通过专项审计调查，综合分析，向有关部门反映情况，揭露问题、提出解决问题的建议，为政府决策提供依据，为国家宏观调控服务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专项审计完成率</w:t>
            </w: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1417" w:type="dxa"/>
            <w:shd w:val="clear" w:color="auto" w:fill="auto"/>
            <w:vAlign w:val="center"/>
          </w:tcPr>
          <w:p>
            <w:pPr>
              <w:spacing w:line="300" w:lineRule="exact"/>
              <w:jc w:val="left"/>
              <w:rPr>
                <w:rFonts w:ascii="方正书宋_GBK" w:eastAsia="方正书宋_GBK"/>
              </w:rPr>
            </w:pP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内部审计管理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内审业务办结率</w:t>
            </w: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417" w:type="dxa"/>
            <w:shd w:val="clear" w:color="auto" w:fill="auto"/>
            <w:vAlign w:val="center"/>
          </w:tcPr>
          <w:p>
            <w:pPr>
              <w:spacing w:line="300" w:lineRule="exact"/>
              <w:jc w:val="left"/>
              <w:rPr>
                <w:rFonts w:ascii="方正书宋_GBK" w:eastAsia="方正书宋_GBK"/>
              </w:rPr>
            </w:pP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632"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100</w:t>
            </w:r>
            <w:r>
              <w:rPr>
                <w:rFonts w:hint="eastAsia" w:ascii="方正书宋_GBK" w:eastAsia="方正书宋_GBK"/>
                <w:lang w:val="en-US" w:eastAsia="zh-CN"/>
              </w:rPr>
              <w:t>%</w:t>
            </w:r>
          </w:p>
        </w:tc>
        <w:tc>
          <w:tcPr>
            <w:tcW w:w="1144"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932"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1075"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年，我单位安排政府采购预算4.0万元。</w:t>
      </w:r>
      <w:r>
        <w:rPr>
          <w:rFonts w:hint="eastAsia" w:ascii="仿宋" w:hAnsi="仿宋" w:eastAsia="仿宋" w:cs="仿宋_GB2312"/>
          <w:kern w:val="0"/>
          <w:sz w:val="32"/>
          <w:szCs w:val="32"/>
        </w:rPr>
        <w:t>其中有</w:t>
      </w:r>
      <w:r>
        <w:rPr>
          <w:rFonts w:ascii="仿宋" w:hAnsi="仿宋" w:eastAsia="仿宋" w:cs="仿宋_GB2312"/>
          <w:kern w:val="0"/>
          <w:sz w:val="32"/>
          <w:szCs w:val="32"/>
        </w:rPr>
        <w:t>微</w:t>
      </w:r>
      <w:r>
        <w:rPr>
          <w:rFonts w:hint="eastAsia" w:ascii="仿宋" w:hAnsi="仿宋" w:eastAsia="仿宋" w:cs="仿宋_GB2312"/>
          <w:kern w:val="0"/>
          <w:sz w:val="32"/>
          <w:szCs w:val="32"/>
        </w:rPr>
        <w:t>机10台单价4000元，共计40000元。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40000元，微机10台，单价4000元。</w:t>
      </w:r>
      <w:r>
        <w:rPr>
          <w:rFonts w:hint="eastAsia" w:ascii="仿宋" w:hAnsi="仿宋" w:eastAsia="仿宋" w:cs="方正仿宋_GBK"/>
          <w:sz w:val="32"/>
          <w:szCs w:val="32"/>
        </w:rPr>
        <w:t>具体内容见下表。</w:t>
      </w:r>
    </w:p>
    <w:p>
      <w:pPr>
        <w:spacing w:line="560" w:lineRule="exact"/>
        <w:jc w:val="center"/>
        <w:outlineLvl w:val="0"/>
        <w:rPr>
          <w:rFonts w:ascii="黑体" w:hAnsi="黑体" w:eastAsia="黑体" w:cs="方正小标宋_GBK"/>
          <w:sz w:val="32"/>
          <w:szCs w:val="32"/>
        </w:rPr>
      </w:pPr>
    </w:p>
    <w:p>
      <w:pPr>
        <w:spacing w:line="560" w:lineRule="exact"/>
        <w:jc w:val="center"/>
        <w:outlineLvl w:val="0"/>
        <w:rPr>
          <w:rFonts w:ascii="黑体" w:hAnsi="黑体" w:eastAsia="黑体" w:cs="方正小标宋_GBK"/>
          <w:sz w:val="32"/>
          <w:szCs w:val="32"/>
        </w:rPr>
      </w:pPr>
      <w:r>
        <w:rPr>
          <w:rFonts w:hint="eastAsia" w:ascii="黑体" w:hAnsi="黑体" w:eastAsia="黑体" w:cs="方正小标宋_GBK"/>
          <w:sz w:val="32"/>
          <w:szCs w:val="32"/>
        </w:rPr>
        <w:t>部门政府采购预算</w:t>
      </w:r>
    </w:p>
    <w:tbl>
      <w:tblPr>
        <w:tblStyle w:val="8"/>
        <w:tblW w:w="13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992"/>
        <w:gridCol w:w="1134"/>
        <w:gridCol w:w="992"/>
        <w:gridCol w:w="851"/>
        <w:gridCol w:w="708"/>
        <w:gridCol w:w="708"/>
        <w:gridCol w:w="1097"/>
        <w:gridCol w:w="992"/>
        <w:gridCol w:w="888"/>
        <w:gridCol w:w="710"/>
        <w:gridCol w:w="709"/>
        <w:gridCol w:w="708"/>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15" w:type="dxa"/>
            <w:gridSpan w:val="7"/>
            <w:tcBorders>
              <w:top w:val="single" w:color="FFFFFF" w:sz="6" w:space="0"/>
              <w:left w:val="single" w:color="FFFFFF" w:sz="6" w:space="0"/>
              <w:right w:val="single" w:color="FFFFFF" w:sz="6" w:space="0"/>
            </w:tcBorders>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部门（单位）：319成安县审计局</w:t>
            </w:r>
          </w:p>
        </w:tc>
        <w:tc>
          <w:tcPr>
            <w:tcW w:w="6037" w:type="dxa"/>
            <w:gridSpan w:val="7"/>
            <w:tcBorders>
              <w:top w:val="single" w:color="FFFFFF" w:sz="6" w:space="0"/>
              <w:left w:val="single" w:color="FFFFFF" w:sz="6" w:space="0"/>
              <w:right w:val="single" w:color="FFFFFF" w:sz="6" w:space="0"/>
            </w:tcBorders>
            <w:vAlign w:val="center"/>
          </w:tcPr>
          <w:p>
            <w:pPr>
              <w:spacing w:line="28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2"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政府采购项目</w:t>
            </w:r>
          </w:p>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来源</w:t>
            </w:r>
          </w:p>
        </w:tc>
        <w:tc>
          <w:tcPr>
            <w:tcW w:w="1134"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采购物品名称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政府采购目录序号</w:t>
            </w:r>
          </w:p>
        </w:tc>
        <w:tc>
          <w:tcPr>
            <w:tcW w:w="851"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数量单位</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6037" w:type="dxa"/>
            <w:gridSpan w:val="7"/>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1730"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预算资金</w:t>
            </w: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总计</w:t>
            </w:r>
          </w:p>
        </w:tc>
        <w:tc>
          <w:tcPr>
            <w:tcW w:w="4007" w:type="dxa"/>
            <w:gridSpan w:val="5"/>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当年部门预算安排资金</w:t>
            </w:r>
          </w:p>
        </w:tc>
        <w:tc>
          <w:tcPr>
            <w:tcW w:w="933"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1730"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continue"/>
            <w:vAlign w:val="center"/>
          </w:tcPr>
          <w:p>
            <w:pPr>
              <w:spacing w:line="280" w:lineRule="exact"/>
              <w:jc w:val="left"/>
              <w:outlineLvl w:val="0"/>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一般公共预算拨款</w:t>
            </w:r>
          </w:p>
        </w:tc>
        <w:tc>
          <w:tcPr>
            <w:tcW w:w="71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基金预算拨款</w:t>
            </w:r>
          </w:p>
        </w:tc>
        <w:tc>
          <w:tcPr>
            <w:tcW w:w="709"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财政专户核拨</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其他来源收入</w:t>
            </w:r>
          </w:p>
        </w:tc>
        <w:tc>
          <w:tcPr>
            <w:tcW w:w="933" w:type="dxa"/>
            <w:vMerge w:val="continue"/>
            <w:vAlign w:val="center"/>
          </w:tcPr>
          <w:p>
            <w:pPr>
              <w:spacing w:line="28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　计</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1134" w:type="dxa"/>
            <w:vAlign w:val="center"/>
          </w:tcPr>
          <w:p>
            <w:pPr>
              <w:spacing w:line="280" w:lineRule="exact"/>
              <w:jc w:val="center"/>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sz w:val="24"/>
                <w:szCs w:val="24"/>
              </w:rPr>
              <w:t>日常公用经费</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1134" w:type="dxa"/>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计算机</w:t>
            </w:r>
          </w:p>
        </w:tc>
        <w:tc>
          <w:tcPr>
            <w:tcW w:w="992" w:type="dxa"/>
            <w:vAlign w:val="center"/>
          </w:tcPr>
          <w:p>
            <w:pPr>
              <w:spacing w:line="28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A02010199</w:t>
            </w:r>
          </w:p>
        </w:tc>
        <w:tc>
          <w:tcPr>
            <w:tcW w:w="851"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0.4</w:t>
            </w: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bl>
    <w:p>
      <w:pPr>
        <w:spacing w:line="560" w:lineRule="exact"/>
        <w:jc w:val="center"/>
        <w:outlineLvl w:val="0"/>
        <w:rPr>
          <w:rFonts w:ascii="仿宋" w:hAnsi="仿宋" w:eastAsia="仿宋" w:cs="Times New Roman"/>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我单位上年末固定资产金额为42.39万元，本年度拟购置固定资产主要为计算机设备</w:t>
      </w:r>
      <w:r>
        <w:rPr>
          <w:rFonts w:hint="eastAsia" w:ascii="仿宋" w:hAnsi="仿宋" w:eastAsia="仿宋" w:cs="仿宋_GB2312"/>
          <w:sz w:val="32"/>
          <w:szCs w:val="32"/>
          <w:lang w:eastAsia="zh-CN"/>
        </w:rPr>
        <w:t>合计</w:t>
      </w:r>
      <w:r>
        <w:rPr>
          <w:rFonts w:hint="eastAsia" w:ascii="仿宋" w:hAnsi="仿宋" w:eastAsia="仿宋" w:cs="仿宋_GB2312"/>
          <w:sz w:val="32"/>
          <w:szCs w:val="32"/>
          <w:lang w:val="en-US" w:eastAsia="zh-CN"/>
        </w:rPr>
        <w:t>4万元</w:t>
      </w:r>
      <w:r>
        <w:rPr>
          <w:rFonts w:hint="eastAsia" w:ascii="仿宋" w:hAnsi="仿宋" w:eastAsia="仿宋" w:cs="仿宋_GB2312"/>
          <w:sz w:val="32"/>
          <w:szCs w:val="32"/>
        </w:rPr>
        <w:t>，已列入政府采购预算。详见下表。</w:t>
      </w:r>
    </w:p>
    <w:tbl>
      <w:tblPr>
        <w:tblStyle w:val="8"/>
        <w:tblW w:w="12758" w:type="dxa"/>
        <w:tblInd w:w="959" w:type="dxa"/>
        <w:tblLayout w:type="fixed"/>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12758" w:type="dxa"/>
            <w:gridSpan w:val="3"/>
            <w:tcBorders>
              <w:top w:val="nil"/>
              <w:left w:val="nil"/>
              <w:bottom w:val="nil"/>
              <w:right w:val="nil"/>
            </w:tcBorders>
            <w:noWrap/>
            <w:vAlign w:val="center"/>
          </w:tcPr>
          <w:p>
            <w:pPr>
              <w:widowControl/>
              <w:ind w:firstLine="2715" w:firstLineChars="845"/>
              <w:rPr>
                <w:rFonts w:hint="eastAsia" w:ascii="宋体" w:hAnsi="宋体" w:eastAsia="宋体" w:cs="宋体"/>
                <w:b/>
                <w:bCs/>
                <w:kern w:val="0"/>
                <w:sz w:val="32"/>
                <w:szCs w:val="32"/>
              </w:rPr>
            </w:pPr>
          </w:p>
          <w:p>
            <w:pPr>
              <w:widowControl/>
              <w:ind w:firstLine="2715" w:firstLineChars="845"/>
              <w:rPr>
                <w:rFonts w:hint="eastAsia" w:ascii="宋体" w:hAnsi="宋体" w:eastAsia="宋体" w:cs="宋体"/>
                <w:b/>
                <w:bCs/>
                <w:kern w:val="0"/>
                <w:sz w:val="32"/>
                <w:szCs w:val="32"/>
              </w:rPr>
            </w:pPr>
          </w:p>
          <w:p>
            <w:pPr>
              <w:widowControl/>
              <w:ind w:firstLine="2715" w:firstLineChars="845"/>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部门固定资产占用情况表</w:t>
            </w:r>
          </w:p>
          <w:p>
            <w:pPr>
              <w:widowControl/>
              <w:rPr>
                <w:rFonts w:ascii="宋体" w:hAnsi="宋体" w:eastAsia="宋体" w:cs="Times New Roman"/>
                <w:b/>
                <w:bCs/>
                <w:kern w:val="0"/>
                <w:sz w:val="10"/>
                <w:szCs w:val="10"/>
              </w:rPr>
            </w:pPr>
          </w:p>
        </w:tc>
      </w:tr>
      <w:tr>
        <w:tblPrEx>
          <w:tblCellMar>
            <w:top w:w="0" w:type="dxa"/>
            <w:left w:w="108" w:type="dxa"/>
            <w:bottom w:w="0" w:type="dxa"/>
            <w:right w:w="108" w:type="dxa"/>
          </w:tblCellMar>
        </w:tblPrEx>
        <w:trPr>
          <w:trHeight w:val="510" w:hRule="atLeast"/>
        </w:trPr>
        <w:tc>
          <w:tcPr>
            <w:tcW w:w="7211" w:type="dxa"/>
            <w:gridSpan w:val="2"/>
            <w:tcBorders>
              <w:top w:val="nil"/>
              <w:left w:val="nil"/>
              <w:bottom w:val="nil"/>
              <w:right w:val="nil"/>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编制部门：319成安县审计局</w:t>
            </w:r>
          </w:p>
        </w:tc>
        <w:tc>
          <w:tcPr>
            <w:tcW w:w="5547" w:type="dxa"/>
            <w:tcBorders>
              <w:top w:val="nil"/>
              <w:left w:val="nil"/>
              <w:bottom w:val="nil"/>
              <w:right w:val="nil"/>
            </w:tcBorders>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w:t>
            </w:r>
            <w:r>
              <w:rPr>
                <w:rFonts w:hint="eastAsia" w:ascii="仿宋" w:hAnsi="仿宋" w:eastAsia="仿宋" w:cs="宋体"/>
                <w:kern w:val="0"/>
                <w:sz w:val="32"/>
                <w:szCs w:val="32"/>
              </w:rPr>
              <w:t>19年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资产总额</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42.39</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350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其中：办公用房（平方米）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320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26.39</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964" w:firstLineChars="300"/>
        <w:jc w:val="left"/>
        <w:rPr>
          <w:rFonts w:ascii="黑体" w:hAnsi="黑体" w:eastAsia="黑体" w:cs="仿宋"/>
          <w:kern w:val="0"/>
          <w:sz w:val="32"/>
          <w:szCs w:val="32"/>
        </w:rPr>
      </w:pPr>
      <w:r>
        <w:rPr>
          <w:rFonts w:hint="eastAsia" w:ascii="黑体" w:hAnsi="黑体" w:eastAsia="黑体" w:cs="仿宋_GB2312"/>
          <w:b/>
          <w:kern w:val="0"/>
          <w:sz w:val="32"/>
          <w:szCs w:val="32"/>
        </w:rPr>
        <w:t>八、</w:t>
      </w:r>
      <w:r>
        <w:rPr>
          <w:rFonts w:hint="eastAsia" w:ascii="黑体" w:hAnsi="黑体" w:eastAsia="黑体" w:cs="仿宋"/>
          <w:b/>
          <w:kern w:val="0"/>
          <w:sz w:val="32"/>
          <w:szCs w:val="32"/>
        </w:rPr>
        <w:t>名词解释</w:t>
      </w:r>
      <w:r>
        <w:rPr>
          <w:rFonts w:hint="eastAsia" w:ascii="黑体" w:hAnsi="黑体" w:eastAsia="黑体" w:cs="仿宋"/>
          <w:kern w:val="0"/>
          <w:sz w:val="32"/>
          <w:szCs w:val="32"/>
        </w:rPr>
        <w:t> </w:t>
      </w:r>
    </w:p>
    <w:p>
      <w:pPr>
        <w:widowControl/>
        <w:spacing w:line="360" w:lineRule="auto"/>
        <w:ind w:firstLine="964" w:firstLineChars="300"/>
        <w:jc w:val="left"/>
        <w:rPr>
          <w:rFonts w:ascii="仿宋" w:hAnsi="仿宋" w:eastAsia="仿宋" w:cs="仿宋"/>
          <w:kern w:val="0"/>
          <w:sz w:val="32"/>
          <w:szCs w:val="32"/>
        </w:rPr>
      </w:pPr>
      <w:r>
        <w:rPr>
          <w:rFonts w:hint="eastAsia" w:ascii="楷体" w:hAnsi="楷体" w:eastAsia="楷体" w:cs="仿宋"/>
          <w:b/>
          <w:bCs/>
          <w:kern w:val="0"/>
          <w:sz w:val="32"/>
          <w:szCs w:val="32"/>
        </w:rPr>
        <w:t>1、财政拨款收入</w:t>
      </w:r>
      <w:r>
        <w:rPr>
          <w:rFonts w:hint="eastAsia" w:ascii="仿宋" w:hAnsi="仿宋" w:eastAsia="仿宋" w:cs="仿宋"/>
          <w:bCs/>
          <w:kern w:val="0"/>
          <w:sz w:val="32"/>
          <w:szCs w:val="32"/>
        </w:rPr>
        <w:t>：指</w:t>
      </w:r>
      <w:r>
        <w:rPr>
          <w:rFonts w:hint="eastAsia" w:ascii="仿宋" w:hAnsi="仿宋" w:eastAsia="仿宋" w:cs="仿宋"/>
          <w:kern w:val="0"/>
          <w:sz w:val="32"/>
          <w:szCs w:val="32"/>
        </w:rPr>
        <w:t>财政当年拨付的资金。</w:t>
      </w:r>
    </w:p>
    <w:p>
      <w:pPr>
        <w:widowControl/>
        <w:spacing w:line="360" w:lineRule="auto"/>
        <w:ind w:firstLine="964" w:firstLineChars="300"/>
        <w:jc w:val="left"/>
        <w:rPr>
          <w:rFonts w:ascii="微软雅黑" w:hAnsi="微软雅黑" w:eastAsia="微软雅黑" w:cs="微软雅黑"/>
          <w:kern w:val="0"/>
          <w:sz w:val="24"/>
          <w:szCs w:val="24"/>
        </w:rPr>
      </w:pPr>
      <w:r>
        <w:rPr>
          <w:rFonts w:hint="eastAsia" w:ascii="楷体" w:hAnsi="楷体" w:eastAsia="楷体" w:cs="仿宋"/>
          <w:b/>
          <w:kern w:val="0"/>
          <w:sz w:val="32"/>
          <w:szCs w:val="32"/>
        </w:rPr>
        <w:t>2、“三公”经费</w:t>
      </w:r>
      <w:r>
        <w:rPr>
          <w:rFonts w:hint="eastAsia" w:ascii="仿宋" w:hAnsi="仿宋" w:eastAsia="仿宋" w:cs="仿宋"/>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微软雅黑"/>
          <w:b/>
          <w:kern w:val="0"/>
          <w:sz w:val="32"/>
          <w:szCs w:val="32"/>
        </w:rPr>
        <w:t>3</w:t>
      </w:r>
      <w:r>
        <w:rPr>
          <w:rFonts w:hint="eastAsia" w:ascii="楷体" w:hAnsi="楷体" w:eastAsia="楷体"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footerReference r:id="rId3" w:type="default"/>
      <w:pgSz w:w="16839" w:h="11907" w:orient="landscape"/>
      <w:pgMar w:top="1134" w:right="1021" w:bottom="1134" w:left="102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553723"/>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C05D6"/>
    <w:multiLevelType w:val="singleLevel"/>
    <w:tmpl w:val="2DCC05D6"/>
    <w:lvl w:ilvl="0" w:tentative="0">
      <w:start w:val="5"/>
      <w:numFmt w:val="chineseCounting"/>
      <w:suff w:val="nothing"/>
      <w:lvlText w:val="%1、"/>
      <w:lvlJc w:val="left"/>
      <w:rPr>
        <w:rFonts w:hint="eastAsia"/>
      </w:rPr>
    </w:lvl>
  </w:abstractNum>
  <w:abstractNum w:abstractNumId="1">
    <w:nsid w:val="3EA466F3"/>
    <w:multiLevelType w:val="multilevel"/>
    <w:tmpl w:val="3EA466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E810D6"/>
    <w:rsid w:val="00056D43"/>
    <w:rsid w:val="0014701B"/>
    <w:rsid w:val="001700F7"/>
    <w:rsid w:val="0019434D"/>
    <w:rsid w:val="00197767"/>
    <w:rsid w:val="001B21CC"/>
    <w:rsid w:val="001B565C"/>
    <w:rsid w:val="001E5CC4"/>
    <w:rsid w:val="00201474"/>
    <w:rsid w:val="00242910"/>
    <w:rsid w:val="00273898"/>
    <w:rsid w:val="00280EC0"/>
    <w:rsid w:val="002817F4"/>
    <w:rsid w:val="002E3A95"/>
    <w:rsid w:val="003276E5"/>
    <w:rsid w:val="003466C0"/>
    <w:rsid w:val="00346A54"/>
    <w:rsid w:val="00367009"/>
    <w:rsid w:val="003933F1"/>
    <w:rsid w:val="003A52C4"/>
    <w:rsid w:val="003D4529"/>
    <w:rsid w:val="003F04F8"/>
    <w:rsid w:val="00513C3D"/>
    <w:rsid w:val="00513E63"/>
    <w:rsid w:val="005321C6"/>
    <w:rsid w:val="00543D6B"/>
    <w:rsid w:val="005566D7"/>
    <w:rsid w:val="00592153"/>
    <w:rsid w:val="005D136A"/>
    <w:rsid w:val="005D201E"/>
    <w:rsid w:val="005E0251"/>
    <w:rsid w:val="00623122"/>
    <w:rsid w:val="0062621A"/>
    <w:rsid w:val="00637C9B"/>
    <w:rsid w:val="00685811"/>
    <w:rsid w:val="006869FC"/>
    <w:rsid w:val="006A1896"/>
    <w:rsid w:val="006D1C5B"/>
    <w:rsid w:val="007100CC"/>
    <w:rsid w:val="00716119"/>
    <w:rsid w:val="00727E15"/>
    <w:rsid w:val="00731ECE"/>
    <w:rsid w:val="00750FA8"/>
    <w:rsid w:val="00781C35"/>
    <w:rsid w:val="007A507B"/>
    <w:rsid w:val="007D6BF0"/>
    <w:rsid w:val="007F6118"/>
    <w:rsid w:val="00803948"/>
    <w:rsid w:val="008058DC"/>
    <w:rsid w:val="00834572"/>
    <w:rsid w:val="00881C85"/>
    <w:rsid w:val="008A0DB8"/>
    <w:rsid w:val="008C7744"/>
    <w:rsid w:val="00904E2A"/>
    <w:rsid w:val="00905E04"/>
    <w:rsid w:val="00912B9F"/>
    <w:rsid w:val="00915985"/>
    <w:rsid w:val="00932E94"/>
    <w:rsid w:val="009629CF"/>
    <w:rsid w:val="00994454"/>
    <w:rsid w:val="009C1FB9"/>
    <w:rsid w:val="009D60BC"/>
    <w:rsid w:val="00A07D70"/>
    <w:rsid w:val="00A15186"/>
    <w:rsid w:val="00A20528"/>
    <w:rsid w:val="00A80304"/>
    <w:rsid w:val="00A82369"/>
    <w:rsid w:val="00AF3E48"/>
    <w:rsid w:val="00AF5DDC"/>
    <w:rsid w:val="00B03B8A"/>
    <w:rsid w:val="00B36E6E"/>
    <w:rsid w:val="00B62B1E"/>
    <w:rsid w:val="00B77F57"/>
    <w:rsid w:val="00BC327A"/>
    <w:rsid w:val="00BE00E0"/>
    <w:rsid w:val="00BF28CF"/>
    <w:rsid w:val="00CB51FE"/>
    <w:rsid w:val="00CC27D5"/>
    <w:rsid w:val="00CF31BA"/>
    <w:rsid w:val="00D10A1E"/>
    <w:rsid w:val="00D12297"/>
    <w:rsid w:val="00D74395"/>
    <w:rsid w:val="00DA2CD4"/>
    <w:rsid w:val="00DD04FC"/>
    <w:rsid w:val="00DF69A5"/>
    <w:rsid w:val="00E053F0"/>
    <w:rsid w:val="00E562B3"/>
    <w:rsid w:val="00E810D6"/>
    <w:rsid w:val="00F43BFC"/>
    <w:rsid w:val="00F5471B"/>
    <w:rsid w:val="00F83BB9"/>
    <w:rsid w:val="00FA2AF0"/>
    <w:rsid w:val="013B67CD"/>
    <w:rsid w:val="01CA412B"/>
    <w:rsid w:val="020E4C24"/>
    <w:rsid w:val="02100DB1"/>
    <w:rsid w:val="02CD11F4"/>
    <w:rsid w:val="037D399A"/>
    <w:rsid w:val="03B213E5"/>
    <w:rsid w:val="05652EBF"/>
    <w:rsid w:val="06096D52"/>
    <w:rsid w:val="06550E5D"/>
    <w:rsid w:val="0726741C"/>
    <w:rsid w:val="08787C12"/>
    <w:rsid w:val="08D34D69"/>
    <w:rsid w:val="09357A77"/>
    <w:rsid w:val="09E50DB9"/>
    <w:rsid w:val="0A772B51"/>
    <w:rsid w:val="0B80223E"/>
    <w:rsid w:val="0BB759F9"/>
    <w:rsid w:val="0CBF7A43"/>
    <w:rsid w:val="0DD4180B"/>
    <w:rsid w:val="130B706D"/>
    <w:rsid w:val="139106CF"/>
    <w:rsid w:val="13DE0FA8"/>
    <w:rsid w:val="14333F4B"/>
    <w:rsid w:val="163506CD"/>
    <w:rsid w:val="17252863"/>
    <w:rsid w:val="173C3F94"/>
    <w:rsid w:val="175940C0"/>
    <w:rsid w:val="17C16AC9"/>
    <w:rsid w:val="180D78B9"/>
    <w:rsid w:val="19322288"/>
    <w:rsid w:val="1AEF7278"/>
    <w:rsid w:val="1B2A5EA4"/>
    <w:rsid w:val="1CC97251"/>
    <w:rsid w:val="1CEB0A1C"/>
    <w:rsid w:val="1E8167C1"/>
    <w:rsid w:val="1EAA0AE1"/>
    <w:rsid w:val="21B66276"/>
    <w:rsid w:val="228819EE"/>
    <w:rsid w:val="244730D4"/>
    <w:rsid w:val="2716314B"/>
    <w:rsid w:val="288A4B30"/>
    <w:rsid w:val="28E516DB"/>
    <w:rsid w:val="28F10F5B"/>
    <w:rsid w:val="299267B6"/>
    <w:rsid w:val="2AD57C75"/>
    <w:rsid w:val="2B3E328E"/>
    <w:rsid w:val="2BAA47A7"/>
    <w:rsid w:val="2C442584"/>
    <w:rsid w:val="2DCE40BA"/>
    <w:rsid w:val="2E066AE5"/>
    <w:rsid w:val="2E2777CE"/>
    <w:rsid w:val="2EE04A84"/>
    <w:rsid w:val="31D059F4"/>
    <w:rsid w:val="32D229F3"/>
    <w:rsid w:val="332A0BBD"/>
    <w:rsid w:val="3387759D"/>
    <w:rsid w:val="351C5D1D"/>
    <w:rsid w:val="35AB13AC"/>
    <w:rsid w:val="36DF5EE5"/>
    <w:rsid w:val="38963AA1"/>
    <w:rsid w:val="39461E7C"/>
    <w:rsid w:val="39A75722"/>
    <w:rsid w:val="3B6E7B6E"/>
    <w:rsid w:val="3BC607DE"/>
    <w:rsid w:val="3C712CD5"/>
    <w:rsid w:val="3CEC5D53"/>
    <w:rsid w:val="3F6F0D7F"/>
    <w:rsid w:val="441C57E9"/>
    <w:rsid w:val="44240E6E"/>
    <w:rsid w:val="44986D47"/>
    <w:rsid w:val="456A5D0D"/>
    <w:rsid w:val="457C0C14"/>
    <w:rsid w:val="45B90BF3"/>
    <w:rsid w:val="460143F1"/>
    <w:rsid w:val="47047404"/>
    <w:rsid w:val="475B18CD"/>
    <w:rsid w:val="4A4F1F05"/>
    <w:rsid w:val="4B7040C7"/>
    <w:rsid w:val="4CA957E7"/>
    <w:rsid w:val="4D9730D4"/>
    <w:rsid w:val="4E4335D2"/>
    <w:rsid w:val="4EB84051"/>
    <w:rsid w:val="51F3063A"/>
    <w:rsid w:val="55325DEE"/>
    <w:rsid w:val="55372497"/>
    <w:rsid w:val="55E81969"/>
    <w:rsid w:val="577A72C9"/>
    <w:rsid w:val="583056CF"/>
    <w:rsid w:val="59AF56D7"/>
    <w:rsid w:val="5B2B3FCD"/>
    <w:rsid w:val="5BAE356C"/>
    <w:rsid w:val="5BCD3DCC"/>
    <w:rsid w:val="5CB07A05"/>
    <w:rsid w:val="5ED17601"/>
    <w:rsid w:val="612F2391"/>
    <w:rsid w:val="61897173"/>
    <w:rsid w:val="63836572"/>
    <w:rsid w:val="63F21B1B"/>
    <w:rsid w:val="65493192"/>
    <w:rsid w:val="666C26EF"/>
    <w:rsid w:val="66E76F73"/>
    <w:rsid w:val="6B511389"/>
    <w:rsid w:val="6D5763C1"/>
    <w:rsid w:val="6D81148F"/>
    <w:rsid w:val="6E8006EE"/>
    <w:rsid w:val="6ECC4D84"/>
    <w:rsid w:val="6F5F1CAD"/>
    <w:rsid w:val="70BA2DA1"/>
    <w:rsid w:val="71B87B2B"/>
    <w:rsid w:val="729B4F6A"/>
    <w:rsid w:val="72CD6F51"/>
    <w:rsid w:val="733E01F4"/>
    <w:rsid w:val="7424079F"/>
    <w:rsid w:val="74D4598A"/>
    <w:rsid w:val="76DC690F"/>
    <w:rsid w:val="76E53902"/>
    <w:rsid w:val="76FD3FC3"/>
    <w:rsid w:val="79AB31A3"/>
    <w:rsid w:val="7AA5545A"/>
    <w:rsid w:val="7BAA5900"/>
    <w:rsid w:val="7D9A3104"/>
    <w:rsid w:val="7DB94919"/>
    <w:rsid w:val="7F5A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rPr>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3"/>
    <w:qFormat/>
    <w:uiPriority w:val="99"/>
    <w:rPr>
      <w:sz w:val="18"/>
      <w:szCs w:val="18"/>
    </w:rPr>
  </w:style>
  <w:style w:type="paragraph" w:customStyle="1" w:styleId="13">
    <w:name w:val="p0"/>
    <w:basedOn w:val="1"/>
    <w:qFormat/>
    <w:uiPriority w:val="0"/>
    <w:pPr>
      <w:widowControl/>
      <w:ind w:firstLine="420"/>
      <w:jc w:val="left"/>
    </w:pPr>
    <w:rPr>
      <w:kern w:val="0"/>
      <w:sz w:val="20"/>
      <w:szCs w:val="20"/>
    </w:rPr>
  </w:style>
  <w:style w:type="paragraph" w:customStyle="1" w:styleId="14">
    <w:name w:val="列出段落1"/>
    <w:basedOn w:val="1"/>
    <w:unhideWhenUsed/>
    <w:qFormat/>
    <w:uiPriority w:val="99"/>
    <w:pPr>
      <w:ind w:firstLine="420" w:firstLineChars="200"/>
    </w:pPr>
  </w:style>
  <w:style w:type="character" w:customStyle="1" w:styleId="15">
    <w:name w:val="批注框文本 Char"/>
    <w:basedOn w:val="10"/>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36F3A2-7F47-48C1-92B8-715071D6BB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698</Words>
  <Characters>3981</Characters>
  <Lines>33</Lines>
  <Paragraphs>9</Paragraphs>
  <TotalTime>4</TotalTime>
  <ScaleCrop>false</ScaleCrop>
  <LinksUpToDate>false</LinksUpToDate>
  <CharactersWithSpaces>4670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2017-11-11T05:56:00Z</dcterms:created>
  <dc:creator>lenovo</dc:creator>
  <cp:lastModifiedBy>dell</cp:lastModifiedBy>
  <cp:lastPrinted>2016-04-01T02:44:00Z</cp:lastPrinted>
  <dcterms:modified xsi:type="dcterms:W3CDTF">2023-06-09T01:10:56Z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64B1576D9DA7464089BBD78C0430EA71</vt:lpwstr>
  </property>
</Properties>
</file>