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成安县民政局</w:t>
      </w:r>
    </w:p>
    <w:p>
      <w:pPr>
        <w:jc w:val="center"/>
        <w:rPr>
          <w:rFonts w:ascii="黑体" w:hAnsi="黑体" w:eastAsia="黑体"/>
          <w:sz w:val="44"/>
          <w:szCs w:val="44"/>
        </w:rPr>
      </w:pPr>
      <w:r>
        <w:rPr>
          <w:rFonts w:hint="eastAsia" w:ascii="黑体" w:hAnsi="黑体" w:eastAsia="黑体"/>
          <w:sz w:val="44"/>
          <w:szCs w:val="44"/>
        </w:rPr>
        <w:t>2020年部门预算公开情况说明</w:t>
      </w:r>
    </w:p>
    <w:p>
      <w:pPr>
        <w:jc w:val="center"/>
        <w:rPr>
          <w:rFonts w:ascii="黑体" w:hAnsi="黑体" w:eastAsia="黑体"/>
          <w:sz w:val="44"/>
          <w:szCs w:val="44"/>
        </w:rPr>
      </w:pPr>
    </w:p>
    <w:p>
      <w:pPr>
        <w:jc w:val="left"/>
        <w:rPr>
          <w:rFonts w:ascii="仿宋" w:hAnsi="仿宋" w:eastAsia="仿宋"/>
          <w:sz w:val="32"/>
          <w:szCs w:val="32"/>
        </w:rPr>
      </w:pPr>
      <w:r>
        <w:rPr>
          <w:rFonts w:hint="eastAsia" w:ascii="仿宋" w:hAnsi="仿宋" w:eastAsia="仿宋"/>
          <w:sz w:val="32"/>
          <w:szCs w:val="32"/>
        </w:rPr>
        <w:t xml:space="preserve">   按照《中华人民共和国预算法》</w:t>
      </w:r>
      <w:bookmarkStart w:id="2" w:name="_GoBack"/>
      <w:bookmarkEnd w:id="2"/>
      <w:r>
        <w:rPr>
          <w:rFonts w:hint="eastAsia" w:ascii="仿宋" w:hAnsi="仿宋" w:eastAsia="仿宋"/>
          <w:sz w:val="32"/>
          <w:szCs w:val="32"/>
        </w:rPr>
        <w:t>、《地方预决算公开操作规程》等相关规定，现将成安县民政局2020年部门预算公开如下：</w:t>
      </w:r>
    </w:p>
    <w:p>
      <w:pPr>
        <w:ind w:firstLine="640"/>
        <w:rPr>
          <w:rFonts w:ascii="宋体" w:hAnsi="宋体" w:eastAsia="宋体" w:cs="Times New Roman"/>
          <w:b/>
          <w:sz w:val="32"/>
          <w:szCs w:val="32"/>
        </w:rPr>
      </w:pPr>
      <w:r>
        <w:rPr>
          <w:rFonts w:hint="eastAsia" w:ascii="宋体" w:hAnsi="宋体" w:eastAsia="宋体" w:cs="黑体"/>
          <w:b/>
          <w:sz w:val="32"/>
          <w:szCs w:val="32"/>
        </w:rPr>
        <w:t>一、部门职责及机构设置情况</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民政局是县政府主管社会行政事务的职能部门。主要任务包括社会保障工作、部分社会行政事务管理和基层政权建设工作、部分社会行政事务管理和基层政权建设工作。其主要职责是：</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（一）根据党的基本路线和我县国民经济的社会发展规划，研究制定全县民政事业发展战略、编制民政事业发展规划和年度工作计划，研究制定全县民政工作方针、政策实施负责组织和监督检查。</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二）指导全县乡镇基层政权建设和村委会、居委会等群众自治组织建设；推动农村开展村民自治活动；负责全县、乡、镇、村的区域划分；代县政府审查乡、镇、村的设立、撤销、驻地迁移等具体工作；负责县内乡、镇村之间和邻县边界勘察和边界纠纷的调处工作。</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（三）负责农村困难户的临时救济，定期救济和六十年代精减退职工的</w:t>
      </w:r>
      <w:r>
        <w:rPr>
          <w:rFonts w:ascii="仿宋" w:hAnsi="仿宋" w:eastAsia="仿宋" w:cs="方正仿宋_GBK"/>
          <w:sz w:val="32"/>
          <w:szCs w:val="32"/>
        </w:rPr>
        <w:t>40%</w:t>
      </w:r>
      <w:r>
        <w:rPr>
          <w:rFonts w:hint="eastAsia" w:ascii="仿宋" w:hAnsi="仿宋" w:eastAsia="仿宋" w:cs="方正仿宋_GBK"/>
          <w:sz w:val="32"/>
          <w:szCs w:val="32"/>
        </w:rPr>
        <w:t>救济及其他特殊对象的救济工作；负责指导检查全县农村“五保户”的五保供养和敬老院建设。</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四）主管全县农村（含乡镇企业）社会养老保险工作，建立和完善农村养老保险制度，筹集管理使用、发放好农村养老保险基金。抓好农村社会养老保险处的建设，宣传推行农村养老保险制度的好处和意义，指导和督查乡镇养老保险工作；解决好农村养老保险工作中出现的各种问题。</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（五）研究制订和组织实施社会福利事业发展规划、指导社会福利事业单位的管理和社区服务工作；会同有关部门研究制订并监督实施全县社会福利生产发展规划，对全县社会福利生产企业进行指导和宏观管理。</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（六）负责全县社团组织审批、登记及全县社团行政案件裁决、年检、注销、合并、审核工作。</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（七）主管婚姻登记和儿童收养登记工作；负责推行殡葬改革事业单位的管理工作；负责全县流浪乞讨人员的收容遣送工作；指导妇女儿童权益保护工作。</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（八）负责全县民政事业财务、统计、审计及民政事业费得使用管理工作；收集整理、更新地名资料。</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（九）负责全县地名管理工作；承办村以上地名的命名、更名的申报和审核工作；收集整理、更新地名资料。</w:t>
      </w:r>
    </w:p>
    <w:p>
      <w:pPr>
        <w:widowControl/>
        <w:spacing w:line="360" w:lineRule="auto"/>
        <w:ind w:firstLine="627" w:firstLineChars="196"/>
        <w:jc w:val="left"/>
        <w:rPr>
          <w:rFonts w:ascii="仿宋" w:hAnsi="仿宋" w:eastAsia="仿宋" w:cs="方正仿宋_GBK"/>
          <w:sz w:val="32"/>
          <w:szCs w:val="32"/>
        </w:rPr>
      </w:pPr>
      <w:r>
        <w:rPr>
          <w:rFonts w:hint="eastAsia" w:ascii="仿宋" w:hAnsi="仿宋" w:eastAsia="仿宋" w:cs="方正仿宋_GBK"/>
          <w:sz w:val="32"/>
          <w:szCs w:val="32"/>
        </w:rPr>
        <w:t>（十）负责全县有奖募捐工作的计划安排、奖券发行和福利基金的管理和使用；承办县募捐委办公室的日常工作。</w:t>
      </w:r>
    </w:p>
    <w:p>
      <w:pPr>
        <w:widowControl/>
        <w:spacing w:line="360" w:lineRule="auto"/>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人员编制24名，其中领导职数5个。</w:t>
      </w:r>
    </w:p>
    <w:p>
      <w:pPr>
        <w:jc w:val="center"/>
        <w:rPr>
          <w:rFonts w:ascii="宋体" w:hAnsi="宋体"/>
          <w:b/>
          <w:sz w:val="44"/>
          <w:szCs w:val="44"/>
        </w:rPr>
      </w:pPr>
      <w:r>
        <w:rPr>
          <w:rFonts w:hint="eastAsia" w:ascii="宋体" w:hAnsi="宋体"/>
          <w:b/>
          <w:sz w:val="44"/>
          <w:szCs w:val="44"/>
        </w:rPr>
        <w:t>民政局科室职责及责任人</w:t>
      </w:r>
    </w:p>
    <w:p>
      <w:pPr>
        <w:spacing w:line="400" w:lineRule="exact"/>
        <w:jc w:val="center"/>
        <w:rPr>
          <w:rFonts w:ascii="黑体" w:hAnsi="Times New Roman" w:eastAsia="黑体"/>
          <w:sz w:val="44"/>
          <w:szCs w:val="44"/>
        </w:rPr>
      </w:pPr>
    </w:p>
    <w:tbl>
      <w:tblPr>
        <w:tblStyle w:val="5"/>
        <w:tblW w:w="12616"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88"/>
        <w:gridCol w:w="38"/>
        <w:gridCol w:w="10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2126"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科  室</w:t>
            </w:r>
          </w:p>
        </w:tc>
        <w:tc>
          <w:tcPr>
            <w:tcW w:w="10490"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主 要 业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城乡低保中心</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80" w:firstLineChars="200"/>
              <w:rPr>
                <w:rFonts w:ascii="仿宋_GB2312" w:hAnsi="Times New Roman" w:eastAsia="仿宋_GB2312"/>
                <w:sz w:val="32"/>
                <w:szCs w:val="32"/>
              </w:rPr>
            </w:pPr>
            <w:r>
              <w:rPr>
                <w:rFonts w:hint="eastAsia" w:ascii="仿宋_GB2312" w:hAnsi="Times New Roman" w:eastAsia="仿宋_GB2312"/>
                <w:sz w:val="24"/>
              </w:rPr>
              <w:t>全面贯彻落实城乡居民最低生活保障政策，具体承办全县城乡低保对象审查、低保资金发放等工作。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民政事业</w:t>
            </w:r>
          </w:p>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服务中心</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80" w:firstLineChars="200"/>
              <w:rPr>
                <w:rFonts w:ascii="仿宋_GB2312" w:hAnsi="Times New Roman" w:eastAsia="仿宋_GB2312"/>
                <w:sz w:val="32"/>
                <w:szCs w:val="32"/>
              </w:rPr>
            </w:pPr>
            <w:r>
              <w:rPr>
                <w:rFonts w:hint="eastAsia" w:ascii="仿宋_GB2312" w:hAnsi="Times New Roman" w:eastAsia="仿宋_GB2312"/>
                <w:sz w:val="24"/>
              </w:rPr>
              <w:t>坚持全心全意为孤寡老人服务，以养为主、科学办院的方针；为入院老人搞好优质服务；做到全县孤寡老人：老有所医、老有所养、老有所学、老有所乐。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12" w:space="0"/>
              <w:right w:val="single" w:color="auto" w:sz="6" w:space="0"/>
            </w:tcBorders>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福利生产处</w:t>
            </w:r>
          </w:p>
        </w:tc>
        <w:tc>
          <w:tcPr>
            <w:tcW w:w="10490" w:type="dxa"/>
            <w:tcBorders>
              <w:top w:val="single" w:color="auto" w:sz="6" w:space="0"/>
              <w:left w:val="single" w:color="auto" w:sz="6" w:space="0"/>
              <w:bottom w:val="single" w:color="auto" w:sz="12" w:space="0"/>
              <w:right w:val="single" w:color="auto" w:sz="6" w:space="0"/>
            </w:tcBorders>
            <w:vAlign w:val="center"/>
          </w:tcPr>
          <w:p>
            <w:pPr>
              <w:ind w:firstLine="480" w:firstLineChars="200"/>
              <w:rPr>
                <w:rFonts w:ascii="仿宋_GB2312" w:hAnsi="Times New Roman" w:eastAsia="仿宋_GB2312"/>
                <w:sz w:val="24"/>
                <w:szCs w:val="24"/>
              </w:rPr>
            </w:pPr>
            <w:r>
              <w:rPr>
                <w:rFonts w:hint="eastAsia" w:ascii="仿宋_GB2312" w:hAnsi="Times New Roman" w:eastAsia="仿宋_GB2312"/>
                <w:sz w:val="24"/>
              </w:rPr>
              <w:t>负责福利企业资格初审认定；福利企业年检、经营范围变更审查；福利企业监督管理。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社会事务股</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260" w:lineRule="exact"/>
              <w:ind w:firstLine="480" w:firstLineChars="200"/>
              <w:rPr>
                <w:rFonts w:ascii="仿宋_GB2312" w:hAnsi="Times New Roman" w:eastAsia="仿宋_GB2312"/>
                <w:sz w:val="24"/>
                <w:szCs w:val="24"/>
              </w:rPr>
            </w:pPr>
            <w:r>
              <w:rPr>
                <w:rFonts w:hint="eastAsia" w:ascii="仿宋_GB2312" w:hAnsi="Times New Roman" w:eastAsia="仿宋_GB2312"/>
                <w:sz w:val="24"/>
              </w:rPr>
              <w:t>负责指导全县城乡基层政权建设工作，指导和监督全县村民委员会换届选举工作；负责宣传贯彻实施国家的殡葬管理法规、政策，推动我县殡葬改革的发展；负责全县孤儿生活保障工作；负责全县农村互助幸福院建设工作；负责县城界线勘察、维护等工作；负责全县的收养登记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9"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pacing w:val="-18"/>
                <w:sz w:val="28"/>
                <w:szCs w:val="28"/>
              </w:rPr>
              <w:t>社会团体管理中心</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300" w:lineRule="exact"/>
              <w:ind w:firstLine="480" w:firstLineChars="200"/>
              <w:rPr>
                <w:rFonts w:ascii="仿宋_GB2312" w:hAnsi="Times New Roman" w:eastAsia="仿宋_GB2312"/>
                <w:sz w:val="24"/>
                <w:szCs w:val="24"/>
              </w:rPr>
            </w:pPr>
            <w:r>
              <w:rPr>
                <w:rFonts w:hint="eastAsia" w:ascii="仿宋_GB2312" w:hAnsi="Times New Roman" w:eastAsia="仿宋_GB2312"/>
                <w:sz w:val="24"/>
              </w:rPr>
              <w:t>负责全县民间组织的审批、登记管理及对民间组织违法行为的查处和行政复议工作；负责民间组织的年检、注销、合并、审核工作。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福彩中心</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300" w:lineRule="exact"/>
              <w:ind w:firstLine="472" w:firstLineChars="200"/>
              <w:rPr>
                <w:rFonts w:ascii="仿宋_GB2312" w:hAnsi="Times New Roman" w:eastAsia="仿宋_GB2312"/>
                <w:sz w:val="24"/>
                <w:szCs w:val="24"/>
              </w:rPr>
            </w:pPr>
            <w:r>
              <w:rPr>
                <w:rFonts w:hint="eastAsia" w:ascii="仿宋_GB2312" w:hAnsi="Times New Roman" w:eastAsia="仿宋_GB2312"/>
                <w:spacing w:val="-2"/>
                <w:sz w:val="24"/>
              </w:rPr>
              <w:t>负责本县福利彩票销售及日常管理工作；使用福利公益金开展“福彩助学”救助贫困大学生工作；完成市福彩中心交办相关业务事项。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殡葬改革</w:t>
            </w:r>
          </w:p>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执法队</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ind w:firstLine="480" w:firstLineChars="200"/>
              <w:rPr>
                <w:rFonts w:ascii="仿宋_GB2312" w:hAnsi="Times New Roman" w:eastAsia="仿宋_GB2312"/>
                <w:sz w:val="24"/>
                <w:szCs w:val="24"/>
              </w:rPr>
            </w:pPr>
            <w:r>
              <w:rPr>
                <w:rFonts w:hint="eastAsia" w:ascii="仿宋_GB2312" w:hAnsi="ˎ̥" w:eastAsia="仿宋_GB2312"/>
                <w:sz w:val="24"/>
              </w:rPr>
              <w:t>积极宣传贯彻落实殡葬改革政策，做好殡葬行政执法；革除陈旧丧葬陋俗，反对封建迷信，树立文明办丧事新风；实施殡葬改革，规范民众丧葬行为，对乱埋乱葬墓地依法实施整治和查处；依法查处丧葬活动中违规案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pacing w:val="-18"/>
                <w:sz w:val="28"/>
                <w:szCs w:val="28"/>
              </w:rPr>
            </w:pPr>
            <w:r>
              <w:rPr>
                <w:rFonts w:hint="eastAsia" w:ascii="仿宋_GB2312" w:hAnsi="Times New Roman" w:eastAsia="仿宋_GB2312"/>
                <w:spacing w:val="30"/>
                <w:sz w:val="28"/>
                <w:szCs w:val="28"/>
              </w:rPr>
              <w:t>火化厂</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64" w:firstLineChars="200"/>
              <w:rPr>
                <w:rFonts w:ascii="仿宋_GB2312" w:hAnsi="Times New Roman" w:eastAsia="仿宋_GB2312"/>
                <w:sz w:val="24"/>
                <w:szCs w:val="24"/>
              </w:rPr>
            </w:pPr>
            <w:r>
              <w:rPr>
                <w:rFonts w:hint="eastAsia" w:ascii="仿宋_GB2312" w:hAnsi="ˎ̥" w:eastAsia="仿宋_GB2312"/>
                <w:spacing w:val="-4"/>
                <w:sz w:val="24"/>
              </w:rPr>
              <w:t>提供殡仪馆服务，接运遗体，冷藏遗体，开展遗体告别活动，对遗体进行火化，出具火化证件和手续服务，使丧属悲痛而来，满意而归。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pacing w:val="30"/>
                <w:sz w:val="28"/>
                <w:szCs w:val="28"/>
              </w:rPr>
              <w:t>地名办</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80" w:firstLineChars="200"/>
              <w:rPr>
                <w:rFonts w:ascii="仿宋_GB2312" w:hAnsi="Times New Roman" w:eastAsia="仿宋_GB2312"/>
                <w:spacing w:val="-2"/>
                <w:sz w:val="24"/>
                <w:szCs w:val="24"/>
              </w:rPr>
            </w:pPr>
            <w:r>
              <w:rPr>
                <w:rFonts w:hint="eastAsia" w:ascii="仿宋_GB2312" w:hAnsi="Times New Roman" w:eastAsia="仿宋_GB2312"/>
                <w:sz w:val="24"/>
              </w:rPr>
              <w:t>负责全县地名管理工作，承办全县城区街道命名，村地名的命名、变更的申请和审核工作，收集整理、更新地名资料。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婚姻登记处</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80" w:firstLineChars="200"/>
              <w:rPr>
                <w:rFonts w:hint="eastAsia" w:ascii="仿宋_GB2312" w:hAnsi="ˎ̥" w:eastAsia="仿宋_GB2312"/>
                <w:sz w:val="24"/>
                <w:szCs w:val="24"/>
              </w:rPr>
            </w:pPr>
            <w:r>
              <w:rPr>
                <w:rFonts w:hint="eastAsia" w:ascii="仿宋_GB2312" w:hAnsi="Times New Roman" w:eastAsia="仿宋_GB2312"/>
                <w:sz w:val="24"/>
              </w:rPr>
              <w:t>负责办理婚姻登记；补发婚姻证件；出具婚姻登记记录证明；撤销胁迫的婚姻；宣传婚姻法律法规，倡导文明婚俗。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2088" w:type="dxa"/>
            <w:tcBorders>
              <w:top w:val="single" w:color="auto" w:sz="6" w:space="0"/>
              <w:left w:val="single" w:color="auto" w:sz="12" w:space="0"/>
              <w:bottom w:val="single" w:color="auto" w:sz="12"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pacing w:val="30"/>
                <w:sz w:val="28"/>
                <w:szCs w:val="28"/>
              </w:rPr>
              <w:t>养老处</w:t>
            </w:r>
          </w:p>
        </w:tc>
        <w:tc>
          <w:tcPr>
            <w:tcW w:w="10528" w:type="dxa"/>
            <w:gridSpan w:val="2"/>
            <w:tcBorders>
              <w:top w:val="single" w:color="auto" w:sz="6" w:space="0"/>
              <w:left w:val="single" w:color="auto" w:sz="6" w:space="0"/>
              <w:bottom w:val="single" w:color="auto" w:sz="12" w:space="0"/>
              <w:right w:val="single" w:color="auto" w:sz="6" w:space="0"/>
            </w:tcBorders>
            <w:vAlign w:val="center"/>
          </w:tcPr>
          <w:p>
            <w:pPr>
              <w:spacing w:line="300" w:lineRule="exact"/>
              <w:ind w:firstLine="480" w:firstLineChars="200"/>
              <w:rPr>
                <w:rFonts w:hint="eastAsia" w:ascii="仿宋_GB2312" w:hAnsi="ˎ̥" w:eastAsia="仿宋_GB2312"/>
                <w:spacing w:val="-4"/>
                <w:sz w:val="24"/>
                <w:szCs w:val="24"/>
              </w:rPr>
            </w:pPr>
            <w:r>
              <w:rPr>
                <w:rFonts w:hint="eastAsia" w:ascii="仿宋_GB2312" w:hAnsi="Times New Roman" w:eastAsia="仿宋_GB2312"/>
                <w:sz w:val="24"/>
              </w:rPr>
              <w:t>主要负责全县老年人优惠政策的落实，经济困难高龄、失能半失能服务补贴发放和80岁以上老年人高龄津贴发放工作。</w:t>
            </w:r>
          </w:p>
        </w:tc>
      </w:tr>
    </w:tbl>
    <w:p>
      <w:pPr>
        <w:widowControl/>
        <w:spacing w:line="360" w:lineRule="auto"/>
        <w:jc w:val="left"/>
        <w:rPr>
          <w:rFonts w:ascii="仿宋" w:hAnsi="仿宋" w:eastAsia="仿宋" w:cs="方正仿宋_GBK"/>
          <w:sz w:val="32"/>
          <w:szCs w:val="32"/>
        </w:rPr>
      </w:pPr>
    </w:p>
    <w:p>
      <w:pPr>
        <w:autoSpaceDE w:val="0"/>
        <w:autoSpaceDN w:val="0"/>
        <w:adjustRightInd w:val="0"/>
        <w:ind w:firstLine="643" w:firstLineChars="200"/>
        <w:jc w:val="left"/>
        <w:rPr>
          <w:rFonts w:ascii="方正仿宋_GBK" w:hAnsi="Times New Roman" w:eastAsia="方正仿宋_GBK" w:cs="Times New Roman"/>
          <w:b/>
          <w:bCs/>
          <w:sz w:val="32"/>
          <w:szCs w:val="32"/>
        </w:rPr>
      </w:pPr>
      <w:r>
        <w:rPr>
          <w:rFonts w:hint="eastAsia" w:ascii="方正仿宋_GBK" w:hAnsi="Times New Roman" w:eastAsia="方正仿宋_GBK" w:cs="方正仿宋_GBK"/>
          <w:b/>
          <w:bCs/>
          <w:sz w:val="32"/>
          <w:szCs w:val="32"/>
        </w:rPr>
        <w:t>机构设置：</w:t>
      </w: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4"/>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continue"/>
            <w:vAlign w:val="center"/>
          </w:tcPr>
          <w:p>
            <w:pPr>
              <w:spacing w:line="300" w:lineRule="exact"/>
              <w:jc w:val="left"/>
              <w:outlineLvl w:val="0"/>
              <w:rPr>
                <w:rFonts w:ascii="Times New Roman" w:hAnsi="Times New Roman" w:eastAsia="宋体" w:cs="Times New Roman"/>
              </w:rPr>
            </w:pPr>
          </w:p>
        </w:tc>
        <w:tc>
          <w:tcPr>
            <w:tcW w:w="1134" w:type="dxa"/>
            <w:vMerge w:val="continue"/>
            <w:vAlign w:val="center"/>
          </w:tcPr>
          <w:p>
            <w:pPr>
              <w:spacing w:line="300" w:lineRule="exact"/>
              <w:jc w:val="left"/>
              <w:outlineLvl w:val="0"/>
              <w:rPr>
                <w:rFonts w:ascii="Times New Roman" w:hAnsi="Times New Roman" w:eastAsia="宋体" w:cs="Times New Roman"/>
              </w:rPr>
            </w:pPr>
          </w:p>
        </w:tc>
        <w:tc>
          <w:tcPr>
            <w:tcW w:w="1276" w:type="dxa"/>
            <w:vMerge w:val="continue"/>
            <w:vAlign w:val="center"/>
          </w:tcPr>
          <w:p>
            <w:pPr>
              <w:spacing w:line="300" w:lineRule="exact"/>
              <w:jc w:val="left"/>
              <w:outlineLvl w:val="0"/>
              <w:rPr>
                <w:rFonts w:ascii="Times New Roman" w:hAnsi="Times New Roman" w:eastAsia="宋体" w:cs="Times New Roman"/>
              </w:rPr>
            </w:pPr>
          </w:p>
        </w:tc>
        <w:tc>
          <w:tcPr>
            <w:tcW w:w="2902" w:type="dxa"/>
            <w:vMerge w:val="continue"/>
            <w:vAlign w:val="center"/>
          </w:tcPr>
          <w:p>
            <w:pPr>
              <w:spacing w:line="300" w:lineRule="exact"/>
              <w:jc w:val="left"/>
              <w:outlineLvl w:val="0"/>
              <w:rPr>
                <w:rFonts w:ascii="Times New Roman" w:hAnsi="Times New Roman"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hint="eastAsia" w:ascii="Times New Roman" w:hAnsi="Times New Roman" w:eastAsia="方正书宋_GBK" w:cs="Times New Roman"/>
                <w:sz w:val="18"/>
                <w:szCs w:val="18"/>
                <w:lang w:eastAsia="zh-CN"/>
              </w:rPr>
            </w:pPr>
            <w:r>
              <w:rPr>
                <w:rFonts w:hint="eastAsia" w:ascii="Times New Roman" w:hAnsi="Times New Roman" w:eastAsia="方正书宋_GBK" w:cs="Times New Roman"/>
                <w:sz w:val="18"/>
                <w:szCs w:val="18"/>
                <w:lang w:eastAsia="zh-CN"/>
              </w:rPr>
              <w:t>成安县民政局</w:t>
            </w:r>
          </w:p>
        </w:tc>
        <w:tc>
          <w:tcPr>
            <w:tcW w:w="1134" w:type="dxa"/>
            <w:vAlign w:val="center"/>
          </w:tcPr>
          <w:p>
            <w:pPr>
              <w:spacing w:line="300" w:lineRule="exact"/>
              <w:jc w:val="left"/>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行政</w:t>
            </w:r>
          </w:p>
        </w:tc>
        <w:tc>
          <w:tcPr>
            <w:tcW w:w="1276" w:type="dxa"/>
            <w:vAlign w:val="center"/>
          </w:tcPr>
          <w:p>
            <w:pPr>
              <w:spacing w:line="300" w:lineRule="exact"/>
              <w:jc w:val="left"/>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lang w:eastAsia="zh-CN"/>
              </w:rPr>
              <w:t>科</w:t>
            </w:r>
            <w:r>
              <w:rPr>
                <w:rFonts w:hint="eastAsia" w:ascii="Times New Roman" w:hAnsi="Times New Roman" w:eastAsia="方正书宋_GBK" w:cs="Times New Roman"/>
                <w:sz w:val="18"/>
                <w:szCs w:val="18"/>
              </w:rPr>
              <w:t>级</w:t>
            </w:r>
          </w:p>
        </w:tc>
        <w:tc>
          <w:tcPr>
            <w:tcW w:w="2902" w:type="dxa"/>
            <w:vAlign w:val="center"/>
          </w:tcPr>
          <w:p>
            <w:pPr>
              <w:spacing w:line="300" w:lineRule="exact"/>
              <w:jc w:val="left"/>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ascii="Times New Roman" w:hAnsi="Times New Roman" w:eastAsia="方正书宋_GBK" w:cs="Times New Roman"/>
                <w:sz w:val="18"/>
                <w:szCs w:val="18"/>
              </w:rPr>
            </w:pPr>
          </w:p>
        </w:tc>
        <w:tc>
          <w:tcPr>
            <w:tcW w:w="1134" w:type="dxa"/>
            <w:vAlign w:val="center"/>
          </w:tcPr>
          <w:p>
            <w:pPr>
              <w:spacing w:line="300" w:lineRule="exact"/>
              <w:jc w:val="left"/>
              <w:rPr>
                <w:rFonts w:ascii="Times New Roman" w:hAnsi="Times New Roman" w:eastAsia="方正书宋_GBK" w:cs="Times New Roman"/>
                <w:sz w:val="18"/>
                <w:szCs w:val="18"/>
              </w:rPr>
            </w:pPr>
          </w:p>
        </w:tc>
        <w:tc>
          <w:tcPr>
            <w:tcW w:w="1276" w:type="dxa"/>
            <w:vAlign w:val="center"/>
          </w:tcPr>
          <w:p>
            <w:pPr>
              <w:spacing w:line="300" w:lineRule="exact"/>
              <w:jc w:val="left"/>
              <w:rPr>
                <w:rFonts w:ascii="Times New Roman" w:hAnsi="Times New Roman" w:eastAsia="方正书宋_GBK" w:cs="Times New Roman"/>
                <w:sz w:val="18"/>
                <w:szCs w:val="18"/>
              </w:rPr>
            </w:pPr>
          </w:p>
        </w:tc>
        <w:tc>
          <w:tcPr>
            <w:tcW w:w="2902" w:type="dxa"/>
            <w:vAlign w:val="center"/>
          </w:tcPr>
          <w:p>
            <w:pPr>
              <w:spacing w:line="300" w:lineRule="exact"/>
              <w:jc w:val="left"/>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ascii="Times New Roman" w:hAnsi="Times New Roman" w:eastAsia="方正书宋_GBK" w:cs="Times New Roman"/>
                <w:sz w:val="18"/>
                <w:szCs w:val="18"/>
              </w:rPr>
            </w:pPr>
          </w:p>
        </w:tc>
        <w:tc>
          <w:tcPr>
            <w:tcW w:w="1134" w:type="dxa"/>
            <w:vAlign w:val="center"/>
          </w:tcPr>
          <w:p>
            <w:pPr>
              <w:spacing w:line="300" w:lineRule="exact"/>
              <w:jc w:val="left"/>
              <w:rPr>
                <w:rFonts w:ascii="Times New Roman" w:hAnsi="Times New Roman" w:eastAsia="方正书宋_GBK" w:cs="Times New Roman"/>
                <w:sz w:val="18"/>
                <w:szCs w:val="18"/>
              </w:rPr>
            </w:pPr>
          </w:p>
        </w:tc>
        <w:tc>
          <w:tcPr>
            <w:tcW w:w="1276" w:type="dxa"/>
            <w:vAlign w:val="center"/>
          </w:tcPr>
          <w:p>
            <w:pPr>
              <w:spacing w:line="300" w:lineRule="exact"/>
              <w:jc w:val="left"/>
              <w:rPr>
                <w:rFonts w:ascii="Times New Roman" w:hAnsi="Times New Roman" w:eastAsia="方正书宋_GBK" w:cs="Times New Roman"/>
                <w:sz w:val="18"/>
                <w:szCs w:val="18"/>
              </w:rPr>
            </w:pPr>
          </w:p>
        </w:tc>
        <w:tc>
          <w:tcPr>
            <w:tcW w:w="2902" w:type="dxa"/>
            <w:vAlign w:val="center"/>
          </w:tcPr>
          <w:p>
            <w:pPr>
              <w:spacing w:line="300" w:lineRule="exact"/>
              <w:jc w:val="left"/>
              <w:rPr>
                <w:rFonts w:ascii="Times New Roman" w:hAnsi="Times New Roman" w:eastAsia="方正书宋_GBK" w:cs="Times New Roman"/>
                <w:sz w:val="18"/>
                <w:szCs w:val="18"/>
              </w:rPr>
            </w:pPr>
          </w:p>
        </w:tc>
      </w:tr>
    </w:tbl>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spacing w:line="560" w:lineRule="exact"/>
        <w:ind w:firstLine="640"/>
        <w:rPr>
          <w:rFonts w:ascii="仿宋" w:hAnsi="仿宋" w:eastAsia="仿宋" w:cs="Times New Roman"/>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方正仿宋_GBK"/>
          <w:sz w:val="32"/>
          <w:szCs w:val="32"/>
        </w:rPr>
      </w:pPr>
      <w:r>
        <w:rPr>
          <w:rFonts w:hint="eastAsia" w:ascii="仿宋" w:hAnsi="仿宋" w:eastAsia="仿宋" w:cs="Times New Roman"/>
          <w:sz w:val="32"/>
          <w:szCs w:val="32"/>
        </w:rPr>
        <w:t>2020</w:t>
      </w:r>
      <w:r>
        <w:rPr>
          <w:rFonts w:hint="eastAsia" w:ascii="仿宋" w:hAnsi="仿宋" w:eastAsia="仿宋" w:cs="方正仿宋_GBK"/>
          <w:sz w:val="32"/>
          <w:szCs w:val="32"/>
        </w:rPr>
        <w:t>年预算收入4251.04万元，其中：一般公共预算收入4251.04万元，政府性基金收入0万元，国有资本经营收入</w:t>
      </w:r>
      <w:r>
        <w:rPr>
          <w:rFonts w:ascii="仿宋" w:hAnsi="仿宋" w:eastAsia="仿宋" w:cs="方正仿宋_GBK"/>
          <w:sz w:val="32"/>
          <w:szCs w:val="32"/>
        </w:rPr>
        <w:t>0</w:t>
      </w:r>
      <w:r>
        <w:rPr>
          <w:rFonts w:hint="eastAsia" w:ascii="仿宋" w:hAnsi="仿宋" w:eastAsia="仿宋" w:cs="方正仿宋_GBK"/>
          <w:sz w:val="32"/>
          <w:szCs w:val="32"/>
        </w:rPr>
        <w:t>万元，事业收入</w:t>
      </w:r>
      <w:r>
        <w:rPr>
          <w:rFonts w:ascii="仿宋" w:hAnsi="仿宋" w:eastAsia="仿宋" w:cs="方正仿宋_GBK"/>
          <w:sz w:val="32"/>
          <w:szCs w:val="32"/>
        </w:rPr>
        <w:t>0</w:t>
      </w:r>
      <w:r>
        <w:rPr>
          <w:rFonts w:hint="eastAsia" w:ascii="仿宋" w:hAnsi="仿宋" w:eastAsia="仿宋" w:cs="方正仿宋_GBK"/>
          <w:sz w:val="32"/>
          <w:szCs w:val="32"/>
        </w:rPr>
        <w:t>万元，其他收入</w:t>
      </w:r>
      <w:r>
        <w:rPr>
          <w:rFonts w:ascii="仿宋" w:hAnsi="仿宋" w:eastAsia="仿宋" w:cs="方正仿宋_GBK"/>
          <w:sz w:val="32"/>
          <w:szCs w:val="32"/>
        </w:rPr>
        <w:t>0</w:t>
      </w:r>
      <w:r>
        <w:rPr>
          <w:rFonts w:hint="eastAsia" w:ascii="仿宋" w:hAnsi="仿宋" w:eastAsia="仿宋" w:cs="方正仿宋_GBK"/>
          <w:sz w:val="32"/>
          <w:szCs w:val="32"/>
        </w:rPr>
        <w:t>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方正仿宋_GBK"/>
          <w:sz w:val="32"/>
          <w:szCs w:val="32"/>
        </w:rPr>
      </w:pPr>
      <w:r>
        <w:rPr>
          <w:rFonts w:hint="eastAsia" w:ascii="仿宋" w:hAnsi="仿宋" w:eastAsia="仿宋" w:cs="Times New Roman"/>
          <w:sz w:val="32"/>
          <w:szCs w:val="32"/>
        </w:rPr>
        <w:t>2020</w:t>
      </w:r>
      <w:r>
        <w:rPr>
          <w:rFonts w:hint="eastAsia" w:ascii="仿宋" w:hAnsi="仿宋" w:eastAsia="仿宋" w:cs="方正仿宋_GBK"/>
          <w:sz w:val="32"/>
          <w:szCs w:val="32"/>
        </w:rPr>
        <w:t>年支出预算4251.04万元，其中基本支出299.78万元，包括人员工资244.68万元，公用经费55.1万元；项目支出3951.26元，主要为农村五保供养、孤儿基本生活保障、老年人生活补助金等。</w:t>
      </w:r>
    </w:p>
    <w:p>
      <w:pPr>
        <w:spacing w:line="560" w:lineRule="exact"/>
        <w:ind w:firstLine="800" w:firstLineChars="249"/>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rPr>
          <w:rFonts w:ascii="仿宋" w:hAnsi="仿宋" w:eastAsia="仿宋" w:cs="方正仿宋_GBK"/>
          <w:sz w:val="32"/>
          <w:szCs w:val="32"/>
        </w:rPr>
      </w:pPr>
      <w:r>
        <w:rPr>
          <w:rFonts w:hint="eastAsia" w:ascii="仿宋" w:hAnsi="仿宋" w:eastAsia="仿宋" w:cs="Times New Roman"/>
          <w:sz w:val="32"/>
          <w:szCs w:val="32"/>
        </w:rPr>
        <w:t xml:space="preserve">    2020</w:t>
      </w:r>
      <w:r>
        <w:rPr>
          <w:rFonts w:hint="eastAsia" w:ascii="仿宋" w:hAnsi="仿宋" w:eastAsia="仿宋" w:cs="方正仿宋_GBK"/>
          <w:sz w:val="32"/>
          <w:szCs w:val="32"/>
        </w:rPr>
        <w:t>年预算收支安排4251.04万元，较</w:t>
      </w:r>
      <w:r>
        <w:rPr>
          <w:rFonts w:ascii="仿宋" w:hAnsi="仿宋" w:eastAsia="仿宋" w:cs="Times New Roman"/>
          <w:sz w:val="32"/>
          <w:szCs w:val="32"/>
        </w:rPr>
        <w:t>20</w:t>
      </w:r>
      <w:r>
        <w:rPr>
          <w:rFonts w:hint="eastAsia" w:ascii="仿宋" w:hAnsi="仿宋" w:eastAsia="仿宋" w:cs="Times New Roman"/>
          <w:sz w:val="32"/>
          <w:szCs w:val="32"/>
        </w:rPr>
        <w:t>19</w:t>
      </w:r>
      <w:r>
        <w:rPr>
          <w:rFonts w:hint="eastAsia" w:ascii="仿宋" w:hAnsi="仿宋" w:eastAsia="仿宋" w:cs="方正仿宋_GBK"/>
          <w:sz w:val="32"/>
          <w:szCs w:val="32"/>
        </w:rPr>
        <w:t>年预算减少2652.99万元，其中：基本支出减少2652.99万元，</w:t>
      </w:r>
      <w:r>
        <w:rPr>
          <w:rFonts w:hint="eastAsia" w:ascii="仿宋" w:hAnsi="仿宋" w:eastAsia="仿宋" w:cs="仿宋_GB2312"/>
          <w:kern w:val="0"/>
          <w:sz w:val="32"/>
          <w:szCs w:val="32"/>
        </w:rPr>
        <w:t>主要是2019年对机关事业单位机构改革将优抚支出、城乡医疗救助从民政部门划出</w:t>
      </w:r>
      <w:r>
        <w:rPr>
          <w:rFonts w:hint="eastAsia" w:ascii="仿宋" w:hAnsi="仿宋" w:eastAsia="仿宋" w:cs="方正仿宋_GBK"/>
          <w:sz w:val="32"/>
          <w:szCs w:val="32"/>
        </w:rPr>
        <w:t>。</w:t>
      </w:r>
    </w:p>
    <w:p>
      <w:pPr>
        <w:autoSpaceDE w:val="0"/>
        <w:autoSpaceDN w:val="0"/>
        <w:adjustRightInd w:val="0"/>
        <w:spacing w:line="560" w:lineRule="exact"/>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autoSpaceDE w:val="0"/>
        <w:autoSpaceDN w:val="0"/>
        <w:adjustRightInd w:val="0"/>
        <w:spacing w:line="560" w:lineRule="exact"/>
        <w:ind w:left="198" w:firstLine="640" w:firstLineChars="200"/>
        <w:jc w:val="left"/>
        <w:rPr>
          <w:rFonts w:ascii="仿宋" w:hAnsi="仿宋" w:eastAsia="仿宋" w:cs="Times New Roman"/>
          <w:sz w:val="32"/>
          <w:szCs w:val="32"/>
        </w:rPr>
      </w:pPr>
      <w:r>
        <w:rPr>
          <w:rFonts w:hint="eastAsia" w:ascii="仿宋" w:hAnsi="仿宋" w:eastAsia="仿宋" w:cs="方正仿宋_GBK"/>
          <w:sz w:val="32"/>
          <w:szCs w:val="32"/>
        </w:rPr>
        <w:t>机关运行经费共计安排55.1万元，主要用于办公区的日常维修、办公用房水电费、邮电费、办公用房取暖费、办公用房物业管理费等日常运行支出。</w:t>
      </w:r>
    </w:p>
    <w:p>
      <w:pPr>
        <w:autoSpaceDE w:val="0"/>
        <w:autoSpaceDN w:val="0"/>
        <w:adjustRightInd w:val="0"/>
        <w:spacing w:line="560" w:lineRule="exact"/>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spacing w:line="560" w:lineRule="exact"/>
        <w:ind w:left="198" w:firstLine="640" w:firstLineChars="200"/>
        <w:rPr>
          <w:rFonts w:ascii="仿宋" w:hAnsi="仿宋" w:eastAsia="仿宋" w:cs="Times New Roman"/>
          <w:sz w:val="32"/>
          <w:szCs w:val="32"/>
        </w:rPr>
      </w:pPr>
      <w:r>
        <w:rPr>
          <w:rFonts w:hint="eastAsia" w:ascii="仿宋" w:hAnsi="仿宋" w:eastAsia="仿宋" w:cs="Times New Roman"/>
          <w:sz w:val="32"/>
          <w:szCs w:val="32"/>
        </w:rPr>
        <w:t>2020</w:t>
      </w:r>
      <w:r>
        <w:rPr>
          <w:rFonts w:hint="eastAsia" w:ascii="仿宋" w:hAnsi="仿宋" w:eastAsia="仿宋" w:cs="方正仿宋_GBK"/>
          <w:sz w:val="32"/>
          <w:szCs w:val="32"/>
        </w:rPr>
        <w:t>年，我单位</w:t>
      </w:r>
      <w:r>
        <w:rPr>
          <w:rFonts w:hint="eastAsia" w:ascii="仿宋" w:hAnsi="仿宋" w:eastAsia="仿宋" w:cs="Times New Roman"/>
          <w:sz w:val="32"/>
          <w:szCs w:val="32"/>
        </w:rPr>
        <w:t>“</w:t>
      </w:r>
      <w:r>
        <w:rPr>
          <w:rFonts w:hint="eastAsia" w:ascii="仿宋" w:hAnsi="仿宋" w:eastAsia="仿宋" w:cs="方正仿宋_GBK"/>
          <w:sz w:val="32"/>
          <w:szCs w:val="32"/>
        </w:rPr>
        <w:t>三公</w:t>
      </w:r>
      <w:r>
        <w:rPr>
          <w:rFonts w:hint="eastAsia" w:ascii="仿宋" w:hAnsi="仿宋" w:eastAsia="仿宋" w:cs="Times New Roman"/>
          <w:sz w:val="32"/>
          <w:szCs w:val="32"/>
        </w:rPr>
        <w:t>”</w:t>
      </w:r>
      <w:r>
        <w:rPr>
          <w:rFonts w:hint="eastAsia" w:ascii="仿宋" w:hAnsi="仿宋" w:eastAsia="仿宋" w:cs="方正仿宋_GBK"/>
          <w:sz w:val="32"/>
          <w:szCs w:val="32"/>
        </w:rPr>
        <w:t>经费预算安排5.8万元，其中因公出国（境）费</w:t>
      </w:r>
      <w:r>
        <w:rPr>
          <w:rFonts w:ascii="仿宋" w:hAnsi="仿宋" w:eastAsia="仿宋" w:cs="方正仿宋_GBK"/>
          <w:sz w:val="32"/>
          <w:szCs w:val="32"/>
        </w:rPr>
        <w:t>0</w:t>
      </w:r>
      <w:r>
        <w:rPr>
          <w:rFonts w:hint="eastAsia" w:ascii="仿宋" w:hAnsi="仿宋" w:eastAsia="仿宋" w:cs="方正仿宋_GBK"/>
          <w:sz w:val="32"/>
          <w:szCs w:val="32"/>
        </w:rPr>
        <w:t>万元；公务用车购置及运维费5.8万元（其中：公务用车购置费为</w:t>
      </w:r>
      <w:r>
        <w:rPr>
          <w:rFonts w:ascii="仿宋" w:hAnsi="仿宋" w:eastAsia="仿宋" w:cs="方正仿宋_GBK"/>
          <w:sz w:val="32"/>
          <w:szCs w:val="32"/>
        </w:rPr>
        <w:t>0</w:t>
      </w:r>
      <w:r>
        <w:rPr>
          <w:rFonts w:hint="eastAsia" w:ascii="仿宋" w:hAnsi="仿宋" w:eastAsia="仿宋" w:cs="方正仿宋_GBK"/>
          <w:sz w:val="32"/>
          <w:szCs w:val="32"/>
        </w:rPr>
        <w:t>万元，公务用车运行费5.8万元</w:t>
      </w:r>
      <w:r>
        <w:rPr>
          <w:rFonts w:ascii="仿宋" w:hAnsi="仿宋" w:eastAsia="仿宋" w:cs="Times New Roman"/>
          <w:sz w:val="32"/>
          <w:szCs w:val="32"/>
        </w:rPr>
        <w:t>)</w:t>
      </w:r>
      <w:r>
        <w:rPr>
          <w:rFonts w:hint="eastAsia" w:ascii="仿宋" w:hAnsi="仿宋" w:eastAsia="仿宋" w:cs="方正仿宋_GBK"/>
          <w:sz w:val="32"/>
          <w:szCs w:val="32"/>
        </w:rPr>
        <w:t>；公务接待费</w:t>
      </w:r>
      <w:r>
        <w:rPr>
          <w:rFonts w:ascii="仿宋" w:hAnsi="仿宋" w:eastAsia="仿宋" w:cs="方正仿宋_GBK"/>
          <w:sz w:val="32"/>
          <w:szCs w:val="32"/>
        </w:rPr>
        <w:t>0</w:t>
      </w:r>
      <w:r>
        <w:rPr>
          <w:rFonts w:hint="eastAsia" w:ascii="仿宋" w:hAnsi="仿宋" w:eastAsia="仿宋" w:cs="方正仿宋_GBK"/>
          <w:sz w:val="32"/>
          <w:szCs w:val="32"/>
        </w:rPr>
        <w:t>万元。与</w:t>
      </w:r>
      <w:r>
        <w:rPr>
          <w:rFonts w:ascii="仿宋" w:hAnsi="仿宋" w:eastAsia="仿宋" w:cs="Times New Roman"/>
          <w:sz w:val="32"/>
          <w:szCs w:val="32"/>
        </w:rPr>
        <w:t>201</w:t>
      </w:r>
      <w:r>
        <w:rPr>
          <w:rFonts w:hint="eastAsia" w:ascii="仿宋" w:hAnsi="仿宋" w:eastAsia="仿宋" w:cs="Times New Roman"/>
          <w:sz w:val="32"/>
          <w:szCs w:val="32"/>
        </w:rPr>
        <w:t>9</w:t>
      </w:r>
      <w:r>
        <w:rPr>
          <w:rFonts w:hint="eastAsia" w:ascii="仿宋" w:hAnsi="仿宋" w:eastAsia="仿宋" w:cs="方正仿宋_GBK"/>
          <w:sz w:val="32"/>
          <w:szCs w:val="32"/>
        </w:rPr>
        <w:t>年相比，降低了53.7%，</w:t>
      </w:r>
      <w:r>
        <w:rPr>
          <w:rFonts w:hint="eastAsia" w:ascii="仿宋" w:hAnsi="仿宋" w:eastAsia="仿宋" w:cs="方正仿宋_GBK"/>
          <w:sz w:val="32"/>
          <w:szCs w:val="32"/>
          <w:lang w:eastAsia="zh-CN"/>
        </w:rPr>
        <w:t>均为</w:t>
      </w:r>
      <w:r>
        <w:rPr>
          <w:rFonts w:hint="eastAsia" w:ascii="仿宋" w:hAnsi="仿宋" w:eastAsia="仿宋" w:cs="方正仿宋_GBK"/>
          <w:sz w:val="32"/>
          <w:szCs w:val="32"/>
        </w:rPr>
        <w:t>公务用车运行费</w:t>
      </w:r>
      <w:r>
        <w:rPr>
          <w:rFonts w:hint="eastAsia" w:ascii="仿宋" w:hAnsi="仿宋" w:eastAsia="仿宋" w:cs="方正仿宋_GBK"/>
          <w:sz w:val="32"/>
          <w:szCs w:val="32"/>
          <w:lang w:eastAsia="zh-CN"/>
        </w:rPr>
        <w:t>，</w:t>
      </w:r>
      <w:r>
        <w:rPr>
          <w:rFonts w:hint="eastAsia" w:ascii="仿宋" w:hAnsi="仿宋" w:eastAsia="仿宋" w:cs="方正仿宋_GBK"/>
          <w:sz w:val="32"/>
          <w:szCs w:val="32"/>
        </w:rPr>
        <w:t>主要原因节约开支，严格控制三公经费支出。</w:t>
      </w:r>
    </w:p>
    <w:p>
      <w:pPr>
        <w:spacing w:line="560" w:lineRule="exact"/>
        <w:ind w:firstLine="800" w:firstLineChars="250"/>
        <w:rPr>
          <w:rFonts w:ascii="黑体" w:hAnsi="黑体" w:eastAsia="黑体" w:cs="Times New Roman"/>
          <w:sz w:val="32"/>
          <w:szCs w:val="32"/>
        </w:rPr>
      </w:pPr>
      <w:r>
        <w:rPr>
          <w:rFonts w:hint="eastAsia" w:ascii="黑体" w:hAnsi="黑体" w:eastAsia="黑体" w:cs="黑体"/>
          <w:sz w:val="32"/>
          <w:szCs w:val="32"/>
        </w:rPr>
        <w:t>五、绩效预算信息</w:t>
      </w:r>
    </w:p>
    <w:p>
      <w:pPr>
        <w:spacing w:line="560" w:lineRule="exact"/>
        <w:ind w:firstLine="800" w:firstLineChars="250"/>
        <w:rPr>
          <w:rFonts w:hint="eastAsia" w:ascii="黑体" w:hAnsi="黑体" w:eastAsia="黑体" w:cs="黑体"/>
          <w:sz w:val="32"/>
          <w:szCs w:val="32"/>
        </w:rPr>
      </w:pPr>
      <w:bookmarkStart w:id="0" w:name="_Toc471398463"/>
      <w:r>
        <w:rPr>
          <w:rFonts w:hint="eastAsia" w:ascii="黑体" w:hAnsi="黑体" w:eastAsia="黑体" w:cs="黑体"/>
          <w:sz w:val="32"/>
          <w:szCs w:val="32"/>
        </w:rPr>
        <w:t>（一）总体绩效目标</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聚焦脱贫攻坚、特殊群体、群众关切，以做好基本民生保障、基层社会治理、基本社会服务等各项工作，不断提升人民群众获得感、幸福感、安全感为目标，让惠及百姓的政策落下去、实起来，织密扎牢民生保障“安全网”。强化基本民生保障，服务脱贫攻坚，解决好困难群众基本生活问题, 确保到2020年农村低保标准不低于扶贫标准,</w:t>
      </w:r>
      <w:r>
        <w:rPr>
          <w:rFonts w:hint="eastAsia" w:ascii="仿宋" w:hAnsi="仿宋" w:eastAsia="仿宋" w:cs="方正仿宋_GBK"/>
          <w:sz w:val="32"/>
          <w:szCs w:val="32"/>
          <w:lang w:eastAsia="zh-CN"/>
        </w:rPr>
        <w:t>加大</w:t>
      </w:r>
      <w:r>
        <w:rPr>
          <w:rFonts w:hint="eastAsia" w:ascii="仿宋" w:hAnsi="仿宋" w:eastAsia="仿宋" w:cs="方正仿宋_GBK"/>
          <w:sz w:val="32"/>
          <w:szCs w:val="32"/>
        </w:rPr>
        <w:t>生活不能自理特困人员集中供养率，逐步提高孤儿、困难和重度残疾人生活护理水平。优化基本社会服务供给，</w:t>
      </w:r>
      <w:r>
        <w:rPr>
          <w:rFonts w:hint="eastAsia" w:ascii="仿宋" w:hAnsi="仿宋" w:eastAsia="仿宋" w:cs="方正仿宋_GBK"/>
          <w:sz w:val="32"/>
          <w:szCs w:val="32"/>
          <w:lang w:eastAsia="zh-CN"/>
        </w:rPr>
        <w:t>提高</w:t>
      </w:r>
      <w:r>
        <w:rPr>
          <w:rFonts w:hint="eastAsia" w:ascii="仿宋" w:hAnsi="仿宋" w:eastAsia="仿宋" w:cs="方正仿宋_GBK"/>
          <w:sz w:val="32"/>
          <w:szCs w:val="32"/>
        </w:rPr>
        <w:t>居家养老服务设施覆盖</w:t>
      </w:r>
      <w:r>
        <w:rPr>
          <w:rFonts w:hint="eastAsia" w:ascii="仿宋" w:hAnsi="仿宋" w:eastAsia="仿宋" w:cs="方正仿宋_GBK"/>
          <w:sz w:val="32"/>
          <w:szCs w:val="32"/>
          <w:lang w:eastAsia="zh-CN"/>
        </w:rPr>
        <w:t>率</w:t>
      </w:r>
      <w:r>
        <w:rPr>
          <w:rFonts w:hint="eastAsia" w:ascii="仿宋" w:hAnsi="仿宋" w:eastAsia="仿宋" w:cs="方正仿宋_GBK"/>
          <w:sz w:val="32"/>
          <w:szCs w:val="32"/>
        </w:rPr>
        <w:t>，殡葬设施满足群众基本需求和环境保护标准要求，</w:t>
      </w:r>
      <w:r>
        <w:rPr>
          <w:rFonts w:hint="eastAsia" w:ascii="仿宋" w:hAnsi="仿宋" w:eastAsia="仿宋" w:cs="方正仿宋_GBK"/>
          <w:sz w:val="32"/>
          <w:szCs w:val="32"/>
          <w:lang w:eastAsia="zh-CN"/>
        </w:rPr>
        <w:t>提升</w:t>
      </w:r>
      <w:r>
        <w:rPr>
          <w:rFonts w:hint="eastAsia" w:ascii="仿宋" w:hAnsi="仿宋" w:eastAsia="仿宋" w:cs="方正仿宋_GBK"/>
          <w:sz w:val="32"/>
          <w:szCs w:val="32"/>
        </w:rPr>
        <w:t>农村公益性公墓覆盖率。提升社会治理水平，加强基层政权和社区建设</w:t>
      </w:r>
      <w:r>
        <w:rPr>
          <w:rFonts w:hint="eastAsia" w:ascii="仿宋" w:hAnsi="仿宋" w:eastAsia="仿宋" w:cs="方正仿宋_GBK"/>
          <w:sz w:val="32"/>
          <w:szCs w:val="32"/>
          <w:lang w:eastAsia="zh-CN"/>
        </w:rPr>
        <w:t>；</w:t>
      </w:r>
      <w:r>
        <w:rPr>
          <w:rFonts w:hint="eastAsia" w:ascii="仿宋" w:hAnsi="仿宋" w:eastAsia="仿宋" w:cs="方正仿宋_GBK"/>
          <w:sz w:val="32"/>
          <w:szCs w:val="32"/>
        </w:rPr>
        <w:t>大力发展社会组织、社会工作和慈善事业。</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（二）分项绩效目标</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1、聚焦脱贫攻坚，托住基本民生兜底保障线</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绩效目标：稳步推进城乡低保提标，精准落实农村困难群体特惠政策。落实特困人员供养制度，按标准发放基本生活费和护理费。</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绩效指标：农村低保标准考虑低保制度城乡统筹因素，2020年全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农村低保</w:t>
      </w:r>
      <w:r>
        <w:rPr>
          <w:rFonts w:hint="eastAsia" w:ascii="仿宋" w:hAnsi="仿宋" w:eastAsia="仿宋" w:cs="方正仿宋_GBK"/>
          <w:sz w:val="32"/>
          <w:szCs w:val="32"/>
          <w:lang w:eastAsia="zh-CN"/>
        </w:rPr>
        <w:t>保障</w:t>
      </w:r>
      <w:r>
        <w:rPr>
          <w:rFonts w:hint="eastAsia" w:ascii="仿宋" w:hAnsi="仿宋" w:eastAsia="仿宋" w:cs="方正仿宋_GBK"/>
          <w:sz w:val="32"/>
          <w:szCs w:val="32"/>
        </w:rPr>
        <w:t>标准达到</w:t>
      </w:r>
      <w:r>
        <w:rPr>
          <w:rFonts w:hint="eastAsia" w:ascii="仿宋" w:hAnsi="仿宋" w:eastAsia="仿宋" w:cs="方正仿宋_GBK"/>
          <w:sz w:val="32"/>
          <w:szCs w:val="32"/>
          <w:lang w:val="en-US" w:eastAsia="zh-CN"/>
        </w:rPr>
        <w:t>5124</w:t>
      </w:r>
      <w:r>
        <w:rPr>
          <w:rFonts w:hint="eastAsia" w:ascii="仿宋" w:hAnsi="仿宋" w:eastAsia="仿宋" w:cs="方正仿宋_GBK"/>
          <w:sz w:val="32"/>
          <w:szCs w:val="32"/>
        </w:rPr>
        <w:t>元/年；全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城市低保</w:t>
      </w:r>
      <w:r>
        <w:rPr>
          <w:rFonts w:hint="eastAsia" w:ascii="仿宋" w:hAnsi="仿宋" w:eastAsia="仿宋" w:cs="方正仿宋_GBK"/>
          <w:sz w:val="32"/>
          <w:szCs w:val="32"/>
          <w:lang w:eastAsia="zh-CN"/>
        </w:rPr>
        <w:t>保障</w:t>
      </w:r>
      <w:r>
        <w:rPr>
          <w:rFonts w:hint="eastAsia" w:ascii="仿宋" w:hAnsi="仿宋" w:eastAsia="仿宋" w:cs="方正仿宋_GBK"/>
          <w:sz w:val="32"/>
          <w:szCs w:val="32"/>
        </w:rPr>
        <w:t>标准</w:t>
      </w:r>
      <w:r>
        <w:rPr>
          <w:rFonts w:hint="eastAsia" w:ascii="仿宋" w:hAnsi="仿宋" w:eastAsia="仿宋" w:cs="方正仿宋_GBK"/>
          <w:sz w:val="32"/>
          <w:szCs w:val="32"/>
          <w:lang w:val="en-US" w:eastAsia="zh-CN"/>
        </w:rPr>
        <w:t>702</w:t>
      </w:r>
      <w:r>
        <w:rPr>
          <w:rFonts w:hint="eastAsia" w:ascii="仿宋" w:hAnsi="仿宋" w:eastAsia="仿宋" w:cs="方正仿宋_GBK"/>
          <w:sz w:val="32"/>
          <w:szCs w:val="32"/>
        </w:rPr>
        <w:t>元/</w:t>
      </w:r>
      <w:r>
        <w:rPr>
          <w:rFonts w:hint="eastAsia" w:ascii="仿宋" w:hAnsi="仿宋" w:eastAsia="仿宋" w:cs="方正仿宋_GBK"/>
          <w:sz w:val="32"/>
          <w:szCs w:val="32"/>
          <w:lang w:eastAsia="zh-CN"/>
        </w:rPr>
        <w:t>月</w:t>
      </w:r>
      <w:r>
        <w:rPr>
          <w:rFonts w:hint="eastAsia" w:ascii="仿宋" w:hAnsi="仿宋" w:eastAsia="仿宋" w:cs="方正仿宋_GBK"/>
          <w:sz w:val="32"/>
          <w:szCs w:val="32"/>
        </w:rPr>
        <w:t>。特困人员基本生活标准不低于当地低保标准的1.3倍；部分或完全丧失生活自理能力的特困人员年照料护理标准，不低于所在</w:t>
      </w:r>
      <w:r>
        <w:rPr>
          <w:rFonts w:hint="eastAsia" w:ascii="仿宋" w:hAnsi="仿宋" w:eastAsia="仿宋" w:cs="方正仿宋_GBK"/>
          <w:sz w:val="32"/>
          <w:szCs w:val="32"/>
          <w:lang w:eastAsia="zh-CN"/>
        </w:rPr>
        <w:t>我</w:t>
      </w:r>
      <w:r>
        <w:rPr>
          <w:rFonts w:hint="eastAsia" w:ascii="仿宋" w:hAnsi="仿宋" w:eastAsia="仿宋" w:cs="方正仿宋_GBK"/>
          <w:sz w:val="32"/>
          <w:szCs w:val="32"/>
        </w:rPr>
        <w:t>县年最低工资标准的10%。</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2、聚焦特殊群体，筑牢生活救助管理安全线</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目标：提高孤儿养育水平，进一步加强事实无人抚养儿童保障工作。强化对生活无着流浪乞讨人员的救助服务，维护受助人员合法权益。落实困难残疾人生活补贴和重度残疾人护理补贴制度，持续解决残疾人特殊生活困难和长期照护困难。</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绩效指标：将我</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孤儿基本生活补贴最低养育标准</w:t>
      </w:r>
      <w:r>
        <w:rPr>
          <w:rFonts w:hint="eastAsia" w:ascii="仿宋" w:hAnsi="仿宋" w:eastAsia="仿宋" w:cs="方正仿宋_GBK"/>
          <w:sz w:val="32"/>
          <w:szCs w:val="32"/>
          <w:lang w:eastAsia="zh-CN"/>
        </w:rPr>
        <w:t>达到</w:t>
      </w:r>
      <w:r>
        <w:rPr>
          <w:rFonts w:hint="eastAsia" w:ascii="仿宋" w:hAnsi="仿宋" w:eastAsia="仿宋" w:cs="方正仿宋_GBK"/>
          <w:sz w:val="32"/>
          <w:szCs w:val="32"/>
        </w:rPr>
        <w:t>社会散居孤儿1000元/人/月。从2020年1月1日起为事实无人抚养儿童发放基本生活补贴，并与孤儿保障标准相衔接。对申请救助且符合救助条件的生活无着流浪乞讨人员100%实施救助，帮助查明身份的滞留流浪乞讨人员及时返乡，确保不发生非正常重大事件。将符合条件的申请人100%纳入残疾人两项补贴制度保障范围，按标准及时、足额发放残疾人两项补贴资金。</w:t>
      </w:r>
    </w:p>
    <w:p>
      <w:pPr>
        <w:ind w:firstLine="640" w:firstLineChars="200"/>
        <w:rPr>
          <w:rFonts w:ascii="Times New Roman" w:hAnsi="Times New Roman" w:eastAsia="方正仿宋_GBK" w:cs="Times New Roman"/>
          <w:sz w:val="32"/>
          <w:szCs w:val="32"/>
        </w:rPr>
      </w:pPr>
      <w:r>
        <w:rPr>
          <w:rFonts w:hint="eastAsia" w:ascii="黑体" w:hAnsi="黑体" w:eastAsia="黑体" w:cs="黑体"/>
          <w:sz w:val="32"/>
          <w:szCs w:val="32"/>
        </w:rPr>
        <w:t>3、聚焦群众关切，提高基本社会服务幸福线</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绩效目标：实施社区和居家养老工程，提高养老服务质量，加快推进居家社区机构相协调、医养相结合的养老服务体系建设。加强和改进殡葬管理工作，支持全省殡葬服务设施和农村公益性公墓建设。</w:t>
      </w:r>
    </w:p>
    <w:p>
      <w:pPr>
        <w:autoSpaceDE w:val="0"/>
        <w:ind w:firstLine="640" w:firstLineChars="200"/>
        <w:jc w:val="left"/>
        <w:rPr>
          <w:rFonts w:hint="eastAsia" w:ascii="仿宋" w:hAnsi="仿宋" w:eastAsia="仿宋" w:cs="方正仿宋_GBK"/>
          <w:sz w:val="32"/>
          <w:szCs w:val="32"/>
          <w:lang w:eastAsia="zh-CN"/>
        </w:rPr>
      </w:pPr>
      <w:r>
        <w:rPr>
          <w:rFonts w:hint="eastAsia" w:ascii="仿宋" w:hAnsi="仿宋" w:eastAsia="仿宋" w:cs="方正仿宋_GBK"/>
          <w:sz w:val="32"/>
          <w:szCs w:val="32"/>
        </w:rPr>
        <w:t>绩效指标：到2020年，</w:t>
      </w:r>
      <w:r>
        <w:rPr>
          <w:rFonts w:hint="eastAsia" w:ascii="仿宋" w:hAnsi="仿宋" w:eastAsia="仿宋" w:cs="方正仿宋_GBK"/>
          <w:sz w:val="32"/>
          <w:szCs w:val="32"/>
          <w:lang w:eastAsia="zh-CN"/>
        </w:rPr>
        <w:t>加大</w:t>
      </w:r>
      <w:r>
        <w:rPr>
          <w:rFonts w:hint="eastAsia" w:ascii="仿宋" w:hAnsi="仿宋" w:eastAsia="仿宋" w:cs="方正仿宋_GBK"/>
          <w:sz w:val="32"/>
          <w:szCs w:val="32"/>
        </w:rPr>
        <w:t>社区和居家养老服务设施覆盖</w:t>
      </w:r>
      <w:r>
        <w:rPr>
          <w:rFonts w:hint="eastAsia" w:ascii="仿宋" w:hAnsi="仿宋" w:eastAsia="仿宋" w:cs="方正仿宋_GBK"/>
          <w:sz w:val="32"/>
          <w:szCs w:val="32"/>
          <w:lang w:eastAsia="zh-CN"/>
        </w:rPr>
        <w:t>，打造</w:t>
      </w:r>
      <w:r>
        <w:rPr>
          <w:rFonts w:hint="eastAsia" w:ascii="仿宋" w:hAnsi="仿宋" w:eastAsia="仿宋" w:cs="方正仿宋_GBK"/>
          <w:sz w:val="32"/>
          <w:szCs w:val="32"/>
        </w:rPr>
        <w:t>星级养老机构，重点改造提升敬老院。提升殡葬服务能力</w:t>
      </w:r>
      <w:r>
        <w:rPr>
          <w:rFonts w:hint="eastAsia" w:ascii="仿宋" w:hAnsi="仿宋" w:eastAsia="仿宋" w:cs="方正仿宋_GBK"/>
          <w:sz w:val="32"/>
          <w:szCs w:val="32"/>
          <w:lang w:eastAsia="zh-CN"/>
        </w:rPr>
        <w:t>，</w:t>
      </w:r>
      <w:r>
        <w:rPr>
          <w:rFonts w:hint="eastAsia" w:ascii="仿宋" w:hAnsi="仿宋" w:eastAsia="仿宋" w:cs="方正仿宋_GBK"/>
          <w:sz w:val="32"/>
          <w:szCs w:val="32"/>
        </w:rPr>
        <w:t>推进全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农村公益性公墓</w:t>
      </w:r>
      <w:r>
        <w:rPr>
          <w:rFonts w:hint="eastAsia" w:ascii="仿宋" w:hAnsi="仿宋" w:eastAsia="仿宋" w:cs="方正仿宋_GBK"/>
          <w:sz w:val="32"/>
          <w:szCs w:val="32"/>
          <w:lang w:eastAsia="zh-CN"/>
        </w:rPr>
        <w:t>和骨灰堂</w:t>
      </w:r>
      <w:r>
        <w:rPr>
          <w:rFonts w:hint="eastAsia" w:ascii="仿宋" w:hAnsi="仿宋" w:eastAsia="仿宋" w:cs="方正仿宋_GBK"/>
          <w:sz w:val="32"/>
          <w:szCs w:val="32"/>
        </w:rPr>
        <w:t>建设</w:t>
      </w:r>
      <w:r>
        <w:rPr>
          <w:rFonts w:hint="eastAsia" w:ascii="仿宋" w:hAnsi="仿宋" w:eastAsia="仿宋" w:cs="方正仿宋_GBK"/>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4、着眼强基固本，构建基层社会治理和谐线</w:t>
      </w:r>
    </w:p>
    <w:p>
      <w:pPr>
        <w:autoSpaceDE w:val="0"/>
        <w:ind w:firstLine="640" w:firstLineChars="200"/>
        <w:jc w:val="left"/>
        <w:rPr>
          <w:rFonts w:hint="eastAsia" w:ascii="仿宋" w:hAnsi="仿宋" w:eastAsia="仿宋" w:cs="方正仿宋_GBK"/>
          <w:sz w:val="32"/>
          <w:szCs w:val="32"/>
          <w:lang w:eastAsia="zh-CN"/>
        </w:rPr>
      </w:pPr>
      <w:r>
        <w:rPr>
          <w:rFonts w:hint="eastAsia" w:ascii="仿宋" w:hAnsi="仿宋" w:eastAsia="仿宋" w:cs="方正仿宋_GBK"/>
          <w:sz w:val="32"/>
          <w:szCs w:val="32"/>
        </w:rPr>
        <w:t>绩效目标：加强城乡社区建设，促进全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社会组织高质量发展，加强社区社会工作专业人才队伍建设</w:t>
      </w:r>
      <w:r>
        <w:rPr>
          <w:rFonts w:hint="eastAsia" w:ascii="仿宋" w:hAnsi="仿宋" w:eastAsia="仿宋" w:cs="方正仿宋_GBK"/>
          <w:sz w:val="32"/>
          <w:szCs w:val="32"/>
          <w:lang w:eastAsia="zh-CN"/>
        </w:rPr>
        <w:t>。</w:t>
      </w:r>
    </w:p>
    <w:p>
      <w:pPr>
        <w:autoSpaceDE w:val="0"/>
        <w:ind w:firstLine="640" w:firstLineChars="200"/>
        <w:jc w:val="left"/>
        <w:rPr>
          <w:rFonts w:hint="eastAsia" w:ascii="仿宋" w:hAnsi="仿宋" w:eastAsia="仿宋" w:cs="方正仿宋_GBK"/>
          <w:sz w:val="32"/>
          <w:szCs w:val="32"/>
          <w:lang w:eastAsia="zh-CN"/>
        </w:rPr>
      </w:pPr>
      <w:r>
        <w:rPr>
          <w:rFonts w:hint="eastAsia" w:ascii="仿宋" w:hAnsi="仿宋" w:eastAsia="仿宋" w:cs="方正仿宋_GBK"/>
          <w:sz w:val="32"/>
          <w:szCs w:val="32"/>
        </w:rPr>
        <w:t>绩效指标：到2020年，打造</w:t>
      </w:r>
      <w:r>
        <w:rPr>
          <w:rFonts w:hint="eastAsia" w:ascii="仿宋" w:hAnsi="仿宋" w:eastAsia="仿宋" w:cs="方正仿宋_GBK"/>
          <w:sz w:val="32"/>
          <w:szCs w:val="32"/>
          <w:lang w:eastAsia="zh-CN"/>
        </w:rPr>
        <w:t>县级</w:t>
      </w:r>
      <w:r>
        <w:rPr>
          <w:rFonts w:hint="eastAsia" w:ascii="仿宋" w:hAnsi="仿宋" w:eastAsia="仿宋" w:cs="方正仿宋_GBK"/>
          <w:sz w:val="32"/>
          <w:szCs w:val="32"/>
        </w:rPr>
        <w:t>品牌社会组织，培育在全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影响力大、认可度高的社会组织</w:t>
      </w:r>
      <w:r>
        <w:rPr>
          <w:rFonts w:hint="eastAsia" w:ascii="仿宋" w:hAnsi="仿宋" w:eastAsia="仿宋" w:cs="方正仿宋_GBK"/>
          <w:sz w:val="32"/>
          <w:szCs w:val="32"/>
          <w:lang w:eastAsia="zh-CN"/>
        </w:rPr>
        <w:t>。</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（三）工作保障措施</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1、完善制度，建立高效工作机制。</w:t>
      </w:r>
      <w:r>
        <w:rPr>
          <w:rFonts w:hint="eastAsia" w:ascii="仿宋" w:hAnsi="仿宋" w:eastAsia="仿宋" w:cs="方正仿宋_GBK"/>
          <w:sz w:val="32"/>
          <w:szCs w:val="32"/>
        </w:rPr>
        <w:t>通过完善困难群众基本保障协调机制、精准认定精准核查机制、保障标准自然增长机制、养老服务机构星级评定机制、基层社会治理创新机制等，逐渐建立起适应我</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经济与社会发展，适应人民群众生活需求的比较完善的城乡社会保障、社会服务和社会治理体系，促进全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经济与社会又好又快发展。</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2、注重实效，加强预算绩效管理。</w:t>
      </w:r>
      <w:r>
        <w:rPr>
          <w:rFonts w:hint="eastAsia" w:ascii="仿宋" w:hAnsi="仿宋" w:eastAsia="仿宋" w:cs="方正仿宋_GBK"/>
          <w:sz w:val="32"/>
          <w:szCs w:val="32"/>
        </w:rPr>
        <w:t>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3、精编预算，做好专项资金保障。</w:t>
      </w:r>
      <w:r>
        <w:rPr>
          <w:rFonts w:hint="eastAsia" w:ascii="仿宋" w:hAnsi="仿宋" w:eastAsia="仿宋" w:cs="方正仿宋_GBK"/>
          <w:sz w:val="32"/>
          <w:szCs w:val="32"/>
        </w:rPr>
        <w:t>预算安排首先要落实党和国家的各项民生政策，突出重点、注重绩效，合理安排一般公共预算、政府性基金和部门其他收入。对涉及个人和家庭补贴等方面有明确政策规定和标准调整的支出据实编制，确保城乡困难群众基本生活。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4、补齐短板，加强基础设施建设。</w:t>
      </w:r>
      <w:r>
        <w:rPr>
          <w:rFonts w:hint="eastAsia" w:ascii="仿宋" w:hAnsi="仿宋" w:eastAsia="仿宋" w:cs="方正仿宋_GBK"/>
          <w:sz w:val="32"/>
          <w:szCs w:val="32"/>
        </w:rPr>
        <w:t>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5、加强培训，提高基层服务能力。</w:t>
      </w:r>
      <w:r>
        <w:rPr>
          <w:rFonts w:hint="eastAsia" w:ascii="仿宋" w:hAnsi="仿宋" w:eastAsia="仿宋" w:cs="方正仿宋_GBK"/>
          <w:sz w:val="32"/>
          <w:szCs w:val="32"/>
        </w:rPr>
        <w:t xml:space="preserve">随着党和政府对民生工作的重视程度不断加强，人民群众期的盼也越来越高，民政干部在履职尽责过程中不同程度地存在“能力不足”、“本领恐慌”问题。因此，通过对基层民政工作人员，如低保核查管理员、养老院工作人员、婚姻收养登记员、救助管理机构工作人员、儿童福利院工作人员，殡仪馆工作人员等开展业务技能专项培训，不断提高基层民政队伍素质和服务能力。 </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6、丰富手段，提高信息化水平。</w:t>
      </w:r>
      <w:r>
        <w:rPr>
          <w:rFonts w:hint="eastAsia" w:ascii="仿宋" w:hAnsi="仿宋" w:eastAsia="仿宋" w:cs="方正仿宋_GBK"/>
          <w:sz w:val="32"/>
          <w:szCs w:val="32"/>
        </w:rPr>
        <w:t>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7、加强内控，规范财务资产管理。</w:t>
      </w:r>
      <w:r>
        <w:rPr>
          <w:rFonts w:hint="eastAsia" w:ascii="仿宋" w:hAnsi="仿宋" w:eastAsia="仿宋" w:cs="方正仿宋_GBK"/>
          <w:sz w:val="32"/>
          <w:szCs w:val="32"/>
        </w:rPr>
        <w:t>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autoSpaceDE w:val="0"/>
        <w:ind w:firstLine="640" w:firstLineChars="200"/>
        <w:jc w:val="left"/>
        <w:rPr>
          <w:rFonts w:hint="eastAsia" w:ascii="仿宋" w:hAnsi="仿宋" w:eastAsia="仿宋" w:cs="方正仿宋_GBK"/>
          <w:sz w:val="32"/>
          <w:szCs w:val="32"/>
        </w:rPr>
      </w:pPr>
    </w:p>
    <w:p>
      <w:pPr>
        <w:spacing w:line="560" w:lineRule="exact"/>
        <w:ind w:firstLine="640" w:firstLineChars="200"/>
        <w:jc w:val="left"/>
        <w:outlineLvl w:val="0"/>
        <w:rPr>
          <w:rFonts w:hint="eastAsia" w:ascii="??_GB2312" w:hAnsi="黑体" w:cs="??_GB2312" w:eastAsiaTheme="minorEastAsia"/>
          <w:b/>
          <w:bCs/>
          <w:sz w:val="32"/>
          <w:szCs w:val="32"/>
        </w:rPr>
      </w:pPr>
      <w:r>
        <w:rPr>
          <w:rFonts w:ascii="??_GB2312" w:hAnsi="黑体" w:eastAsia="Times New Roman" w:cs="??_GB2312"/>
          <w:b/>
          <w:bCs/>
          <w:sz w:val="32"/>
          <w:szCs w:val="32"/>
        </w:rPr>
        <w:t>部门职责及工作活动绩效目标指标：</w:t>
      </w:r>
    </w:p>
    <w:p>
      <w:pPr>
        <w:spacing w:line="560" w:lineRule="exact"/>
        <w:ind w:firstLine="643" w:firstLineChars="200"/>
        <w:jc w:val="left"/>
        <w:outlineLvl w:val="0"/>
        <w:rPr>
          <w:rFonts w:hint="eastAsia" w:ascii="??_GB2312" w:hAnsi="Times New Roman" w:cs="Times New Roman" w:eastAsiaTheme="minorEastAsia"/>
          <w:b/>
          <w:bCs/>
          <w:sz w:val="32"/>
          <w:szCs w:val="32"/>
        </w:rPr>
      </w:pP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bookmarkEnd w:id="0"/>
    </w:p>
    <w:tbl>
      <w:tblPr>
        <w:tblStyle w:val="4"/>
        <w:tblW w:w="127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4"/>
        <w:gridCol w:w="1134"/>
        <w:gridCol w:w="3544"/>
        <w:gridCol w:w="1701"/>
        <w:gridCol w:w="1843"/>
        <w:gridCol w:w="850"/>
        <w:gridCol w:w="709"/>
        <w:gridCol w:w="567"/>
        <w:gridCol w:w="5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066" w:type="dxa"/>
            <w:gridSpan w:val="5"/>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24"/>
                <w:szCs w:val="24"/>
              </w:rPr>
            </w:pPr>
            <w:r>
              <w:rPr>
                <w:rFonts w:hint="eastAsia" w:ascii="宋体" w:hAnsi="宋体" w:eastAsia="宋体" w:cs="方正小标宋_GBK"/>
                <w:sz w:val="24"/>
                <w:szCs w:val="24"/>
              </w:rPr>
              <w:t>部门（单位）名称：314成安县民政局</w:t>
            </w:r>
          </w:p>
        </w:tc>
        <w:tc>
          <w:tcPr>
            <w:tcW w:w="2690"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44" w:type="dxa"/>
            <w:vMerge w:val="restart"/>
            <w:vAlign w:val="center"/>
          </w:tcPr>
          <w:p>
            <w:pPr>
              <w:spacing w:line="560" w:lineRule="exact"/>
              <w:jc w:val="center"/>
              <w:rPr>
                <w:rFonts w:ascii="宋体" w:hAnsi="宋体" w:eastAsia="宋体" w:cs="Times New Roman"/>
                <w:sz w:val="24"/>
                <w:szCs w:val="24"/>
              </w:rPr>
            </w:pPr>
            <w:r>
              <w:rPr>
                <w:rFonts w:hint="eastAsia" w:ascii="宋体" w:hAnsi="宋体" w:eastAsia="宋体" w:cs="方正书宋_GBK"/>
                <w:b/>
                <w:bCs/>
                <w:sz w:val="24"/>
                <w:szCs w:val="24"/>
              </w:rPr>
              <w:t>职责活动</w:t>
            </w:r>
          </w:p>
        </w:tc>
        <w:tc>
          <w:tcPr>
            <w:tcW w:w="1134" w:type="dxa"/>
            <w:vMerge w:val="restart"/>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年度预算数</w:t>
            </w:r>
          </w:p>
        </w:tc>
        <w:tc>
          <w:tcPr>
            <w:tcW w:w="3544" w:type="dxa"/>
            <w:vMerge w:val="restart"/>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内容描述</w:t>
            </w:r>
          </w:p>
        </w:tc>
        <w:tc>
          <w:tcPr>
            <w:tcW w:w="1701" w:type="dxa"/>
            <w:vMerge w:val="restart"/>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绩效目标</w:t>
            </w:r>
          </w:p>
        </w:tc>
        <w:tc>
          <w:tcPr>
            <w:tcW w:w="1843" w:type="dxa"/>
            <w:vMerge w:val="restart"/>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绩效指标</w:t>
            </w:r>
          </w:p>
        </w:tc>
        <w:tc>
          <w:tcPr>
            <w:tcW w:w="2690" w:type="dxa"/>
            <w:gridSpan w:val="4"/>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44" w:type="dxa"/>
            <w:vMerge w:val="continue"/>
            <w:vAlign w:val="center"/>
          </w:tcPr>
          <w:p>
            <w:pPr>
              <w:spacing w:line="560" w:lineRule="exact"/>
              <w:jc w:val="left"/>
              <w:outlineLvl w:val="0"/>
              <w:rPr>
                <w:rFonts w:ascii="宋体" w:hAnsi="宋体" w:eastAsia="宋体" w:cs="Times New Roman"/>
                <w:sz w:val="24"/>
                <w:szCs w:val="24"/>
              </w:rPr>
            </w:pPr>
          </w:p>
        </w:tc>
        <w:tc>
          <w:tcPr>
            <w:tcW w:w="1134" w:type="dxa"/>
            <w:vMerge w:val="continue"/>
            <w:vAlign w:val="center"/>
          </w:tcPr>
          <w:p>
            <w:pPr>
              <w:spacing w:line="560" w:lineRule="exact"/>
              <w:jc w:val="left"/>
              <w:outlineLvl w:val="0"/>
              <w:rPr>
                <w:rFonts w:ascii="宋体" w:hAnsi="宋体" w:eastAsia="宋体" w:cs="Times New Roman"/>
                <w:sz w:val="24"/>
                <w:szCs w:val="24"/>
              </w:rPr>
            </w:pPr>
          </w:p>
        </w:tc>
        <w:tc>
          <w:tcPr>
            <w:tcW w:w="3544" w:type="dxa"/>
            <w:vMerge w:val="continue"/>
            <w:vAlign w:val="center"/>
          </w:tcPr>
          <w:p>
            <w:pPr>
              <w:spacing w:line="560" w:lineRule="exact"/>
              <w:jc w:val="left"/>
              <w:outlineLvl w:val="0"/>
              <w:rPr>
                <w:rFonts w:ascii="宋体" w:hAnsi="宋体" w:eastAsia="宋体" w:cs="Times New Roman"/>
                <w:sz w:val="24"/>
                <w:szCs w:val="24"/>
              </w:rPr>
            </w:pPr>
          </w:p>
        </w:tc>
        <w:tc>
          <w:tcPr>
            <w:tcW w:w="1701" w:type="dxa"/>
            <w:vMerge w:val="continue"/>
            <w:vAlign w:val="center"/>
          </w:tcPr>
          <w:p>
            <w:pPr>
              <w:spacing w:line="560" w:lineRule="exact"/>
              <w:jc w:val="left"/>
              <w:outlineLvl w:val="0"/>
              <w:rPr>
                <w:rFonts w:ascii="宋体" w:hAnsi="宋体" w:eastAsia="宋体" w:cs="Times New Roman"/>
                <w:sz w:val="24"/>
                <w:szCs w:val="24"/>
              </w:rPr>
            </w:pPr>
          </w:p>
        </w:tc>
        <w:tc>
          <w:tcPr>
            <w:tcW w:w="1843" w:type="dxa"/>
            <w:vMerge w:val="continue"/>
            <w:vAlign w:val="center"/>
          </w:tcPr>
          <w:p>
            <w:pPr>
              <w:spacing w:line="560" w:lineRule="exact"/>
              <w:jc w:val="left"/>
              <w:outlineLvl w:val="0"/>
              <w:rPr>
                <w:rFonts w:ascii="宋体" w:hAnsi="宋体" w:eastAsia="宋体" w:cs="Times New Roman"/>
                <w:sz w:val="24"/>
                <w:szCs w:val="24"/>
              </w:rPr>
            </w:pPr>
          </w:p>
        </w:tc>
        <w:tc>
          <w:tcPr>
            <w:tcW w:w="850" w:type="dxa"/>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优</w:t>
            </w:r>
          </w:p>
        </w:tc>
        <w:tc>
          <w:tcPr>
            <w:tcW w:w="709" w:type="dxa"/>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良</w:t>
            </w:r>
          </w:p>
        </w:tc>
        <w:tc>
          <w:tcPr>
            <w:tcW w:w="567" w:type="dxa"/>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中</w:t>
            </w:r>
          </w:p>
        </w:tc>
        <w:tc>
          <w:tcPr>
            <w:tcW w:w="564" w:type="dxa"/>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民政管理事务</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309.78</w:t>
            </w:r>
          </w:p>
        </w:tc>
        <w:tc>
          <w:tcPr>
            <w:tcW w:w="3544"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承担社会救助体系建设，负责城乡居民最低生活保障、五保供养、医疗救助</w:t>
            </w:r>
          </w:p>
        </w:tc>
        <w:tc>
          <w:tcPr>
            <w:tcW w:w="1701"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完善城乡社会救助制度，实施分类救助，应保尽保</w:t>
            </w:r>
            <w:r>
              <w:rPr>
                <w:rFonts w:ascii="宋体" w:hAnsi="宋体" w:eastAsia="宋体" w:cs="Times New Roman"/>
                <w:sz w:val="24"/>
                <w:szCs w:val="24"/>
              </w:rPr>
              <w:t>,动态管理。</w:t>
            </w:r>
          </w:p>
        </w:tc>
        <w:tc>
          <w:tcPr>
            <w:tcW w:w="1843"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城乡居民低保保障率；五保供养保障率生活救助到位率；参保资助率报销比例</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儿童福利</w:t>
            </w:r>
          </w:p>
        </w:tc>
        <w:tc>
          <w:tcPr>
            <w:tcW w:w="113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65</w:t>
            </w:r>
          </w:p>
        </w:tc>
        <w:tc>
          <w:tcPr>
            <w:tcW w:w="3544"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保障孤儿基本生活，组织开展县级孤残儿童手术康复，推进儿童福利机构基础设施建设。</w:t>
            </w:r>
          </w:p>
        </w:tc>
        <w:tc>
          <w:tcPr>
            <w:tcW w:w="1701" w:type="dxa"/>
            <w:vAlign w:val="center"/>
          </w:tcPr>
          <w:p>
            <w:pPr>
              <w:spacing w:line="360" w:lineRule="exact"/>
              <w:jc w:val="left"/>
              <w:rPr>
                <w:rFonts w:ascii="宋体" w:hAnsi="宋体" w:eastAsia="宋体" w:cs="Times New Roman"/>
                <w:sz w:val="24"/>
                <w:szCs w:val="24"/>
              </w:rPr>
            </w:pPr>
            <w:r>
              <w:rPr>
                <w:rFonts w:hint="eastAsia" w:ascii="宋体" w:hAnsi="宋体" w:eastAsia="宋体" w:cs="Times New Roman"/>
                <w:sz w:val="24"/>
                <w:szCs w:val="24"/>
              </w:rPr>
              <w:t>孤儿基本生活条件保障到位，孤残儿童手术康复及时，儿童福利设施功能完善。</w:t>
            </w:r>
          </w:p>
        </w:tc>
        <w:tc>
          <w:tcPr>
            <w:tcW w:w="1843" w:type="dxa"/>
            <w:vAlign w:val="center"/>
          </w:tcPr>
          <w:p>
            <w:pPr>
              <w:spacing w:line="360" w:lineRule="exact"/>
              <w:jc w:val="left"/>
              <w:rPr>
                <w:rFonts w:ascii="宋体" w:hAnsi="宋体" w:eastAsia="宋体" w:cs="Times New Roman"/>
                <w:sz w:val="24"/>
                <w:szCs w:val="24"/>
              </w:rPr>
            </w:pPr>
            <w:r>
              <w:rPr>
                <w:rFonts w:hint="eastAsia" w:ascii="宋体" w:hAnsi="宋体" w:eastAsia="宋体" w:cs="Times New Roman"/>
                <w:sz w:val="24"/>
                <w:szCs w:val="24"/>
              </w:rPr>
              <w:t>县级儿童福利机构建设按时建成率；孤儿基本生活保障率；儿童得到及时救治，手术治愈率</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老年福利</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859.26</w:t>
            </w:r>
          </w:p>
        </w:tc>
        <w:tc>
          <w:tcPr>
            <w:tcW w:w="3544"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落实老龄事业发展规划，加快养老服务设施建设；指导养老机构设立和管理工作；加快养老服务业发展，推进老年人福利健康快速发展。建立县级贫困失能老人护理补贴制度，实施爱心护理工程，积极落实高龄老年人津贴发放制度；做好九九重阳节慰问活动。</w:t>
            </w:r>
          </w:p>
        </w:tc>
        <w:tc>
          <w:tcPr>
            <w:tcW w:w="1701" w:type="dxa"/>
            <w:vAlign w:val="center"/>
          </w:tcPr>
          <w:p>
            <w:pPr>
              <w:spacing w:line="360" w:lineRule="exact"/>
              <w:jc w:val="left"/>
              <w:rPr>
                <w:rFonts w:ascii="宋体" w:hAnsi="宋体" w:eastAsia="宋体" w:cs="Times New Roman"/>
                <w:sz w:val="24"/>
                <w:szCs w:val="24"/>
              </w:rPr>
            </w:pPr>
            <w:r>
              <w:rPr>
                <w:rFonts w:hint="eastAsia" w:ascii="宋体" w:hAnsi="宋体" w:eastAsia="宋体" w:cs="Times New Roman"/>
                <w:sz w:val="24"/>
                <w:szCs w:val="24"/>
              </w:rPr>
              <w:t>全面建成居家为基础、社区为依托、机构为支撑，功能完善、规模适度、覆盖城乡的养老服务体系，实现我县老人老有所养，老有所依，老有所乐，老有所为的目标</w:t>
            </w:r>
          </w:p>
        </w:tc>
        <w:tc>
          <w:tcPr>
            <w:tcW w:w="1843" w:type="dxa"/>
            <w:vAlign w:val="center"/>
          </w:tcPr>
          <w:p>
            <w:pPr>
              <w:spacing w:line="360" w:lineRule="exact"/>
              <w:jc w:val="left"/>
              <w:rPr>
                <w:rFonts w:ascii="宋体" w:hAnsi="宋体" w:eastAsia="宋体" w:cs="Times New Roman"/>
                <w:sz w:val="24"/>
                <w:szCs w:val="24"/>
              </w:rPr>
            </w:pPr>
            <w:r>
              <w:rPr>
                <w:rFonts w:hint="eastAsia" w:ascii="宋体" w:hAnsi="宋体" w:eastAsia="宋体" w:cs="Times New Roman"/>
                <w:sz w:val="24"/>
                <w:szCs w:val="24"/>
              </w:rPr>
              <w:t>贫困失能老人护理补贴发放率；城乡居家养老服务中心建设奖补率；农村互助幸福院建设奖补率；养老机构一次性建设和运营奖补率</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残疾人生活和护理补贴</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600</w:t>
            </w:r>
          </w:p>
        </w:tc>
        <w:tc>
          <w:tcPr>
            <w:tcW w:w="35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对残疾人特殊群体权益保护，发展慈善事业</w:t>
            </w:r>
          </w:p>
        </w:tc>
        <w:tc>
          <w:tcPr>
            <w:tcW w:w="1701"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对残疾人特殊群体权益保护，发展慈善事业，推进老年人福利健康快速发展。建立县级贫困失能老人护理补贴</w:t>
            </w:r>
          </w:p>
        </w:tc>
        <w:tc>
          <w:tcPr>
            <w:tcW w:w="1843"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贫困失能老人护理补贴发放率；残疾人困难补贴、护理补贴</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农村最低生活保障金支出</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1617</w:t>
            </w:r>
          </w:p>
        </w:tc>
        <w:tc>
          <w:tcPr>
            <w:tcW w:w="35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负责符合条件的城乡居民最低生活保障工作</w:t>
            </w:r>
          </w:p>
        </w:tc>
        <w:tc>
          <w:tcPr>
            <w:tcW w:w="1701"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实行动态管理，做到应保尽保、应退尽退。</w:t>
            </w:r>
          </w:p>
        </w:tc>
        <w:tc>
          <w:tcPr>
            <w:tcW w:w="1843"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城乡居民低保保障率</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特困人员救助供养</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800</w:t>
            </w:r>
          </w:p>
        </w:tc>
        <w:tc>
          <w:tcPr>
            <w:tcW w:w="35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负责农村五保户的集中供养和分散供养工作</w:t>
            </w:r>
          </w:p>
        </w:tc>
        <w:tc>
          <w:tcPr>
            <w:tcW w:w="1701"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农村五保供养标准、集中供养能力逐步提高。</w:t>
            </w:r>
          </w:p>
        </w:tc>
        <w:tc>
          <w:tcPr>
            <w:tcW w:w="1843"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五保供养保障率</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bl>
    <w:p>
      <w:pPr>
        <w:autoSpaceDE w:val="0"/>
        <w:autoSpaceDN w:val="0"/>
        <w:adjustRightInd w:val="0"/>
        <w:spacing w:line="560" w:lineRule="exact"/>
        <w:jc w:val="left"/>
        <w:rPr>
          <w:rFonts w:hint="eastAsia" w:ascii="黑体" w:hAnsi="黑体" w:eastAsia="黑体" w:cs="黑体"/>
          <w:sz w:val="32"/>
          <w:szCs w:val="32"/>
        </w:rPr>
      </w:pPr>
    </w:p>
    <w:p>
      <w:pPr>
        <w:autoSpaceDE w:val="0"/>
        <w:autoSpaceDN w:val="0"/>
        <w:adjustRightInd w:val="0"/>
        <w:spacing w:line="560" w:lineRule="exact"/>
        <w:ind w:firstLine="640" w:firstLineChars="200"/>
        <w:jc w:val="left"/>
        <w:rPr>
          <w:rFonts w:hint="eastAsia" w:ascii="黑体" w:hAnsi="黑体" w:eastAsia="黑体" w:cs="黑体"/>
          <w:sz w:val="32"/>
          <w:szCs w:val="32"/>
        </w:rPr>
      </w:pPr>
    </w:p>
    <w:p>
      <w:pPr>
        <w:autoSpaceDE w:val="0"/>
        <w:autoSpaceDN w:val="0"/>
        <w:adjustRightInd w:val="0"/>
        <w:spacing w:line="560" w:lineRule="exact"/>
        <w:ind w:firstLine="640" w:firstLineChars="200"/>
        <w:jc w:val="left"/>
        <w:rPr>
          <w:rFonts w:hint="eastAsia" w:ascii="黑体" w:hAnsi="黑体" w:eastAsia="黑体" w:cs="黑体"/>
          <w:sz w:val="32"/>
          <w:szCs w:val="32"/>
        </w:rPr>
      </w:pPr>
    </w:p>
    <w:p>
      <w:pPr>
        <w:autoSpaceDE w:val="0"/>
        <w:autoSpaceDN w:val="0"/>
        <w:adjustRightInd w:val="0"/>
        <w:spacing w:line="56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spacing w:line="560" w:lineRule="exact"/>
        <w:outlineLvl w:val="0"/>
        <w:rPr>
          <w:rFonts w:ascii="仿宋" w:hAnsi="仿宋" w:eastAsia="仿宋" w:cs="Times New Roman"/>
          <w:sz w:val="32"/>
          <w:szCs w:val="32"/>
        </w:rPr>
      </w:pPr>
      <w:bookmarkStart w:id="1" w:name="_Toc471398468"/>
      <w:r>
        <w:rPr>
          <w:rFonts w:hint="eastAsia" w:ascii="仿宋" w:hAnsi="仿宋" w:eastAsia="仿宋" w:cs="Times New Roman"/>
          <w:sz w:val="32"/>
          <w:szCs w:val="32"/>
        </w:rPr>
        <w:t>2020</w:t>
      </w:r>
      <w:r>
        <w:rPr>
          <w:rFonts w:hint="eastAsia" w:ascii="仿宋" w:hAnsi="仿宋" w:eastAsia="仿宋" w:cs="方正仿宋_GBK"/>
          <w:sz w:val="32"/>
          <w:szCs w:val="32"/>
        </w:rPr>
        <w:t>年，我单位安排政府采购预算81.1万元。具体内容见下表。</w:t>
      </w: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部门政府采购预算</w:t>
      </w:r>
      <w:bookmarkEnd w:id="1"/>
    </w:p>
    <w:tbl>
      <w:tblPr>
        <w:tblStyle w:val="4"/>
        <w:tblW w:w="1286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993"/>
        <w:gridCol w:w="1189"/>
        <w:gridCol w:w="744"/>
        <w:gridCol w:w="496"/>
        <w:gridCol w:w="759"/>
        <w:gridCol w:w="922"/>
        <w:gridCol w:w="851"/>
        <w:gridCol w:w="850"/>
        <w:gridCol w:w="993"/>
        <w:gridCol w:w="850"/>
        <w:gridCol w:w="709"/>
        <w:gridCol w:w="850"/>
        <w:gridCol w:w="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6912"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24"/>
                <w:szCs w:val="24"/>
              </w:rPr>
            </w:pPr>
            <w:r>
              <w:rPr>
                <w:rFonts w:hint="eastAsia" w:ascii="宋体" w:hAnsi="宋体" w:eastAsia="宋体" w:cs="方正小标宋_GBK"/>
                <w:sz w:val="24"/>
                <w:szCs w:val="24"/>
              </w:rPr>
              <w:t>部门（单位）名称：314成安县民政局</w:t>
            </w:r>
          </w:p>
        </w:tc>
        <w:tc>
          <w:tcPr>
            <w:tcW w:w="5954" w:type="dxa"/>
            <w:gridSpan w:val="7"/>
            <w:tcBorders>
              <w:top w:val="single" w:color="FFFFFF" w:sz="6" w:space="0"/>
              <w:left w:val="single" w:color="FFFFFF" w:sz="6" w:space="0"/>
              <w:right w:val="single" w:color="FFFFFF" w:sz="6" w:space="0"/>
            </w:tcBorders>
            <w:vAlign w:val="center"/>
          </w:tcPr>
          <w:p>
            <w:pPr>
              <w:tabs>
                <w:tab w:val="left" w:pos="315"/>
              </w:tabs>
              <w:spacing w:line="560" w:lineRule="exact"/>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2802" w:type="dxa"/>
            <w:gridSpan w:val="2"/>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政府采购项目来源</w:t>
            </w:r>
          </w:p>
        </w:tc>
        <w:tc>
          <w:tcPr>
            <w:tcW w:w="1189" w:type="dxa"/>
            <w:vMerge w:val="restart"/>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采购物品名称</w:t>
            </w:r>
          </w:p>
        </w:tc>
        <w:tc>
          <w:tcPr>
            <w:tcW w:w="744" w:type="dxa"/>
            <w:vMerge w:val="restart"/>
            <w:vAlign w:val="center"/>
          </w:tcPr>
          <w:p>
            <w:pPr>
              <w:spacing w:line="360" w:lineRule="exact"/>
              <w:jc w:val="center"/>
              <w:rPr>
                <w:rFonts w:ascii="宋体" w:hAnsi="宋体" w:eastAsia="宋体" w:cs="Times New Roman"/>
                <w:b/>
                <w:bCs/>
              </w:rPr>
            </w:pPr>
            <w:r>
              <w:rPr>
                <w:rFonts w:hint="eastAsia" w:ascii="宋体" w:hAnsi="宋体" w:eastAsia="宋体" w:cs="方正书宋_GBK"/>
                <w:b/>
                <w:bCs/>
              </w:rPr>
              <w:t>政府采购目录序号</w:t>
            </w:r>
          </w:p>
        </w:tc>
        <w:tc>
          <w:tcPr>
            <w:tcW w:w="496"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数量单位</w:t>
            </w:r>
          </w:p>
        </w:tc>
        <w:tc>
          <w:tcPr>
            <w:tcW w:w="759"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p>
        </w:tc>
        <w:tc>
          <w:tcPr>
            <w:tcW w:w="922"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单价</w:t>
            </w:r>
          </w:p>
        </w:tc>
        <w:tc>
          <w:tcPr>
            <w:tcW w:w="5954" w:type="dxa"/>
            <w:gridSpan w:val="7"/>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1809"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项目名称</w:t>
            </w:r>
          </w:p>
        </w:tc>
        <w:tc>
          <w:tcPr>
            <w:tcW w:w="993"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预算资金</w:t>
            </w:r>
          </w:p>
        </w:tc>
        <w:tc>
          <w:tcPr>
            <w:tcW w:w="1189" w:type="dxa"/>
            <w:vMerge w:val="continue"/>
            <w:vAlign w:val="center"/>
          </w:tcPr>
          <w:p>
            <w:pPr>
              <w:spacing w:line="560" w:lineRule="exact"/>
              <w:jc w:val="left"/>
              <w:outlineLvl w:val="0"/>
              <w:rPr>
                <w:rFonts w:ascii="宋体" w:hAnsi="宋体" w:eastAsia="宋体" w:cs="Times New Roman"/>
              </w:rPr>
            </w:pPr>
          </w:p>
        </w:tc>
        <w:tc>
          <w:tcPr>
            <w:tcW w:w="744" w:type="dxa"/>
            <w:vMerge w:val="continue"/>
            <w:vAlign w:val="center"/>
          </w:tcPr>
          <w:p>
            <w:pPr>
              <w:spacing w:line="560" w:lineRule="exact"/>
              <w:jc w:val="left"/>
              <w:outlineLvl w:val="0"/>
              <w:rPr>
                <w:rFonts w:ascii="宋体" w:hAnsi="宋体" w:eastAsia="宋体" w:cs="Times New Roman"/>
              </w:rPr>
            </w:pPr>
          </w:p>
        </w:tc>
        <w:tc>
          <w:tcPr>
            <w:tcW w:w="496" w:type="dxa"/>
            <w:vMerge w:val="continue"/>
            <w:vAlign w:val="center"/>
          </w:tcPr>
          <w:p>
            <w:pPr>
              <w:spacing w:line="560" w:lineRule="exact"/>
              <w:jc w:val="left"/>
              <w:outlineLvl w:val="0"/>
              <w:rPr>
                <w:rFonts w:ascii="宋体" w:hAnsi="宋体" w:eastAsia="宋体" w:cs="Times New Roman"/>
              </w:rPr>
            </w:pPr>
          </w:p>
        </w:tc>
        <w:tc>
          <w:tcPr>
            <w:tcW w:w="759" w:type="dxa"/>
            <w:vMerge w:val="continue"/>
            <w:vAlign w:val="center"/>
          </w:tcPr>
          <w:p>
            <w:pPr>
              <w:spacing w:line="560" w:lineRule="exact"/>
              <w:jc w:val="left"/>
              <w:outlineLvl w:val="0"/>
              <w:rPr>
                <w:rFonts w:ascii="宋体" w:hAnsi="宋体" w:eastAsia="宋体" w:cs="Times New Roman"/>
              </w:rPr>
            </w:pPr>
          </w:p>
        </w:tc>
        <w:tc>
          <w:tcPr>
            <w:tcW w:w="922" w:type="dxa"/>
            <w:vMerge w:val="continue"/>
            <w:vAlign w:val="center"/>
          </w:tcPr>
          <w:p>
            <w:pPr>
              <w:spacing w:line="560" w:lineRule="exact"/>
              <w:jc w:val="left"/>
              <w:outlineLvl w:val="0"/>
              <w:rPr>
                <w:rFonts w:ascii="宋体" w:hAnsi="宋体" w:eastAsia="宋体" w:cs="Times New Roman"/>
              </w:rPr>
            </w:pPr>
          </w:p>
        </w:tc>
        <w:tc>
          <w:tcPr>
            <w:tcW w:w="851"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总计</w:t>
            </w:r>
          </w:p>
        </w:tc>
        <w:tc>
          <w:tcPr>
            <w:tcW w:w="4252" w:type="dxa"/>
            <w:gridSpan w:val="5"/>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当年部门预算安排资金</w:t>
            </w:r>
          </w:p>
        </w:tc>
        <w:tc>
          <w:tcPr>
            <w:tcW w:w="851" w:type="dxa"/>
            <w:vMerge w:val="restart"/>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1809" w:type="dxa"/>
            <w:vMerge w:val="continue"/>
            <w:vAlign w:val="center"/>
          </w:tcPr>
          <w:p>
            <w:pPr>
              <w:spacing w:line="560" w:lineRule="exact"/>
              <w:jc w:val="left"/>
              <w:outlineLvl w:val="0"/>
              <w:rPr>
                <w:rFonts w:ascii="宋体" w:hAnsi="宋体" w:eastAsia="宋体" w:cs="Times New Roman"/>
              </w:rPr>
            </w:pPr>
          </w:p>
        </w:tc>
        <w:tc>
          <w:tcPr>
            <w:tcW w:w="993" w:type="dxa"/>
            <w:vMerge w:val="continue"/>
            <w:vAlign w:val="center"/>
          </w:tcPr>
          <w:p>
            <w:pPr>
              <w:spacing w:line="560" w:lineRule="exact"/>
              <w:jc w:val="left"/>
              <w:outlineLvl w:val="0"/>
              <w:rPr>
                <w:rFonts w:ascii="宋体" w:hAnsi="宋体" w:eastAsia="宋体" w:cs="Times New Roman"/>
              </w:rPr>
            </w:pPr>
          </w:p>
        </w:tc>
        <w:tc>
          <w:tcPr>
            <w:tcW w:w="1189" w:type="dxa"/>
            <w:vMerge w:val="continue"/>
            <w:vAlign w:val="center"/>
          </w:tcPr>
          <w:p>
            <w:pPr>
              <w:spacing w:line="560" w:lineRule="exact"/>
              <w:jc w:val="left"/>
              <w:outlineLvl w:val="0"/>
              <w:rPr>
                <w:rFonts w:ascii="宋体" w:hAnsi="宋体" w:eastAsia="宋体" w:cs="Times New Roman"/>
              </w:rPr>
            </w:pPr>
          </w:p>
        </w:tc>
        <w:tc>
          <w:tcPr>
            <w:tcW w:w="744" w:type="dxa"/>
            <w:vMerge w:val="continue"/>
            <w:vAlign w:val="center"/>
          </w:tcPr>
          <w:p>
            <w:pPr>
              <w:spacing w:line="560" w:lineRule="exact"/>
              <w:jc w:val="left"/>
              <w:outlineLvl w:val="0"/>
              <w:rPr>
                <w:rFonts w:ascii="宋体" w:hAnsi="宋体" w:eastAsia="宋体" w:cs="Times New Roman"/>
              </w:rPr>
            </w:pPr>
          </w:p>
        </w:tc>
        <w:tc>
          <w:tcPr>
            <w:tcW w:w="496" w:type="dxa"/>
            <w:vMerge w:val="continue"/>
            <w:vAlign w:val="center"/>
          </w:tcPr>
          <w:p>
            <w:pPr>
              <w:spacing w:line="560" w:lineRule="exact"/>
              <w:jc w:val="left"/>
              <w:outlineLvl w:val="0"/>
              <w:rPr>
                <w:rFonts w:ascii="宋体" w:hAnsi="宋体" w:eastAsia="宋体" w:cs="Times New Roman"/>
              </w:rPr>
            </w:pPr>
          </w:p>
        </w:tc>
        <w:tc>
          <w:tcPr>
            <w:tcW w:w="759" w:type="dxa"/>
            <w:vMerge w:val="continue"/>
            <w:vAlign w:val="center"/>
          </w:tcPr>
          <w:p>
            <w:pPr>
              <w:spacing w:line="560" w:lineRule="exact"/>
              <w:jc w:val="left"/>
              <w:outlineLvl w:val="0"/>
              <w:rPr>
                <w:rFonts w:ascii="宋体" w:hAnsi="宋体" w:eastAsia="宋体" w:cs="Times New Roman"/>
              </w:rPr>
            </w:pPr>
          </w:p>
        </w:tc>
        <w:tc>
          <w:tcPr>
            <w:tcW w:w="922" w:type="dxa"/>
            <w:vMerge w:val="continue"/>
            <w:vAlign w:val="center"/>
          </w:tcPr>
          <w:p>
            <w:pPr>
              <w:spacing w:line="560" w:lineRule="exact"/>
              <w:jc w:val="left"/>
              <w:outlineLvl w:val="0"/>
              <w:rPr>
                <w:rFonts w:ascii="宋体" w:hAnsi="宋体" w:eastAsia="宋体" w:cs="Times New Roman"/>
              </w:rPr>
            </w:pPr>
          </w:p>
        </w:tc>
        <w:tc>
          <w:tcPr>
            <w:tcW w:w="851" w:type="dxa"/>
            <w:vMerge w:val="continue"/>
            <w:vAlign w:val="center"/>
          </w:tcPr>
          <w:p>
            <w:pPr>
              <w:spacing w:line="560" w:lineRule="exact"/>
              <w:jc w:val="left"/>
              <w:outlineLvl w:val="0"/>
              <w:rPr>
                <w:rFonts w:ascii="宋体" w:hAnsi="宋体" w:eastAsia="宋体" w:cs="Times New Roman"/>
              </w:rPr>
            </w:pPr>
          </w:p>
        </w:tc>
        <w:tc>
          <w:tcPr>
            <w:tcW w:w="850"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合计</w:t>
            </w:r>
          </w:p>
        </w:tc>
        <w:tc>
          <w:tcPr>
            <w:tcW w:w="993" w:type="dxa"/>
            <w:vAlign w:val="center"/>
          </w:tcPr>
          <w:p>
            <w:pPr>
              <w:spacing w:line="400" w:lineRule="exact"/>
              <w:jc w:val="center"/>
              <w:rPr>
                <w:rFonts w:ascii="宋体" w:hAnsi="宋体" w:eastAsia="宋体" w:cs="Times New Roman"/>
                <w:b/>
                <w:bCs/>
              </w:rPr>
            </w:pPr>
            <w:r>
              <w:rPr>
                <w:rFonts w:hint="eastAsia" w:ascii="宋体" w:hAnsi="宋体" w:eastAsia="宋体" w:cs="方正书宋_GBK"/>
                <w:b/>
                <w:bCs/>
              </w:rPr>
              <w:t>一般公共预算拨款</w:t>
            </w:r>
          </w:p>
        </w:tc>
        <w:tc>
          <w:tcPr>
            <w:tcW w:w="850" w:type="dxa"/>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基金预算拨款</w:t>
            </w:r>
          </w:p>
        </w:tc>
        <w:tc>
          <w:tcPr>
            <w:tcW w:w="709" w:type="dxa"/>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财政专户核拨</w:t>
            </w:r>
          </w:p>
        </w:tc>
        <w:tc>
          <w:tcPr>
            <w:tcW w:w="850" w:type="dxa"/>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其他来源收入</w:t>
            </w:r>
          </w:p>
        </w:tc>
        <w:tc>
          <w:tcPr>
            <w:tcW w:w="851" w:type="dxa"/>
            <w:vMerge w:val="continue"/>
            <w:vAlign w:val="center"/>
          </w:tcPr>
          <w:p>
            <w:pPr>
              <w:spacing w:line="32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09"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　计</w:t>
            </w:r>
          </w:p>
        </w:tc>
        <w:tc>
          <w:tcPr>
            <w:tcW w:w="993"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81.1</w:t>
            </w:r>
          </w:p>
        </w:tc>
        <w:tc>
          <w:tcPr>
            <w:tcW w:w="1189" w:type="dxa"/>
            <w:vAlign w:val="center"/>
          </w:tcPr>
          <w:p>
            <w:pPr>
              <w:spacing w:line="560" w:lineRule="exact"/>
              <w:ind w:left="80" w:leftChars="38"/>
              <w:jc w:val="left"/>
              <w:rPr>
                <w:rFonts w:ascii="宋体" w:hAnsi="宋体" w:eastAsia="宋体" w:cs="Times New Roman"/>
                <w:b/>
                <w:bCs/>
              </w:rPr>
            </w:pPr>
          </w:p>
        </w:tc>
        <w:tc>
          <w:tcPr>
            <w:tcW w:w="744" w:type="dxa"/>
            <w:vAlign w:val="center"/>
          </w:tcPr>
          <w:p>
            <w:pPr>
              <w:spacing w:line="560" w:lineRule="exact"/>
              <w:jc w:val="left"/>
              <w:rPr>
                <w:rFonts w:ascii="宋体" w:hAnsi="宋体" w:eastAsia="宋体" w:cs="Times New Roman"/>
                <w:b/>
                <w:bCs/>
              </w:rPr>
            </w:pPr>
          </w:p>
        </w:tc>
        <w:tc>
          <w:tcPr>
            <w:tcW w:w="496" w:type="dxa"/>
            <w:vAlign w:val="center"/>
          </w:tcPr>
          <w:p>
            <w:pPr>
              <w:spacing w:line="560" w:lineRule="exact"/>
              <w:jc w:val="left"/>
              <w:rPr>
                <w:rFonts w:ascii="宋体" w:hAnsi="宋体" w:eastAsia="宋体" w:cs="Times New Roman"/>
                <w:b/>
                <w:bCs/>
              </w:rPr>
            </w:pPr>
          </w:p>
        </w:tc>
        <w:tc>
          <w:tcPr>
            <w:tcW w:w="759" w:type="dxa"/>
            <w:vAlign w:val="center"/>
          </w:tcPr>
          <w:p>
            <w:pPr>
              <w:spacing w:line="560" w:lineRule="exact"/>
              <w:jc w:val="right"/>
              <w:rPr>
                <w:rFonts w:ascii="宋体" w:hAnsi="宋体" w:eastAsia="宋体" w:cs="Times New Roman"/>
                <w:b/>
                <w:bCs/>
              </w:rPr>
            </w:pPr>
          </w:p>
        </w:tc>
        <w:tc>
          <w:tcPr>
            <w:tcW w:w="922" w:type="dxa"/>
            <w:vAlign w:val="center"/>
          </w:tcPr>
          <w:p>
            <w:pPr>
              <w:spacing w:line="560" w:lineRule="exact"/>
              <w:jc w:val="right"/>
              <w:rPr>
                <w:rFonts w:ascii="宋体" w:hAnsi="宋体" w:eastAsia="宋体" w:cs="Times New Roman"/>
                <w:b/>
                <w:bCs/>
              </w:rPr>
            </w:pPr>
          </w:p>
        </w:tc>
        <w:tc>
          <w:tcPr>
            <w:tcW w:w="851" w:type="dxa"/>
            <w:vAlign w:val="center"/>
          </w:tcPr>
          <w:p>
            <w:pPr>
              <w:jc w:val="center"/>
              <w:rPr>
                <w:b/>
                <w:bCs/>
              </w:rPr>
            </w:pPr>
            <w:r>
              <w:rPr>
                <w:rFonts w:hint="eastAsia"/>
                <w:b/>
                <w:bCs/>
              </w:rPr>
              <w:t>81.1</w:t>
            </w:r>
          </w:p>
        </w:tc>
        <w:tc>
          <w:tcPr>
            <w:tcW w:w="850" w:type="dxa"/>
            <w:vAlign w:val="center"/>
          </w:tcPr>
          <w:p>
            <w:pPr>
              <w:jc w:val="center"/>
              <w:rPr>
                <w:rFonts w:ascii="宋体" w:hAnsi="宋体" w:eastAsia="宋体" w:cs="Times New Roman"/>
                <w:b/>
                <w:bCs/>
              </w:rPr>
            </w:pPr>
            <w:r>
              <w:rPr>
                <w:rFonts w:hint="eastAsia" w:ascii="宋体" w:hAnsi="宋体" w:eastAsia="宋体" w:cs="Times New Roman"/>
                <w:b/>
                <w:bCs/>
              </w:rPr>
              <w:t>81.1</w:t>
            </w:r>
          </w:p>
        </w:tc>
        <w:tc>
          <w:tcPr>
            <w:tcW w:w="993" w:type="dxa"/>
            <w:vAlign w:val="center"/>
          </w:tcPr>
          <w:p>
            <w:pPr>
              <w:jc w:val="center"/>
              <w:rPr>
                <w:rFonts w:ascii="宋体" w:hAnsi="宋体" w:eastAsia="宋体" w:cs="Times New Roman"/>
                <w:b/>
                <w:bCs/>
              </w:rPr>
            </w:pPr>
            <w:r>
              <w:rPr>
                <w:rFonts w:hint="eastAsia" w:ascii="宋体" w:hAnsi="宋体" w:eastAsia="宋体" w:cs="Times New Roman"/>
                <w:b/>
                <w:bCs/>
              </w:rPr>
              <w:t>81.1</w:t>
            </w:r>
          </w:p>
        </w:tc>
        <w:tc>
          <w:tcPr>
            <w:tcW w:w="850" w:type="dxa"/>
            <w:vAlign w:val="center"/>
          </w:tcPr>
          <w:p>
            <w:pPr>
              <w:spacing w:line="560" w:lineRule="exact"/>
              <w:jc w:val="right"/>
              <w:rPr>
                <w:rFonts w:ascii="宋体" w:hAnsi="宋体" w:eastAsia="宋体" w:cs="Times New Roman"/>
                <w:b/>
                <w:bCs/>
              </w:rPr>
            </w:pPr>
          </w:p>
        </w:tc>
        <w:tc>
          <w:tcPr>
            <w:tcW w:w="709" w:type="dxa"/>
            <w:vAlign w:val="center"/>
          </w:tcPr>
          <w:p>
            <w:pPr>
              <w:spacing w:line="560" w:lineRule="exact"/>
              <w:jc w:val="right"/>
              <w:rPr>
                <w:rFonts w:ascii="宋体" w:hAnsi="宋体" w:eastAsia="宋体" w:cs="Times New Roman"/>
                <w:b/>
                <w:bCs/>
              </w:rPr>
            </w:pPr>
          </w:p>
        </w:tc>
        <w:tc>
          <w:tcPr>
            <w:tcW w:w="850" w:type="dxa"/>
            <w:vAlign w:val="center"/>
          </w:tcPr>
          <w:p>
            <w:pPr>
              <w:spacing w:line="560" w:lineRule="exact"/>
              <w:jc w:val="right"/>
              <w:rPr>
                <w:rFonts w:ascii="宋体" w:hAnsi="宋体" w:eastAsia="宋体" w:cs="Times New Roman"/>
                <w:b/>
                <w:bCs/>
              </w:rPr>
            </w:pPr>
          </w:p>
        </w:tc>
        <w:tc>
          <w:tcPr>
            <w:tcW w:w="851"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09" w:type="dxa"/>
            <w:vMerge w:val="restart"/>
            <w:vAlign w:val="center"/>
          </w:tcPr>
          <w:p>
            <w:pPr>
              <w:spacing w:line="560" w:lineRule="exact"/>
              <w:jc w:val="center"/>
            </w:pPr>
            <w:r>
              <w:rPr>
                <w:rFonts w:hint="eastAsia"/>
              </w:rPr>
              <w:t>困难群众粮油</w:t>
            </w:r>
          </w:p>
        </w:tc>
        <w:tc>
          <w:tcPr>
            <w:tcW w:w="993" w:type="dxa"/>
            <w:vMerge w:val="restart"/>
            <w:vAlign w:val="center"/>
          </w:tcPr>
          <w:p>
            <w:pPr>
              <w:spacing w:line="560" w:lineRule="exact"/>
              <w:jc w:val="right"/>
              <w:rPr>
                <w:rFonts w:ascii="宋体" w:hAnsi="宋体" w:eastAsia="宋体" w:cs="Times New Roman"/>
              </w:rPr>
            </w:pPr>
            <w:r>
              <w:rPr>
                <w:rFonts w:hint="eastAsia" w:ascii="宋体" w:hAnsi="宋体" w:eastAsia="宋体" w:cs="Times New Roman"/>
              </w:rPr>
              <w:t>77.4</w:t>
            </w:r>
          </w:p>
        </w:tc>
        <w:tc>
          <w:tcPr>
            <w:tcW w:w="1189" w:type="dxa"/>
            <w:vAlign w:val="center"/>
          </w:tcPr>
          <w:p>
            <w:pPr>
              <w:spacing w:line="560" w:lineRule="exact"/>
              <w:jc w:val="left"/>
              <w:rPr>
                <w:rFonts w:ascii="宋体" w:hAnsi="宋体" w:eastAsia="宋体" w:cs="Times New Roman"/>
              </w:rPr>
            </w:pPr>
            <w:r>
              <w:rPr>
                <w:rFonts w:hint="eastAsia" w:ascii="宋体" w:hAnsi="宋体" w:eastAsia="宋体" w:cs="Times New Roman"/>
                <w:lang w:eastAsia="zh-CN"/>
              </w:rPr>
              <w:t>食用植物调和油（非转基因）</w:t>
            </w:r>
          </w:p>
        </w:tc>
        <w:tc>
          <w:tcPr>
            <w:tcW w:w="744" w:type="dxa"/>
            <w:vAlign w:val="center"/>
          </w:tcPr>
          <w:p>
            <w:pPr>
              <w:keepNext w:val="0"/>
              <w:keepLines w:val="0"/>
              <w:widowControl/>
              <w:suppressLineNumbers w:val="0"/>
              <w:jc w:val="left"/>
            </w:pPr>
            <w:r>
              <w:rPr>
                <w:rFonts w:ascii="仿宋_GB2312" w:hAnsi="仿宋_GB2312" w:eastAsia="仿宋_GB2312" w:cs="仿宋_GB2312"/>
                <w:color w:val="000000"/>
                <w:kern w:val="0"/>
                <w:sz w:val="18"/>
                <w:szCs w:val="18"/>
                <w:lang w:val="en-US" w:eastAsia="zh-CN" w:bidi="ar"/>
              </w:rPr>
              <w:t>A150105</w:t>
            </w:r>
          </w:p>
          <w:p>
            <w:pPr>
              <w:spacing w:line="560" w:lineRule="exact"/>
              <w:jc w:val="left"/>
              <w:rPr>
                <w:rFonts w:ascii="宋体" w:hAnsi="宋体" w:eastAsia="宋体" w:cs="Times New Roman"/>
              </w:rPr>
            </w:pPr>
          </w:p>
        </w:tc>
        <w:tc>
          <w:tcPr>
            <w:tcW w:w="496" w:type="dxa"/>
            <w:vAlign w:val="center"/>
          </w:tcPr>
          <w:p>
            <w:pPr>
              <w:spacing w:line="560" w:lineRule="exact"/>
              <w:jc w:val="left"/>
              <w:rPr>
                <w:rFonts w:ascii="宋体" w:hAnsi="宋体" w:eastAsia="宋体" w:cs="Times New Roman"/>
              </w:rPr>
            </w:pPr>
            <w:r>
              <w:rPr>
                <w:rFonts w:hint="eastAsia" w:ascii="宋体" w:hAnsi="宋体" w:eastAsia="宋体" w:cs="Times New Roman"/>
                <w:lang w:val="en-US" w:eastAsia="zh-CN"/>
              </w:rPr>
              <w:t>桶</w:t>
            </w:r>
          </w:p>
        </w:tc>
        <w:tc>
          <w:tcPr>
            <w:tcW w:w="759" w:type="dxa"/>
            <w:vAlign w:val="center"/>
          </w:tcPr>
          <w:p>
            <w:pPr>
              <w:spacing w:line="560" w:lineRule="exact"/>
              <w:jc w:val="right"/>
              <w:rPr>
                <w:rFonts w:ascii="宋体" w:hAnsi="宋体" w:eastAsia="宋体" w:cs="Times New Roman"/>
              </w:rPr>
            </w:pPr>
            <w:r>
              <w:rPr>
                <w:rFonts w:hint="eastAsia" w:ascii="宋体" w:hAnsi="宋体" w:eastAsia="宋体" w:cs="Times New Roman"/>
                <w:lang w:val="en-US" w:eastAsia="zh-CN"/>
              </w:rPr>
              <w:t>5200</w:t>
            </w:r>
          </w:p>
        </w:tc>
        <w:tc>
          <w:tcPr>
            <w:tcW w:w="922" w:type="dxa"/>
            <w:vAlign w:val="center"/>
          </w:tcPr>
          <w:p>
            <w:pPr>
              <w:spacing w:line="560" w:lineRule="exact"/>
              <w:jc w:val="right"/>
              <w:rPr>
                <w:rFonts w:ascii="宋体" w:hAnsi="宋体" w:eastAsia="宋体" w:cs="Times New Roman"/>
              </w:rPr>
            </w:pPr>
            <w:r>
              <w:rPr>
                <w:rFonts w:hint="eastAsia" w:ascii="宋体" w:hAnsi="宋体" w:eastAsia="宋体" w:cs="Times New Roman"/>
                <w:lang w:val="en-US" w:eastAsia="zh-CN"/>
              </w:rPr>
              <w:t>0.008</w:t>
            </w:r>
          </w:p>
        </w:tc>
        <w:tc>
          <w:tcPr>
            <w:tcW w:w="851" w:type="dxa"/>
            <w:vAlign w:val="center"/>
          </w:tcPr>
          <w:p>
            <w:pPr>
              <w:spacing w:line="560" w:lineRule="exact"/>
              <w:jc w:val="center"/>
              <w:rPr>
                <w:rFonts w:ascii="宋体" w:hAnsi="宋体" w:eastAsia="宋体" w:cs="Times New Roman"/>
              </w:rPr>
            </w:pPr>
            <w:r>
              <w:rPr>
                <w:rFonts w:hint="eastAsia" w:ascii="宋体" w:hAnsi="宋体" w:eastAsia="宋体" w:cs="Times New Roman"/>
                <w:lang w:val="en-US" w:eastAsia="zh-CN"/>
              </w:rPr>
              <w:t>41.6</w:t>
            </w:r>
          </w:p>
        </w:tc>
        <w:tc>
          <w:tcPr>
            <w:tcW w:w="850" w:type="dxa"/>
            <w:vAlign w:val="center"/>
          </w:tcPr>
          <w:p>
            <w:pPr>
              <w:spacing w:line="560" w:lineRule="exact"/>
              <w:jc w:val="center"/>
              <w:rPr>
                <w:rFonts w:ascii="宋体" w:hAnsi="宋体" w:eastAsia="宋体" w:cs="Times New Roman"/>
              </w:rPr>
            </w:pPr>
            <w:r>
              <w:rPr>
                <w:rFonts w:hint="eastAsia" w:ascii="宋体" w:hAnsi="宋体" w:eastAsia="宋体" w:cs="Times New Roman"/>
                <w:lang w:val="en-US" w:eastAsia="zh-CN"/>
              </w:rPr>
              <w:t>41.6</w:t>
            </w:r>
          </w:p>
        </w:tc>
        <w:tc>
          <w:tcPr>
            <w:tcW w:w="993" w:type="dxa"/>
            <w:vAlign w:val="center"/>
          </w:tcPr>
          <w:p>
            <w:pPr>
              <w:spacing w:line="560" w:lineRule="exact"/>
              <w:jc w:val="center"/>
              <w:rPr>
                <w:rFonts w:ascii="宋体" w:hAnsi="宋体" w:eastAsia="宋体" w:cs="Times New Roman"/>
              </w:rPr>
            </w:pPr>
            <w:r>
              <w:rPr>
                <w:rFonts w:hint="eastAsia" w:ascii="宋体" w:hAnsi="宋体" w:eastAsia="宋体" w:cs="Times New Roman"/>
                <w:lang w:val="en-US" w:eastAsia="zh-CN"/>
              </w:rPr>
              <w:t>41.6</w:t>
            </w:r>
          </w:p>
        </w:tc>
        <w:tc>
          <w:tcPr>
            <w:tcW w:w="850" w:type="dxa"/>
            <w:vAlign w:val="center"/>
          </w:tcPr>
          <w:p>
            <w:pPr>
              <w:spacing w:line="560" w:lineRule="exact"/>
              <w:jc w:val="right"/>
              <w:rPr>
                <w:rFonts w:ascii="宋体" w:hAnsi="宋体" w:eastAsia="宋体" w:cs="Times New Roman"/>
              </w:rPr>
            </w:pPr>
          </w:p>
        </w:tc>
        <w:tc>
          <w:tcPr>
            <w:tcW w:w="709" w:type="dxa"/>
            <w:vAlign w:val="center"/>
          </w:tcPr>
          <w:p>
            <w:pPr>
              <w:spacing w:line="560" w:lineRule="exact"/>
              <w:jc w:val="right"/>
              <w:rPr>
                <w:rFonts w:ascii="宋体" w:hAnsi="宋体" w:eastAsia="宋体" w:cs="Times New Roman"/>
              </w:rPr>
            </w:pPr>
          </w:p>
        </w:tc>
        <w:tc>
          <w:tcPr>
            <w:tcW w:w="850" w:type="dxa"/>
            <w:vAlign w:val="center"/>
          </w:tcPr>
          <w:p>
            <w:pPr>
              <w:spacing w:line="560" w:lineRule="exact"/>
              <w:jc w:val="right"/>
              <w:rPr>
                <w:rFonts w:ascii="宋体" w:hAnsi="宋体" w:eastAsia="宋体" w:cs="Times New Roman"/>
              </w:rPr>
            </w:pPr>
          </w:p>
        </w:tc>
        <w:tc>
          <w:tcPr>
            <w:tcW w:w="851"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5" w:hRule="atLeast"/>
        </w:trPr>
        <w:tc>
          <w:tcPr>
            <w:tcW w:w="1809" w:type="dxa"/>
            <w:vMerge w:val="continue"/>
            <w:vAlign w:val="center"/>
          </w:tcPr>
          <w:p>
            <w:pPr>
              <w:spacing w:line="560" w:lineRule="exact"/>
              <w:jc w:val="center"/>
              <w:rPr>
                <w:rFonts w:hint="eastAsia"/>
              </w:rPr>
            </w:pPr>
          </w:p>
        </w:tc>
        <w:tc>
          <w:tcPr>
            <w:tcW w:w="993" w:type="dxa"/>
            <w:vMerge w:val="continue"/>
            <w:vAlign w:val="center"/>
          </w:tcPr>
          <w:p>
            <w:pPr>
              <w:spacing w:line="560" w:lineRule="exact"/>
              <w:jc w:val="right"/>
              <w:rPr>
                <w:rFonts w:hint="eastAsia" w:ascii="宋体" w:hAnsi="宋体" w:eastAsia="宋体" w:cs="Times New Roman"/>
              </w:rPr>
            </w:pPr>
          </w:p>
        </w:tc>
        <w:tc>
          <w:tcPr>
            <w:tcW w:w="1189"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大米</w:t>
            </w:r>
          </w:p>
        </w:tc>
        <w:tc>
          <w:tcPr>
            <w:tcW w:w="744" w:type="dxa"/>
            <w:vAlign w:val="center"/>
          </w:tcPr>
          <w:p>
            <w:pPr>
              <w:keepNext w:val="0"/>
              <w:keepLines w:val="0"/>
              <w:widowControl/>
              <w:suppressLineNumbers w:val="0"/>
              <w:jc w:val="left"/>
            </w:pPr>
            <w:r>
              <w:rPr>
                <w:rFonts w:ascii="仿宋_GB2312" w:hAnsi="仿宋_GB2312" w:eastAsia="仿宋_GB2312" w:cs="仿宋_GB2312"/>
                <w:color w:val="000000"/>
                <w:kern w:val="0"/>
                <w:sz w:val="18"/>
                <w:szCs w:val="18"/>
                <w:lang w:val="en-US" w:eastAsia="zh-CN" w:bidi="ar"/>
              </w:rPr>
              <w:t>A150101</w:t>
            </w:r>
          </w:p>
          <w:p>
            <w:pPr>
              <w:spacing w:line="560" w:lineRule="exact"/>
              <w:jc w:val="left"/>
              <w:rPr>
                <w:rFonts w:ascii="宋体" w:hAnsi="宋体" w:eastAsia="宋体" w:cs="Times New Roman"/>
              </w:rPr>
            </w:pPr>
          </w:p>
        </w:tc>
        <w:tc>
          <w:tcPr>
            <w:tcW w:w="496" w:type="dxa"/>
            <w:vAlign w:val="center"/>
          </w:tcPr>
          <w:p>
            <w:pPr>
              <w:spacing w:line="560" w:lineRule="exact"/>
              <w:jc w:val="left"/>
              <w:rPr>
                <w:rFonts w:hint="eastAsia" w:ascii="宋体" w:hAnsi="宋体" w:eastAsia="宋体" w:cs="Times New Roman"/>
                <w:lang w:val="en-US" w:eastAsia="zh-CN"/>
              </w:rPr>
            </w:pPr>
            <w:r>
              <w:rPr>
                <w:rFonts w:hint="eastAsia" w:ascii="宋体" w:hAnsi="宋体" w:eastAsia="宋体" w:cs="Times New Roman"/>
                <w:lang w:val="en-US" w:eastAsia="zh-CN"/>
              </w:rPr>
              <w:t>袋</w:t>
            </w:r>
          </w:p>
        </w:tc>
        <w:tc>
          <w:tcPr>
            <w:tcW w:w="759" w:type="dxa"/>
            <w:vAlign w:val="center"/>
          </w:tcPr>
          <w:p>
            <w:pPr>
              <w:spacing w:line="560" w:lineRule="exact"/>
              <w:jc w:val="right"/>
              <w:rPr>
                <w:rFonts w:hint="eastAsia" w:ascii="宋体" w:hAnsi="宋体" w:eastAsia="宋体" w:cs="Times New Roman"/>
                <w:lang w:eastAsia="zh-CN"/>
              </w:rPr>
            </w:pPr>
            <w:r>
              <w:rPr>
                <w:rFonts w:hint="eastAsia" w:ascii="宋体" w:hAnsi="宋体" w:eastAsia="宋体" w:cs="Times New Roman"/>
                <w:lang w:val="en-US" w:eastAsia="zh-CN"/>
              </w:rPr>
              <w:t>5200</w:t>
            </w:r>
          </w:p>
        </w:tc>
        <w:tc>
          <w:tcPr>
            <w:tcW w:w="922"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0.0069</w:t>
            </w:r>
          </w:p>
        </w:tc>
        <w:tc>
          <w:tcPr>
            <w:tcW w:w="851" w:type="dxa"/>
            <w:vAlign w:val="center"/>
          </w:tcPr>
          <w:p>
            <w:pPr>
              <w:spacing w:line="560" w:lineRule="exact"/>
              <w:jc w:val="center"/>
              <w:rPr>
                <w:rFonts w:hint="eastAsia" w:ascii="宋体" w:hAnsi="宋体" w:eastAsia="宋体" w:cs="Times New Roman"/>
                <w:lang w:val="en-US" w:eastAsia="zh-CN"/>
              </w:rPr>
            </w:pPr>
            <w:r>
              <w:rPr>
                <w:rFonts w:hint="eastAsia" w:ascii="宋体" w:hAnsi="宋体" w:eastAsia="宋体" w:cs="Times New Roman"/>
                <w:lang w:val="en-US" w:eastAsia="zh-CN"/>
              </w:rPr>
              <w:t>35.8</w:t>
            </w:r>
          </w:p>
        </w:tc>
        <w:tc>
          <w:tcPr>
            <w:tcW w:w="850" w:type="dxa"/>
            <w:vAlign w:val="center"/>
          </w:tcPr>
          <w:p>
            <w:pPr>
              <w:spacing w:line="560" w:lineRule="exact"/>
              <w:jc w:val="center"/>
              <w:rPr>
                <w:rFonts w:hint="eastAsia" w:ascii="宋体" w:hAnsi="宋体" w:eastAsia="宋体" w:cs="Times New Roman"/>
                <w:lang w:val="en-US" w:eastAsia="zh-CN"/>
              </w:rPr>
            </w:pPr>
            <w:r>
              <w:rPr>
                <w:rFonts w:hint="eastAsia" w:ascii="宋体" w:hAnsi="宋体" w:eastAsia="宋体" w:cs="Times New Roman"/>
                <w:lang w:val="en-US" w:eastAsia="zh-CN"/>
              </w:rPr>
              <w:t>35.8</w:t>
            </w:r>
          </w:p>
        </w:tc>
        <w:tc>
          <w:tcPr>
            <w:tcW w:w="993" w:type="dxa"/>
            <w:vAlign w:val="center"/>
          </w:tcPr>
          <w:p>
            <w:pPr>
              <w:spacing w:line="560" w:lineRule="exact"/>
              <w:jc w:val="center"/>
              <w:rPr>
                <w:rFonts w:hint="eastAsia" w:ascii="宋体" w:hAnsi="宋体" w:eastAsia="宋体" w:cs="Times New Roman"/>
                <w:lang w:val="en-US" w:eastAsia="zh-CN"/>
              </w:rPr>
            </w:pPr>
            <w:r>
              <w:rPr>
                <w:rFonts w:hint="eastAsia" w:ascii="宋体" w:hAnsi="宋体" w:eastAsia="宋体" w:cs="Times New Roman"/>
                <w:lang w:val="en-US" w:eastAsia="zh-CN"/>
              </w:rPr>
              <w:t>35.8</w:t>
            </w:r>
          </w:p>
        </w:tc>
        <w:tc>
          <w:tcPr>
            <w:tcW w:w="850" w:type="dxa"/>
            <w:vAlign w:val="center"/>
          </w:tcPr>
          <w:p>
            <w:pPr>
              <w:spacing w:line="560" w:lineRule="exact"/>
              <w:jc w:val="right"/>
              <w:rPr>
                <w:rFonts w:ascii="宋体" w:hAnsi="宋体" w:eastAsia="宋体" w:cs="Times New Roman"/>
              </w:rPr>
            </w:pPr>
          </w:p>
        </w:tc>
        <w:tc>
          <w:tcPr>
            <w:tcW w:w="709" w:type="dxa"/>
            <w:vAlign w:val="center"/>
          </w:tcPr>
          <w:p>
            <w:pPr>
              <w:spacing w:line="560" w:lineRule="exact"/>
              <w:jc w:val="right"/>
              <w:rPr>
                <w:rFonts w:ascii="宋体" w:hAnsi="宋体" w:eastAsia="宋体" w:cs="Times New Roman"/>
              </w:rPr>
            </w:pPr>
          </w:p>
        </w:tc>
        <w:tc>
          <w:tcPr>
            <w:tcW w:w="850" w:type="dxa"/>
            <w:vAlign w:val="center"/>
          </w:tcPr>
          <w:p>
            <w:pPr>
              <w:spacing w:line="560" w:lineRule="exact"/>
              <w:jc w:val="right"/>
              <w:rPr>
                <w:rFonts w:ascii="宋体" w:hAnsi="宋体" w:eastAsia="宋体" w:cs="Times New Roman"/>
              </w:rPr>
            </w:pPr>
          </w:p>
        </w:tc>
        <w:tc>
          <w:tcPr>
            <w:tcW w:w="851"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09" w:type="dxa"/>
            <w:vMerge w:val="restart"/>
            <w:vAlign w:val="center"/>
          </w:tcPr>
          <w:p>
            <w:pPr>
              <w:spacing w:line="560" w:lineRule="exact"/>
              <w:jc w:val="center"/>
            </w:pPr>
            <w:r>
              <w:rPr>
                <w:rFonts w:hint="eastAsia"/>
              </w:rPr>
              <w:t>通用设备</w:t>
            </w:r>
          </w:p>
        </w:tc>
        <w:tc>
          <w:tcPr>
            <w:tcW w:w="993" w:type="dxa"/>
            <w:vMerge w:val="restart"/>
            <w:vAlign w:val="center"/>
          </w:tcPr>
          <w:p>
            <w:pPr>
              <w:spacing w:line="560" w:lineRule="exact"/>
              <w:jc w:val="right"/>
              <w:rPr>
                <w:rFonts w:ascii="宋体" w:hAnsi="宋体" w:eastAsia="宋体" w:cs="Times New Roman"/>
              </w:rPr>
            </w:pPr>
            <w:r>
              <w:rPr>
                <w:rFonts w:hint="eastAsia" w:ascii="宋体" w:hAnsi="宋体" w:eastAsia="宋体" w:cs="Times New Roman"/>
              </w:rPr>
              <w:t>3.7</w:t>
            </w:r>
          </w:p>
        </w:tc>
        <w:tc>
          <w:tcPr>
            <w:tcW w:w="1189" w:type="dxa"/>
            <w:vAlign w:val="center"/>
          </w:tcPr>
          <w:p>
            <w:pPr>
              <w:spacing w:line="560" w:lineRule="exact"/>
              <w:jc w:val="left"/>
              <w:rPr>
                <w:rFonts w:ascii="宋体" w:hAnsi="宋体" w:eastAsia="宋体" w:cs="Times New Roman"/>
              </w:rPr>
            </w:pPr>
            <w:r>
              <w:rPr>
                <w:rFonts w:hint="eastAsia" w:ascii="宋体" w:hAnsi="宋体" w:eastAsia="宋体" w:cs="Times New Roman"/>
                <w:lang w:eastAsia="zh-CN"/>
              </w:rPr>
              <w:t>台式电脑</w:t>
            </w:r>
          </w:p>
        </w:tc>
        <w:tc>
          <w:tcPr>
            <w:tcW w:w="744" w:type="dxa"/>
            <w:vAlign w:val="center"/>
          </w:tcPr>
          <w:p>
            <w:pPr>
              <w:keepNext w:val="0"/>
              <w:keepLines w:val="0"/>
              <w:widowControl/>
              <w:suppressLineNumbers w:val="0"/>
              <w:jc w:val="left"/>
            </w:pPr>
            <w:r>
              <w:rPr>
                <w:rFonts w:ascii="仿宋_GB2312" w:hAnsi="仿宋_GB2312" w:eastAsia="仿宋_GB2312" w:cs="仿宋_GB2312"/>
                <w:color w:val="000000"/>
                <w:kern w:val="0"/>
                <w:sz w:val="18"/>
                <w:szCs w:val="18"/>
                <w:lang w:val="en-US" w:eastAsia="zh-CN" w:bidi="ar"/>
              </w:rPr>
              <w:t>A150101</w:t>
            </w:r>
          </w:p>
          <w:p>
            <w:pPr>
              <w:spacing w:line="560" w:lineRule="exact"/>
              <w:jc w:val="left"/>
              <w:rPr>
                <w:rFonts w:ascii="宋体" w:hAnsi="宋体" w:eastAsia="宋体" w:cs="Times New Roman"/>
              </w:rPr>
            </w:pPr>
          </w:p>
        </w:tc>
        <w:tc>
          <w:tcPr>
            <w:tcW w:w="496" w:type="dxa"/>
            <w:vAlign w:val="center"/>
          </w:tcPr>
          <w:p>
            <w:pPr>
              <w:spacing w:line="560" w:lineRule="exact"/>
              <w:jc w:val="left"/>
              <w:rPr>
                <w:rFonts w:ascii="宋体" w:hAnsi="宋体" w:eastAsia="宋体" w:cs="Times New Roman"/>
              </w:rPr>
            </w:pPr>
            <w:r>
              <w:rPr>
                <w:rFonts w:hint="eastAsia" w:ascii="宋体" w:hAnsi="宋体" w:eastAsia="宋体" w:cs="Times New Roman"/>
                <w:lang w:eastAsia="zh-CN"/>
              </w:rPr>
              <w:t>台</w:t>
            </w:r>
          </w:p>
        </w:tc>
        <w:tc>
          <w:tcPr>
            <w:tcW w:w="759" w:type="dxa"/>
            <w:vAlign w:val="center"/>
          </w:tcPr>
          <w:p>
            <w:pPr>
              <w:spacing w:line="560" w:lineRule="exact"/>
              <w:jc w:val="right"/>
              <w:rPr>
                <w:rFonts w:ascii="宋体" w:hAnsi="宋体" w:eastAsia="宋体" w:cs="Times New Roman"/>
              </w:rPr>
            </w:pPr>
            <w:r>
              <w:rPr>
                <w:rFonts w:hint="eastAsia" w:ascii="宋体" w:hAnsi="宋体" w:eastAsia="宋体" w:cs="Times New Roman"/>
                <w:lang w:val="en-US" w:eastAsia="zh-CN"/>
              </w:rPr>
              <w:t>7</w:t>
            </w:r>
          </w:p>
        </w:tc>
        <w:tc>
          <w:tcPr>
            <w:tcW w:w="922" w:type="dxa"/>
            <w:vAlign w:val="center"/>
          </w:tcPr>
          <w:p>
            <w:pPr>
              <w:spacing w:line="560" w:lineRule="exact"/>
              <w:jc w:val="right"/>
              <w:rPr>
                <w:rFonts w:ascii="宋体" w:hAnsi="宋体" w:eastAsia="宋体" w:cs="Times New Roman"/>
              </w:rPr>
            </w:pPr>
            <w:r>
              <w:rPr>
                <w:rFonts w:hint="eastAsia" w:ascii="宋体" w:hAnsi="宋体" w:eastAsia="宋体" w:cs="Times New Roman"/>
                <w:lang w:val="en-US" w:eastAsia="zh-CN"/>
              </w:rPr>
              <w:t>0.5</w:t>
            </w:r>
          </w:p>
        </w:tc>
        <w:tc>
          <w:tcPr>
            <w:tcW w:w="851" w:type="dxa"/>
            <w:vAlign w:val="center"/>
          </w:tcPr>
          <w:p>
            <w:pPr>
              <w:spacing w:line="560" w:lineRule="exact"/>
              <w:ind w:right="-84" w:rightChars="-40"/>
              <w:jc w:val="center"/>
              <w:rPr>
                <w:rFonts w:ascii="宋体" w:hAnsi="宋体" w:eastAsia="宋体" w:cs="Times New Roman"/>
              </w:rPr>
            </w:pPr>
            <w:r>
              <w:rPr>
                <w:rFonts w:hint="eastAsia" w:ascii="宋体" w:hAnsi="宋体" w:eastAsia="宋体" w:cs="Times New Roman"/>
                <w:lang w:val="en-US" w:eastAsia="zh-CN"/>
              </w:rPr>
              <w:t>3.5</w:t>
            </w:r>
          </w:p>
        </w:tc>
        <w:tc>
          <w:tcPr>
            <w:tcW w:w="850" w:type="dxa"/>
            <w:vAlign w:val="center"/>
          </w:tcPr>
          <w:p>
            <w:pPr>
              <w:spacing w:line="560" w:lineRule="exact"/>
              <w:ind w:right="-84" w:rightChars="-40"/>
              <w:jc w:val="center"/>
              <w:rPr>
                <w:rFonts w:ascii="宋体" w:hAnsi="宋体" w:eastAsia="宋体" w:cs="Times New Roman"/>
              </w:rPr>
            </w:pPr>
            <w:r>
              <w:rPr>
                <w:rFonts w:hint="eastAsia" w:ascii="宋体" w:hAnsi="宋体" w:eastAsia="宋体" w:cs="Times New Roman"/>
                <w:lang w:val="en-US" w:eastAsia="zh-CN"/>
              </w:rPr>
              <w:t>0.2</w:t>
            </w:r>
          </w:p>
        </w:tc>
        <w:tc>
          <w:tcPr>
            <w:tcW w:w="993" w:type="dxa"/>
            <w:vAlign w:val="center"/>
          </w:tcPr>
          <w:p>
            <w:pPr>
              <w:spacing w:line="560" w:lineRule="exact"/>
              <w:ind w:right="-84" w:rightChars="-40"/>
              <w:jc w:val="center"/>
              <w:rPr>
                <w:rFonts w:ascii="宋体" w:hAnsi="宋体" w:eastAsia="宋体" w:cs="Times New Roman"/>
              </w:rPr>
            </w:pPr>
            <w:r>
              <w:rPr>
                <w:rFonts w:hint="eastAsia" w:ascii="宋体" w:hAnsi="宋体" w:eastAsia="宋体" w:cs="Times New Roman"/>
                <w:lang w:val="en-US" w:eastAsia="zh-CN"/>
              </w:rPr>
              <w:t>3.5</w:t>
            </w:r>
          </w:p>
        </w:tc>
        <w:tc>
          <w:tcPr>
            <w:tcW w:w="850" w:type="dxa"/>
            <w:vAlign w:val="center"/>
          </w:tcPr>
          <w:p>
            <w:pPr>
              <w:spacing w:line="560" w:lineRule="exact"/>
              <w:jc w:val="right"/>
              <w:rPr>
                <w:rFonts w:ascii="宋体" w:hAnsi="宋体" w:eastAsia="宋体" w:cs="Times New Roman"/>
              </w:rPr>
            </w:pPr>
          </w:p>
        </w:tc>
        <w:tc>
          <w:tcPr>
            <w:tcW w:w="709" w:type="dxa"/>
            <w:vAlign w:val="center"/>
          </w:tcPr>
          <w:p>
            <w:pPr>
              <w:spacing w:line="560" w:lineRule="exact"/>
              <w:jc w:val="right"/>
              <w:rPr>
                <w:rFonts w:ascii="宋体" w:hAnsi="宋体" w:eastAsia="宋体" w:cs="Times New Roman"/>
              </w:rPr>
            </w:pPr>
          </w:p>
        </w:tc>
        <w:tc>
          <w:tcPr>
            <w:tcW w:w="850" w:type="dxa"/>
            <w:vAlign w:val="center"/>
          </w:tcPr>
          <w:p>
            <w:pPr>
              <w:spacing w:line="560" w:lineRule="exact"/>
              <w:jc w:val="right"/>
              <w:rPr>
                <w:rFonts w:ascii="宋体" w:hAnsi="宋体" w:eastAsia="宋体" w:cs="Times New Roman"/>
              </w:rPr>
            </w:pPr>
          </w:p>
        </w:tc>
        <w:tc>
          <w:tcPr>
            <w:tcW w:w="851"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09" w:type="dxa"/>
            <w:vMerge w:val="continue"/>
          </w:tcPr>
          <w:p>
            <w:pPr>
              <w:spacing w:line="560" w:lineRule="exact"/>
              <w:jc w:val="center"/>
              <w:rPr>
                <w:rFonts w:hint="eastAsia"/>
              </w:rPr>
            </w:pPr>
          </w:p>
        </w:tc>
        <w:tc>
          <w:tcPr>
            <w:tcW w:w="993" w:type="dxa"/>
            <w:vMerge w:val="continue"/>
            <w:vAlign w:val="center"/>
          </w:tcPr>
          <w:p>
            <w:pPr>
              <w:spacing w:line="560" w:lineRule="exact"/>
              <w:jc w:val="right"/>
              <w:rPr>
                <w:rFonts w:hint="eastAsia" w:ascii="宋体" w:hAnsi="宋体" w:eastAsia="宋体" w:cs="Times New Roman"/>
              </w:rPr>
            </w:pPr>
          </w:p>
        </w:tc>
        <w:tc>
          <w:tcPr>
            <w:tcW w:w="1189"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打印机</w:t>
            </w:r>
          </w:p>
        </w:tc>
        <w:tc>
          <w:tcPr>
            <w:tcW w:w="744" w:type="dxa"/>
            <w:vAlign w:val="center"/>
          </w:tcPr>
          <w:p>
            <w:pPr>
              <w:keepNext w:val="0"/>
              <w:keepLines w:val="0"/>
              <w:widowControl/>
              <w:suppressLineNumbers w:val="0"/>
              <w:jc w:val="left"/>
            </w:pPr>
            <w:r>
              <w:rPr>
                <w:rFonts w:ascii="仿宋_GB2312" w:hAnsi="仿宋_GB2312" w:eastAsia="仿宋_GB2312" w:cs="仿宋_GB2312"/>
                <w:color w:val="000000"/>
                <w:kern w:val="0"/>
                <w:sz w:val="18"/>
                <w:szCs w:val="18"/>
                <w:lang w:val="en-US" w:eastAsia="zh-CN" w:bidi="ar"/>
              </w:rPr>
              <w:t>A0201060101</w:t>
            </w:r>
          </w:p>
          <w:p>
            <w:pPr>
              <w:spacing w:line="560" w:lineRule="exact"/>
              <w:jc w:val="left"/>
              <w:rPr>
                <w:rFonts w:ascii="宋体" w:hAnsi="宋体" w:eastAsia="宋体" w:cs="Times New Roman"/>
              </w:rPr>
            </w:pPr>
          </w:p>
        </w:tc>
        <w:tc>
          <w:tcPr>
            <w:tcW w:w="496"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台</w:t>
            </w:r>
          </w:p>
        </w:tc>
        <w:tc>
          <w:tcPr>
            <w:tcW w:w="759"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1</w:t>
            </w:r>
          </w:p>
        </w:tc>
        <w:tc>
          <w:tcPr>
            <w:tcW w:w="922"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0.2</w:t>
            </w:r>
          </w:p>
        </w:tc>
        <w:tc>
          <w:tcPr>
            <w:tcW w:w="851" w:type="dxa"/>
            <w:vAlign w:val="center"/>
          </w:tcPr>
          <w:p>
            <w:pPr>
              <w:spacing w:line="560" w:lineRule="exact"/>
              <w:ind w:right="-84" w:rightChars="-40"/>
              <w:jc w:val="center"/>
              <w:rPr>
                <w:rFonts w:hint="eastAsia" w:ascii="宋体" w:hAnsi="宋体" w:eastAsia="宋体" w:cs="Times New Roman"/>
                <w:lang w:val="en-US" w:eastAsia="zh-CN"/>
              </w:rPr>
            </w:pPr>
            <w:r>
              <w:rPr>
                <w:rFonts w:hint="eastAsia" w:ascii="宋体" w:hAnsi="宋体" w:eastAsia="宋体" w:cs="Times New Roman"/>
                <w:lang w:val="en-US" w:eastAsia="zh-CN"/>
              </w:rPr>
              <w:t>0.2</w:t>
            </w:r>
          </w:p>
        </w:tc>
        <w:tc>
          <w:tcPr>
            <w:tcW w:w="850" w:type="dxa"/>
            <w:vAlign w:val="center"/>
          </w:tcPr>
          <w:p>
            <w:pPr>
              <w:spacing w:line="560" w:lineRule="exact"/>
              <w:ind w:right="-84" w:rightChars="-40"/>
              <w:jc w:val="center"/>
              <w:rPr>
                <w:rFonts w:hint="eastAsia" w:ascii="宋体" w:hAnsi="宋体" w:eastAsia="宋体" w:cs="Times New Roman"/>
                <w:lang w:val="en-US" w:eastAsia="zh-CN"/>
              </w:rPr>
            </w:pPr>
          </w:p>
        </w:tc>
        <w:tc>
          <w:tcPr>
            <w:tcW w:w="993" w:type="dxa"/>
            <w:vAlign w:val="center"/>
          </w:tcPr>
          <w:p>
            <w:pPr>
              <w:spacing w:line="560" w:lineRule="exact"/>
              <w:ind w:right="-84" w:rightChars="-40"/>
              <w:jc w:val="center"/>
              <w:rPr>
                <w:rFonts w:hint="eastAsia" w:ascii="宋体" w:hAnsi="宋体" w:eastAsia="宋体" w:cs="Times New Roman"/>
                <w:lang w:val="en-US" w:eastAsia="zh-CN"/>
              </w:rPr>
            </w:pPr>
            <w:r>
              <w:rPr>
                <w:rFonts w:hint="eastAsia" w:ascii="宋体" w:hAnsi="宋体" w:eastAsia="宋体" w:cs="Times New Roman"/>
                <w:lang w:val="en-US" w:eastAsia="zh-CN"/>
              </w:rPr>
              <w:t>0.2</w:t>
            </w:r>
          </w:p>
        </w:tc>
        <w:tc>
          <w:tcPr>
            <w:tcW w:w="850" w:type="dxa"/>
            <w:vAlign w:val="center"/>
          </w:tcPr>
          <w:p>
            <w:pPr>
              <w:spacing w:line="560" w:lineRule="exact"/>
              <w:jc w:val="right"/>
              <w:rPr>
                <w:rFonts w:ascii="宋体" w:hAnsi="宋体" w:eastAsia="宋体" w:cs="Times New Roman"/>
              </w:rPr>
            </w:pPr>
          </w:p>
        </w:tc>
        <w:tc>
          <w:tcPr>
            <w:tcW w:w="709" w:type="dxa"/>
            <w:vAlign w:val="center"/>
          </w:tcPr>
          <w:p>
            <w:pPr>
              <w:spacing w:line="560" w:lineRule="exact"/>
              <w:jc w:val="right"/>
              <w:rPr>
                <w:rFonts w:ascii="宋体" w:hAnsi="宋体" w:eastAsia="宋体" w:cs="Times New Roman"/>
              </w:rPr>
            </w:pPr>
          </w:p>
        </w:tc>
        <w:tc>
          <w:tcPr>
            <w:tcW w:w="850" w:type="dxa"/>
            <w:vAlign w:val="center"/>
          </w:tcPr>
          <w:p>
            <w:pPr>
              <w:spacing w:line="560" w:lineRule="exact"/>
              <w:jc w:val="right"/>
              <w:rPr>
                <w:rFonts w:ascii="宋体" w:hAnsi="宋体" w:eastAsia="宋体" w:cs="Times New Roman"/>
              </w:rPr>
            </w:pPr>
          </w:p>
        </w:tc>
        <w:tc>
          <w:tcPr>
            <w:tcW w:w="851" w:type="dxa"/>
            <w:vAlign w:val="center"/>
          </w:tcPr>
          <w:p>
            <w:pPr>
              <w:spacing w:line="560" w:lineRule="exact"/>
              <w:jc w:val="right"/>
              <w:rPr>
                <w:rFonts w:ascii="宋体" w:hAnsi="宋体" w:eastAsia="宋体" w:cs="Times New Roman"/>
              </w:rPr>
            </w:pPr>
          </w:p>
        </w:tc>
      </w:tr>
    </w:tbl>
    <w:p>
      <w:pPr>
        <w:autoSpaceDE w:val="0"/>
        <w:autoSpaceDN w:val="0"/>
        <w:adjustRightInd w:val="0"/>
        <w:spacing w:line="560" w:lineRule="exact"/>
        <w:ind w:left="198" w:firstLine="640" w:firstLineChars="200"/>
        <w:jc w:val="left"/>
        <w:rPr>
          <w:rFonts w:ascii="黑体" w:hAnsi="黑体" w:eastAsia="黑体" w:cs="Times New Roman"/>
          <w:color w:val="000000" w:themeColor="text1"/>
          <w:sz w:val="32"/>
          <w:szCs w:val="32"/>
        </w:rPr>
      </w:pPr>
      <w:r>
        <w:rPr>
          <w:rFonts w:hint="eastAsia" w:ascii="黑体" w:hAnsi="黑体" w:eastAsia="黑体" w:cs="黑体"/>
          <w:sz w:val="32"/>
          <w:szCs w:val="32"/>
        </w:rPr>
        <w:t>七、国有资产信息</w:t>
      </w:r>
    </w:p>
    <w:p>
      <w:pPr>
        <w:spacing w:line="560" w:lineRule="exact"/>
        <w:ind w:firstLine="640"/>
        <w:rPr>
          <w:rFonts w:ascii="仿宋" w:hAnsi="仿宋" w:eastAsia="仿宋" w:cs="Times New Roman"/>
          <w:color w:val="000000" w:themeColor="text1"/>
          <w:sz w:val="32"/>
          <w:szCs w:val="32"/>
        </w:rPr>
      </w:pPr>
      <w:r>
        <w:rPr>
          <w:rFonts w:hint="eastAsia" w:ascii="仿宋" w:hAnsi="仿宋" w:eastAsia="仿宋" w:cs="??_GB2312"/>
          <w:color w:val="000000" w:themeColor="text1"/>
          <w:sz w:val="32"/>
          <w:szCs w:val="32"/>
        </w:rPr>
        <w:t>民政</w:t>
      </w:r>
      <w:r>
        <w:rPr>
          <w:rFonts w:ascii="仿宋" w:hAnsi="仿宋" w:eastAsia="仿宋" w:cs="??_GB2312"/>
          <w:color w:val="000000" w:themeColor="text1"/>
          <w:sz w:val="32"/>
          <w:szCs w:val="32"/>
        </w:rPr>
        <w:t>部门（含所属单位）上年末固定资产金额为</w:t>
      </w:r>
      <w:r>
        <w:rPr>
          <w:rFonts w:hint="eastAsia" w:ascii="仿宋" w:hAnsi="仿宋" w:eastAsia="仿宋" w:cs="??_GB2312"/>
          <w:color w:val="000000" w:themeColor="text1"/>
          <w:sz w:val="32"/>
          <w:szCs w:val="32"/>
        </w:rPr>
        <w:t>929.45</w:t>
      </w:r>
      <w:r>
        <w:rPr>
          <w:rFonts w:ascii="仿宋" w:hAnsi="仿宋" w:eastAsia="仿宋" w:cs="??_GB2312"/>
          <w:color w:val="000000" w:themeColor="text1"/>
          <w:sz w:val="32"/>
          <w:szCs w:val="32"/>
        </w:rPr>
        <w:t>万元，本年度拟购置固定资产主要为</w:t>
      </w:r>
      <w:r>
        <w:rPr>
          <w:rFonts w:hint="eastAsia" w:ascii="仿宋" w:hAnsi="仿宋" w:eastAsia="仿宋" w:cs="??_GB2312"/>
          <w:color w:val="000000" w:themeColor="text1"/>
          <w:sz w:val="32"/>
          <w:szCs w:val="32"/>
        </w:rPr>
        <w:t>81.1元，困难群众粮油，通用设备</w:t>
      </w:r>
      <w:r>
        <w:rPr>
          <w:rFonts w:ascii="仿宋" w:hAnsi="仿宋" w:eastAsia="仿宋" w:cs="??_GB2312"/>
          <w:color w:val="000000" w:themeColor="text1"/>
          <w:sz w:val="32"/>
          <w:szCs w:val="32"/>
        </w:rPr>
        <w:t>等，已列入政府采购预算。</w:t>
      </w:r>
      <w:r>
        <w:rPr>
          <w:rFonts w:hint="eastAsia" w:ascii="仿宋" w:hAnsi="仿宋" w:eastAsia="仿宋" w:cs="??_GB2312"/>
          <w:color w:val="000000" w:themeColor="text1"/>
          <w:sz w:val="32"/>
          <w:szCs w:val="32"/>
        </w:rPr>
        <w:t>固定资产</w:t>
      </w:r>
      <w:r>
        <w:rPr>
          <w:rFonts w:ascii="仿宋" w:hAnsi="仿宋" w:eastAsia="仿宋" w:cs="??_GB2312"/>
          <w:color w:val="000000" w:themeColor="text1"/>
          <w:sz w:val="32"/>
          <w:szCs w:val="32"/>
        </w:rPr>
        <w:t>详见下表。</w:t>
      </w:r>
    </w:p>
    <w:tbl>
      <w:tblPr>
        <w:tblStyle w:val="4"/>
        <w:tblW w:w="8700" w:type="dxa"/>
        <w:tblInd w:w="1547" w:type="dxa"/>
        <w:tblLayout w:type="fixed"/>
        <w:tblCellMar>
          <w:top w:w="0" w:type="dxa"/>
          <w:left w:w="108" w:type="dxa"/>
          <w:bottom w:w="0" w:type="dxa"/>
          <w:right w:w="108" w:type="dxa"/>
        </w:tblCellMar>
      </w:tblPr>
      <w:tblGrid>
        <w:gridCol w:w="3255"/>
        <w:gridCol w:w="2190"/>
        <w:gridCol w:w="3255"/>
      </w:tblGrid>
      <w:tr>
        <w:tblPrEx>
          <w:tblCellMar>
            <w:top w:w="0" w:type="dxa"/>
            <w:left w:w="108" w:type="dxa"/>
            <w:bottom w:w="0" w:type="dxa"/>
            <w:right w:w="108" w:type="dxa"/>
          </w:tblCellMar>
        </w:tblPrEx>
        <w:trPr>
          <w:trHeight w:val="705" w:hRule="atLeast"/>
        </w:trPr>
        <w:tc>
          <w:tcPr>
            <w:tcW w:w="8700" w:type="dxa"/>
            <w:gridSpan w:val="3"/>
            <w:tcBorders>
              <w:top w:val="nil"/>
              <w:left w:val="nil"/>
              <w:bottom w:val="nil"/>
              <w:right w:val="nil"/>
            </w:tcBorders>
            <w:vAlign w:val="center"/>
          </w:tcPr>
          <w:p>
            <w:pPr>
              <w:widowControl/>
              <w:jc w:val="center"/>
              <w:rPr>
                <w:rFonts w:hint="eastAsia" w:ascii="宋体" w:hAnsi="宋体" w:eastAsia="宋体" w:cs="宋体"/>
                <w:b/>
                <w:bCs/>
                <w:color w:val="000000" w:themeColor="text1"/>
                <w:kern w:val="0"/>
                <w:sz w:val="32"/>
                <w:szCs w:val="32"/>
              </w:rPr>
            </w:pPr>
          </w:p>
          <w:p>
            <w:pPr>
              <w:widowControl/>
              <w:jc w:val="center"/>
              <w:rPr>
                <w:rFonts w:ascii="宋体" w:hAnsi="宋体" w:eastAsia="宋体" w:cs="Times New Roman"/>
                <w:b/>
                <w:bCs/>
                <w:color w:val="000000" w:themeColor="text1"/>
                <w:kern w:val="0"/>
                <w:sz w:val="32"/>
                <w:szCs w:val="32"/>
              </w:rPr>
            </w:pPr>
            <w:r>
              <w:rPr>
                <w:rFonts w:hint="eastAsia" w:ascii="宋体" w:hAnsi="宋体" w:eastAsia="宋体" w:cs="宋体"/>
                <w:b/>
                <w:bCs/>
                <w:color w:val="000000" w:themeColor="text1"/>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5445" w:type="dxa"/>
            <w:gridSpan w:val="2"/>
            <w:tcBorders>
              <w:top w:val="nil"/>
              <w:left w:val="nil"/>
              <w:bottom w:val="nil"/>
              <w:right w:val="nil"/>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编制部门：314成安县民政局</w:t>
            </w:r>
          </w:p>
        </w:tc>
        <w:tc>
          <w:tcPr>
            <w:tcW w:w="3255" w:type="dxa"/>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szCs w:val="22"/>
              </w:rPr>
              <w:t>截止时间：</w:t>
            </w:r>
            <w:r>
              <w:rPr>
                <w:rFonts w:ascii="宋体" w:hAnsi="宋体" w:eastAsia="宋体" w:cs="宋体"/>
                <w:kern w:val="0"/>
                <w:sz w:val="22"/>
                <w:szCs w:val="22"/>
              </w:rPr>
              <w:t>201</w:t>
            </w:r>
            <w:r>
              <w:rPr>
                <w:rFonts w:hint="eastAsia" w:ascii="宋体" w:hAnsi="宋体" w:eastAsia="宋体" w:cs="宋体"/>
                <w:kern w:val="0"/>
                <w:sz w:val="22"/>
                <w:szCs w:val="22"/>
              </w:rPr>
              <w:t>9年</w:t>
            </w:r>
            <w:r>
              <w:rPr>
                <w:rFonts w:ascii="宋体" w:hAnsi="宋体" w:eastAsia="宋体" w:cs="宋体"/>
                <w:kern w:val="0"/>
                <w:sz w:val="22"/>
                <w:szCs w:val="22"/>
              </w:rPr>
              <w:t>12</w:t>
            </w:r>
            <w:r>
              <w:rPr>
                <w:rFonts w:hint="eastAsia" w:ascii="宋体" w:hAnsi="宋体" w:eastAsia="宋体" w:cs="宋体"/>
                <w:kern w:val="0"/>
                <w:sz w:val="22"/>
                <w:szCs w:val="22"/>
              </w:rPr>
              <w:t>月</w:t>
            </w:r>
            <w:r>
              <w:rPr>
                <w:rFonts w:ascii="宋体" w:hAnsi="宋体" w:eastAsia="宋体" w:cs="宋体"/>
                <w:kern w:val="0"/>
                <w:sz w:val="22"/>
                <w:szCs w:val="22"/>
              </w:rPr>
              <w:t>31</w:t>
            </w:r>
            <w:r>
              <w:rPr>
                <w:rFonts w:hint="eastAsia" w:ascii="宋体" w:hAnsi="宋体" w:eastAsia="宋体" w:cs="宋体"/>
                <w:kern w:val="0"/>
                <w:sz w:val="22"/>
                <w:szCs w:val="22"/>
              </w:rPr>
              <w:t>日</w:t>
            </w:r>
          </w:p>
        </w:tc>
      </w:tr>
      <w:tr>
        <w:tblPrEx>
          <w:tblCellMar>
            <w:top w:w="0" w:type="dxa"/>
            <w:left w:w="108" w:type="dxa"/>
            <w:bottom w:w="0" w:type="dxa"/>
            <w:right w:w="108" w:type="dxa"/>
          </w:tblCellMar>
        </w:tblPrEx>
        <w:trPr>
          <w:trHeight w:val="645" w:hRule="atLeast"/>
        </w:trPr>
        <w:tc>
          <w:tcPr>
            <w:tcW w:w="3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color w:val="000000" w:themeColor="text1"/>
                <w:kern w:val="0"/>
                <w:sz w:val="22"/>
              </w:rPr>
            </w:pPr>
            <w:r>
              <w:rPr>
                <w:rFonts w:hint="eastAsia" w:ascii="宋体" w:hAnsi="宋体" w:eastAsia="宋体" w:cs="宋体"/>
                <w:b/>
                <w:bCs/>
                <w:color w:val="000000" w:themeColor="text1"/>
                <w:kern w:val="0"/>
                <w:sz w:val="22"/>
                <w:szCs w:val="22"/>
              </w:rPr>
              <w:t>项目</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color w:val="000000" w:themeColor="text1"/>
                <w:kern w:val="0"/>
                <w:sz w:val="22"/>
              </w:rPr>
            </w:pPr>
            <w:r>
              <w:rPr>
                <w:rFonts w:hint="eastAsia" w:ascii="宋体" w:hAnsi="宋体" w:eastAsia="宋体" w:cs="宋体"/>
                <w:b/>
                <w:bCs/>
                <w:color w:val="000000" w:themeColor="text1"/>
                <w:kern w:val="0"/>
                <w:sz w:val="22"/>
                <w:szCs w:val="22"/>
              </w:rPr>
              <w:t>数量</w:t>
            </w:r>
          </w:p>
        </w:tc>
        <w:tc>
          <w:tcPr>
            <w:tcW w:w="32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color w:val="000000" w:themeColor="text1"/>
                <w:kern w:val="0"/>
                <w:sz w:val="22"/>
              </w:rPr>
            </w:pPr>
            <w:r>
              <w:rPr>
                <w:rFonts w:hint="eastAsia" w:ascii="宋体" w:hAnsi="宋体" w:eastAsia="宋体" w:cs="宋体"/>
                <w:b/>
                <w:bCs/>
                <w:color w:val="000000" w:themeColor="text1"/>
                <w:kern w:val="0"/>
                <w:sz w:val="22"/>
                <w:szCs w:val="22"/>
              </w:rPr>
              <w:t>价值（金额单位：万元）</w:t>
            </w:r>
          </w:p>
        </w:tc>
      </w:tr>
      <w:tr>
        <w:tblPrEx>
          <w:tblCellMar>
            <w:top w:w="0" w:type="dxa"/>
            <w:left w:w="108" w:type="dxa"/>
            <w:bottom w:w="0" w:type="dxa"/>
            <w:right w:w="108" w:type="dxa"/>
          </w:tblCellMar>
        </w:tblPrEx>
        <w:trPr>
          <w:trHeight w:val="645" w:hRule="atLeast"/>
        </w:trPr>
        <w:tc>
          <w:tcPr>
            <w:tcW w:w="325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宋体"/>
                <w:color w:val="000000" w:themeColor="text1"/>
                <w:kern w:val="0"/>
                <w:sz w:val="22"/>
                <w:szCs w:val="22"/>
              </w:rPr>
              <w:t>资产总额</w:t>
            </w:r>
          </w:p>
        </w:tc>
        <w:tc>
          <w:tcPr>
            <w:tcW w:w="219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szCs w:val="22"/>
              </w:rPr>
              <w:t>——</w:t>
            </w:r>
          </w:p>
        </w:tc>
        <w:tc>
          <w:tcPr>
            <w:tcW w:w="3255" w:type="dxa"/>
            <w:tcBorders>
              <w:top w:val="nil"/>
              <w:left w:val="nil"/>
              <w:bottom w:val="single" w:color="auto" w:sz="4" w:space="0"/>
              <w:right w:val="single" w:color="auto" w:sz="4" w:space="0"/>
            </w:tcBorders>
            <w:vAlign w:val="center"/>
          </w:tcPr>
          <w:p>
            <w:pPr>
              <w:widowControl/>
              <w:jc w:val="center"/>
              <w:rPr>
                <w:rFonts w:ascii="仿宋" w:hAnsi="仿宋" w:eastAsia="仿宋" w:cs="??_GB2312"/>
                <w:color w:val="000000" w:themeColor="text1"/>
                <w:sz w:val="24"/>
                <w:szCs w:val="24"/>
              </w:rPr>
            </w:pPr>
            <w:r>
              <w:rPr>
                <w:rFonts w:hint="eastAsia" w:ascii="仿宋" w:hAnsi="仿宋" w:eastAsia="仿宋" w:cs="??_GB2312"/>
                <w:color w:val="000000" w:themeColor="text1"/>
                <w:sz w:val="24"/>
                <w:szCs w:val="24"/>
              </w:rPr>
              <w:t>929.45</w:t>
            </w:r>
          </w:p>
        </w:tc>
      </w:tr>
      <w:tr>
        <w:tblPrEx>
          <w:tblCellMar>
            <w:top w:w="0" w:type="dxa"/>
            <w:left w:w="108" w:type="dxa"/>
            <w:bottom w:w="0" w:type="dxa"/>
            <w:right w:w="108" w:type="dxa"/>
          </w:tblCellMar>
        </w:tblPrEx>
        <w:trPr>
          <w:trHeight w:val="645" w:hRule="atLeast"/>
        </w:trPr>
        <w:tc>
          <w:tcPr>
            <w:tcW w:w="325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rPr>
            </w:pPr>
            <w:r>
              <w:rPr>
                <w:rFonts w:ascii="宋体" w:hAnsi="宋体" w:eastAsia="宋体" w:cs="宋体"/>
                <w:color w:val="000000" w:themeColor="text1"/>
                <w:kern w:val="0"/>
                <w:sz w:val="22"/>
                <w:szCs w:val="22"/>
              </w:rPr>
              <w:t>1</w:t>
            </w:r>
            <w:r>
              <w:rPr>
                <w:rFonts w:hint="eastAsia" w:ascii="宋体" w:hAnsi="宋体" w:eastAsia="宋体" w:cs="宋体"/>
                <w:color w:val="000000" w:themeColor="text1"/>
                <w:kern w:val="0"/>
                <w:sz w:val="22"/>
                <w:szCs w:val="22"/>
              </w:rPr>
              <w:t>、房屋（平方米）</w:t>
            </w:r>
          </w:p>
        </w:tc>
        <w:tc>
          <w:tcPr>
            <w:tcW w:w="21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Times New Roman"/>
                <w:color w:val="000000" w:themeColor="text1"/>
                <w:kern w:val="0"/>
                <w:sz w:val="22"/>
              </w:rPr>
              <w:t>203</w:t>
            </w:r>
          </w:p>
        </w:tc>
        <w:tc>
          <w:tcPr>
            <w:tcW w:w="32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Times New Roman"/>
                <w:color w:val="000000" w:themeColor="text1"/>
                <w:kern w:val="0"/>
                <w:sz w:val="22"/>
              </w:rPr>
              <w:t>385.64</w:t>
            </w:r>
          </w:p>
        </w:tc>
      </w:tr>
      <w:tr>
        <w:tblPrEx>
          <w:tblCellMar>
            <w:top w:w="0" w:type="dxa"/>
            <w:left w:w="108" w:type="dxa"/>
            <w:bottom w:w="0" w:type="dxa"/>
            <w:right w:w="108" w:type="dxa"/>
          </w:tblCellMar>
        </w:tblPrEx>
        <w:trPr>
          <w:trHeight w:val="645" w:hRule="atLeast"/>
        </w:trPr>
        <w:tc>
          <w:tcPr>
            <w:tcW w:w="325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rPr>
            </w:pPr>
            <w:r>
              <w:rPr>
                <w:rFonts w:hint="eastAsia" w:ascii="宋体" w:hAnsi="宋体" w:eastAsia="宋体" w:cs="宋体"/>
                <w:color w:val="000000" w:themeColor="text1"/>
                <w:kern w:val="0"/>
                <w:sz w:val="22"/>
                <w:szCs w:val="22"/>
              </w:rPr>
              <w:t>其中：业务用房（平方米）</w:t>
            </w:r>
          </w:p>
        </w:tc>
        <w:tc>
          <w:tcPr>
            <w:tcW w:w="21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Times New Roman"/>
                <w:color w:val="000000" w:themeColor="text1"/>
                <w:kern w:val="0"/>
                <w:sz w:val="22"/>
              </w:rPr>
              <w:t>203</w:t>
            </w:r>
          </w:p>
        </w:tc>
        <w:tc>
          <w:tcPr>
            <w:tcW w:w="32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Times New Roman"/>
                <w:color w:val="000000" w:themeColor="text1"/>
                <w:kern w:val="0"/>
                <w:sz w:val="22"/>
              </w:rPr>
              <w:t>385.64</w:t>
            </w:r>
          </w:p>
        </w:tc>
      </w:tr>
      <w:tr>
        <w:tblPrEx>
          <w:tblCellMar>
            <w:top w:w="0" w:type="dxa"/>
            <w:left w:w="108" w:type="dxa"/>
            <w:bottom w:w="0" w:type="dxa"/>
            <w:right w:w="108" w:type="dxa"/>
          </w:tblCellMar>
        </w:tblPrEx>
        <w:trPr>
          <w:trHeight w:val="645" w:hRule="atLeast"/>
        </w:trPr>
        <w:tc>
          <w:tcPr>
            <w:tcW w:w="325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rPr>
            </w:pPr>
            <w:r>
              <w:rPr>
                <w:rFonts w:ascii="宋体" w:hAnsi="宋体" w:eastAsia="宋体" w:cs="宋体"/>
                <w:color w:val="000000" w:themeColor="text1"/>
                <w:kern w:val="0"/>
                <w:sz w:val="22"/>
                <w:szCs w:val="22"/>
              </w:rPr>
              <w:t>2</w:t>
            </w:r>
            <w:r>
              <w:rPr>
                <w:rFonts w:hint="eastAsia" w:ascii="宋体" w:hAnsi="宋体" w:eastAsia="宋体" w:cs="宋体"/>
                <w:color w:val="000000" w:themeColor="text1"/>
                <w:kern w:val="0"/>
                <w:sz w:val="22"/>
                <w:szCs w:val="22"/>
              </w:rPr>
              <w:t>、车辆（台、辆）</w:t>
            </w:r>
          </w:p>
        </w:tc>
        <w:tc>
          <w:tcPr>
            <w:tcW w:w="21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ascii="宋体" w:hAnsi="宋体" w:eastAsia="宋体" w:cs="Times New Roman"/>
                <w:color w:val="000000" w:themeColor="text1"/>
                <w:kern w:val="0"/>
                <w:sz w:val="22"/>
              </w:rPr>
              <w:t>2</w:t>
            </w:r>
          </w:p>
        </w:tc>
        <w:tc>
          <w:tcPr>
            <w:tcW w:w="32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ascii="宋体" w:hAnsi="宋体" w:eastAsia="宋体" w:cs="Times New Roman"/>
                <w:color w:val="000000" w:themeColor="text1"/>
                <w:kern w:val="0"/>
                <w:sz w:val="22"/>
              </w:rPr>
              <w:t>56.6</w:t>
            </w:r>
          </w:p>
        </w:tc>
      </w:tr>
      <w:tr>
        <w:tblPrEx>
          <w:tblCellMar>
            <w:top w:w="0" w:type="dxa"/>
            <w:left w:w="108" w:type="dxa"/>
            <w:bottom w:w="0" w:type="dxa"/>
            <w:right w:w="108" w:type="dxa"/>
          </w:tblCellMar>
        </w:tblPrEx>
        <w:trPr>
          <w:trHeight w:val="645" w:hRule="atLeast"/>
        </w:trPr>
        <w:tc>
          <w:tcPr>
            <w:tcW w:w="325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rPr>
            </w:pPr>
            <w:r>
              <w:rPr>
                <w:rFonts w:ascii="宋体" w:hAnsi="宋体" w:eastAsia="宋体" w:cs="宋体"/>
                <w:color w:val="000000" w:themeColor="text1"/>
                <w:kern w:val="0"/>
                <w:sz w:val="22"/>
                <w:szCs w:val="22"/>
              </w:rPr>
              <w:t>3</w:t>
            </w:r>
            <w:r>
              <w:rPr>
                <w:rFonts w:hint="eastAsia" w:ascii="宋体" w:hAnsi="宋体" w:eastAsia="宋体" w:cs="宋体"/>
                <w:color w:val="000000" w:themeColor="text1"/>
                <w:kern w:val="0"/>
                <w:sz w:val="22"/>
                <w:szCs w:val="22"/>
              </w:rPr>
              <w:t>、单价在</w:t>
            </w:r>
            <w:r>
              <w:rPr>
                <w:rFonts w:ascii="宋体" w:hAnsi="宋体" w:eastAsia="宋体" w:cs="宋体"/>
                <w:color w:val="000000" w:themeColor="text1"/>
                <w:kern w:val="0"/>
                <w:sz w:val="22"/>
                <w:szCs w:val="22"/>
              </w:rPr>
              <w:t>50</w:t>
            </w:r>
            <w:r>
              <w:rPr>
                <w:rFonts w:hint="eastAsia" w:ascii="宋体" w:hAnsi="宋体" w:eastAsia="宋体" w:cs="宋体"/>
                <w:color w:val="000000" w:themeColor="text1"/>
                <w:kern w:val="0"/>
                <w:sz w:val="22"/>
                <w:szCs w:val="22"/>
              </w:rPr>
              <w:t>万元以上的设备</w:t>
            </w:r>
          </w:p>
        </w:tc>
        <w:tc>
          <w:tcPr>
            <w:tcW w:w="21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Times New Roman"/>
                <w:color w:val="000000" w:themeColor="text1"/>
                <w:kern w:val="0"/>
                <w:sz w:val="22"/>
              </w:rPr>
              <w:t>3</w:t>
            </w:r>
          </w:p>
        </w:tc>
        <w:tc>
          <w:tcPr>
            <w:tcW w:w="32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Times New Roman"/>
                <w:color w:val="000000" w:themeColor="text1"/>
                <w:kern w:val="0"/>
                <w:sz w:val="22"/>
              </w:rPr>
              <w:t>304.76</w:t>
            </w:r>
          </w:p>
        </w:tc>
      </w:tr>
      <w:tr>
        <w:tblPrEx>
          <w:tblCellMar>
            <w:top w:w="0" w:type="dxa"/>
            <w:left w:w="108" w:type="dxa"/>
            <w:bottom w:w="0" w:type="dxa"/>
            <w:right w:w="108" w:type="dxa"/>
          </w:tblCellMar>
        </w:tblPrEx>
        <w:trPr>
          <w:trHeight w:val="645" w:hRule="atLeast"/>
        </w:trPr>
        <w:tc>
          <w:tcPr>
            <w:tcW w:w="325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rPr>
            </w:pPr>
            <w:r>
              <w:rPr>
                <w:rFonts w:ascii="宋体" w:hAnsi="宋体" w:eastAsia="宋体" w:cs="宋体"/>
                <w:color w:val="000000" w:themeColor="text1"/>
                <w:kern w:val="0"/>
                <w:sz w:val="22"/>
                <w:szCs w:val="22"/>
              </w:rPr>
              <w:t>4</w:t>
            </w:r>
            <w:r>
              <w:rPr>
                <w:rFonts w:hint="eastAsia" w:ascii="宋体" w:hAnsi="宋体" w:eastAsia="宋体" w:cs="宋体"/>
                <w:color w:val="000000" w:themeColor="text1"/>
                <w:kern w:val="0"/>
                <w:sz w:val="22"/>
                <w:szCs w:val="22"/>
              </w:rPr>
              <w:t>、其他固定资产</w:t>
            </w:r>
          </w:p>
        </w:tc>
        <w:tc>
          <w:tcPr>
            <w:tcW w:w="2190" w:type="dxa"/>
            <w:tcBorders>
              <w:top w:val="nil"/>
              <w:left w:val="nil"/>
              <w:bottom w:val="single" w:color="auto" w:sz="4" w:space="0"/>
              <w:right w:val="single" w:color="auto" w:sz="4" w:space="0"/>
            </w:tcBorders>
            <w:vAlign w:val="center"/>
          </w:tcPr>
          <w:p>
            <w:pPr>
              <w:widowControl/>
              <w:rPr>
                <w:rFonts w:ascii="宋体" w:hAnsi="宋体" w:eastAsia="宋体" w:cs="Times New Roman"/>
                <w:color w:val="000000" w:themeColor="text1"/>
                <w:kern w:val="0"/>
                <w:sz w:val="22"/>
              </w:rPr>
            </w:pPr>
          </w:p>
        </w:tc>
        <w:tc>
          <w:tcPr>
            <w:tcW w:w="32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Times New Roman"/>
                <w:color w:val="000000" w:themeColor="text1"/>
                <w:kern w:val="0"/>
                <w:sz w:val="22"/>
              </w:rPr>
              <w:t>182.45</w:t>
            </w:r>
          </w:p>
        </w:tc>
      </w:tr>
    </w:tbl>
    <w:p>
      <w:pPr>
        <w:autoSpaceDE w:val="0"/>
        <w:autoSpaceDN w:val="0"/>
        <w:adjustRightInd w:val="0"/>
        <w:jc w:val="left"/>
        <w:rPr>
          <w:rFonts w:ascii="黑体" w:hAnsi="黑体" w:eastAsia="黑体" w:cs="Times New Roman"/>
          <w:color w:val="000000" w:themeColor="text1"/>
          <w:sz w:val="32"/>
          <w:szCs w:val="32"/>
        </w:rPr>
      </w:pPr>
      <w:r>
        <w:rPr>
          <w:rFonts w:hint="eastAsia" w:ascii="黑体" w:hAnsi="黑体" w:eastAsia="黑体" w:cs="黑体"/>
          <w:color w:val="000000" w:themeColor="text1"/>
          <w:sz w:val="32"/>
          <w:szCs w:val="32"/>
        </w:rPr>
        <w:t>八、名词解释</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bCs/>
          <w:kern w:val="0"/>
          <w:sz w:val="32"/>
          <w:szCs w:val="32"/>
        </w:rPr>
        <w:t>1、财政拨款收入：指</w:t>
      </w:r>
      <w:r>
        <w:rPr>
          <w:rFonts w:hint="eastAsia" w:ascii="仿宋" w:hAnsi="仿宋" w:eastAsia="仿宋" w:cs="仿宋"/>
          <w:kern w:val="0"/>
          <w:sz w:val="32"/>
          <w:szCs w:val="32"/>
        </w:rPr>
        <w:t>财政当年拨付的资金。</w:t>
      </w:r>
    </w:p>
    <w:p>
      <w:pPr>
        <w:widowControl/>
        <w:spacing w:line="360" w:lineRule="auto"/>
        <w:ind w:firstLine="640" w:firstLineChars="200"/>
        <w:jc w:val="left"/>
        <w:rPr>
          <w:rFonts w:ascii="微软雅黑" w:hAnsi="微软雅黑" w:eastAsia="微软雅黑" w:cs="微软雅黑"/>
          <w:kern w:val="0"/>
          <w:sz w:val="24"/>
          <w:szCs w:val="24"/>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600" w:firstLineChars="250"/>
        <w:jc w:val="left"/>
        <w:rPr>
          <w:rFonts w:ascii="仿宋" w:hAnsi="仿宋" w:eastAsia="仿宋" w:cs="仿宋"/>
          <w:b/>
          <w:kern w:val="0"/>
          <w:sz w:val="32"/>
          <w:szCs w:val="32"/>
        </w:rPr>
      </w:pPr>
      <w:r>
        <w:rPr>
          <w:rFonts w:hint="eastAsia" w:ascii="微软雅黑" w:hAnsi="微软雅黑" w:eastAsia="微软雅黑" w:cs="微软雅黑"/>
          <w:kern w:val="0"/>
          <w:sz w:val="24"/>
          <w:szCs w:val="24"/>
        </w:rPr>
        <w:t>3</w:t>
      </w:r>
      <w:r>
        <w:rPr>
          <w:rFonts w:hint="eastAsia" w:ascii="仿宋" w:hAnsi="仿宋" w:eastAsia="仿宋" w:cs="仿宋"/>
          <w:b/>
          <w:kern w:val="0"/>
          <w:sz w:val="32"/>
          <w:szCs w:val="32"/>
        </w:rPr>
        <w:t>、年初结转和结余</w:t>
      </w:r>
      <w:r>
        <w:rPr>
          <w:rFonts w:hint="eastAsia" w:ascii="仿宋" w:hAnsi="仿宋" w:eastAsia="仿宋" w:cs="仿宋"/>
          <w:kern w:val="0"/>
          <w:sz w:val="32"/>
          <w:szCs w:val="32"/>
        </w:rPr>
        <w:t>：指以前年度尚未完成，结转到本年仍按照原规定用途继续使用的资金，或项目已完成等产生的结余资金。</w:t>
      </w:r>
      <w:r>
        <w:rPr>
          <w:rFonts w:hint="eastAsia" w:ascii="仿宋" w:hAnsi="仿宋" w:eastAsia="仿宋" w:cs="仿宋"/>
          <w:b/>
          <w:kern w:val="0"/>
          <w:sz w:val="32"/>
          <w:szCs w:val="32"/>
        </w:rPr>
        <w:t> </w:t>
      </w:r>
    </w:p>
    <w:p>
      <w:pPr>
        <w:widowControl/>
        <w:spacing w:line="360" w:lineRule="auto"/>
        <w:ind w:firstLine="643" w:firstLineChars="200"/>
        <w:jc w:val="left"/>
        <w:rPr>
          <w:rFonts w:ascii="仿宋" w:hAnsi="仿宋" w:eastAsia="仿宋" w:cs="仿宋"/>
          <w:b/>
          <w:kern w:val="0"/>
          <w:sz w:val="32"/>
          <w:szCs w:val="32"/>
        </w:rPr>
      </w:pPr>
      <w:r>
        <w:rPr>
          <w:rFonts w:hint="eastAsia" w:ascii="仿宋" w:hAnsi="仿宋" w:eastAsia="仿宋" w:cs="仿宋"/>
          <w:b/>
          <w:kern w:val="0"/>
          <w:sz w:val="32"/>
          <w:szCs w:val="32"/>
        </w:rPr>
        <w:t>4、基本支出</w:t>
      </w:r>
      <w:r>
        <w:rPr>
          <w:rFonts w:hint="eastAsia" w:ascii="仿宋" w:hAnsi="仿宋" w:eastAsia="仿宋" w:cs="仿宋"/>
          <w:kern w:val="0"/>
          <w:sz w:val="32"/>
          <w:szCs w:val="32"/>
        </w:rPr>
        <w:t>：指单位为了保障其正常运转、完成日常工作任务而发生的人员支出和公用支出。</w:t>
      </w:r>
      <w:r>
        <w:rPr>
          <w:rFonts w:hint="eastAsia" w:ascii="仿宋" w:hAnsi="仿宋" w:eastAsia="仿宋" w:cs="仿宋"/>
          <w:b/>
          <w:kern w:val="0"/>
          <w:sz w:val="32"/>
          <w:szCs w:val="32"/>
        </w:rPr>
        <w:t> </w:t>
      </w:r>
    </w:p>
    <w:p>
      <w:pPr>
        <w:widowControl/>
        <w:spacing w:line="360" w:lineRule="auto"/>
        <w:ind w:firstLine="643" w:firstLineChars="200"/>
        <w:jc w:val="left"/>
        <w:rPr>
          <w:rFonts w:ascii="仿宋" w:hAnsi="仿宋" w:eastAsia="仿宋" w:cs="仿宋"/>
          <w:kern w:val="0"/>
          <w:sz w:val="32"/>
          <w:szCs w:val="32"/>
        </w:rPr>
      </w:pPr>
      <w:r>
        <w:rPr>
          <w:rFonts w:hint="eastAsia" w:ascii="仿宋" w:hAnsi="仿宋" w:eastAsia="仿宋" w:cs="仿宋"/>
          <w:b/>
          <w:kern w:val="0"/>
          <w:sz w:val="32"/>
          <w:szCs w:val="32"/>
        </w:rPr>
        <w:t>5、项目支出：</w:t>
      </w:r>
      <w:r>
        <w:rPr>
          <w:rFonts w:hint="eastAsia" w:ascii="仿宋" w:hAnsi="仿宋" w:eastAsia="仿宋" w:cs="仿宋"/>
          <w:kern w:val="0"/>
          <w:sz w:val="32"/>
          <w:szCs w:val="32"/>
        </w:rPr>
        <w:t>指单位为了特定的工作任务和事业发展目标，在基本支出之外所发生的支出。</w:t>
      </w:r>
    </w:p>
    <w:p>
      <w:pPr>
        <w:tabs>
          <w:tab w:val="left" w:pos="11490"/>
        </w:tabs>
        <w:ind w:firstLine="800" w:firstLineChars="25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800" w:firstLineChars="250"/>
        <w:rPr>
          <w:rFonts w:ascii="仿宋" w:hAnsi="仿宋" w:eastAsia="仿宋" w:cs="仿宋"/>
          <w:kern w:val="0"/>
          <w:sz w:val="32"/>
          <w:szCs w:val="32"/>
        </w:rPr>
      </w:pPr>
      <w:r>
        <w:rPr>
          <w:rFonts w:hint="eastAsia" w:ascii="仿宋" w:hAnsi="仿宋" w:eastAsia="仿宋" w:cs="仿宋"/>
          <w:kern w:val="0"/>
          <w:sz w:val="32"/>
          <w:szCs w:val="32"/>
        </w:rPr>
        <w:t>无其它需要说明的事项。</w:t>
      </w:r>
    </w:p>
    <w:sectPr>
      <w:footerReference r:id="rId3" w:type="default"/>
      <w:pgSz w:w="16838" w:h="11906" w:orient="landscape"/>
      <w:pgMar w:top="1474" w:right="1985" w:bottom="1588"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cs="Times New Roman"/>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PAGE   \* MERGEFORMAT</w:instrText>
    </w:r>
    <w:r>
      <w:rPr>
        <w:rFonts w:ascii="仿宋" w:hAnsi="仿宋" w:eastAsia="仿宋" w:cs="仿宋"/>
        <w:sz w:val="32"/>
        <w:szCs w:val="32"/>
      </w:rPr>
      <w:fldChar w:fldCharType="separate"/>
    </w:r>
    <w:r>
      <w:rPr>
        <w:rFonts w:ascii="仿宋" w:hAnsi="仿宋" w:eastAsia="仿宋" w:cs="仿宋"/>
        <w:sz w:val="32"/>
        <w:szCs w:val="32"/>
        <w:lang w:val="zh-CN"/>
      </w:rPr>
      <w:t>13</w:t>
    </w:r>
    <w:r>
      <w:rPr>
        <w:rFonts w:ascii="仿宋" w:hAnsi="仿宋" w:eastAsia="仿宋" w:cs="仿宋"/>
        <w:sz w:val="32"/>
        <w:szCs w:val="32"/>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TRlZmE3NjRjMGI0MzE0MjhkZWI4Y2YzNDQ1N2EwMzIifQ=="/>
  </w:docVars>
  <w:rsids>
    <w:rsidRoot w:val="00524AAA"/>
    <w:rsid w:val="000274B0"/>
    <w:rsid w:val="00073587"/>
    <w:rsid w:val="00087B3E"/>
    <w:rsid w:val="000A796E"/>
    <w:rsid w:val="000A7BD4"/>
    <w:rsid w:val="000B3E20"/>
    <w:rsid w:val="000E2CF2"/>
    <w:rsid w:val="00101C7A"/>
    <w:rsid w:val="00122DD6"/>
    <w:rsid w:val="001278EA"/>
    <w:rsid w:val="00131928"/>
    <w:rsid w:val="0015167C"/>
    <w:rsid w:val="001A3CB4"/>
    <w:rsid w:val="001C301A"/>
    <w:rsid w:val="001D7C52"/>
    <w:rsid w:val="001E0232"/>
    <w:rsid w:val="00206B22"/>
    <w:rsid w:val="002307B5"/>
    <w:rsid w:val="00276364"/>
    <w:rsid w:val="00293834"/>
    <w:rsid w:val="00295F55"/>
    <w:rsid w:val="002C0317"/>
    <w:rsid w:val="002D41E2"/>
    <w:rsid w:val="002D43D3"/>
    <w:rsid w:val="002E5F1A"/>
    <w:rsid w:val="002F458C"/>
    <w:rsid w:val="00325594"/>
    <w:rsid w:val="003321F3"/>
    <w:rsid w:val="00335E0B"/>
    <w:rsid w:val="0033741A"/>
    <w:rsid w:val="003671FA"/>
    <w:rsid w:val="0037750D"/>
    <w:rsid w:val="00380B28"/>
    <w:rsid w:val="0039371C"/>
    <w:rsid w:val="003B77F6"/>
    <w:rsid w:val="003C4C5D"/>
    <w:rsid w:val="003D1126"/>
    <w:rsid w:val="003D1369"/>
    <w:rsid w:val="003D22B1"/>
    <w:rsid w:val="004254D7"/>
    <w:rsid w:val="00426D7A"/>
    <w:rsid w:val="00431B5D"/>
    <w:rsid w:val="00453A06"/>
    <w:rsid w:val="0048548B"/>
    <w:rsid w:val="004A0B37"/>
    <w:rsid w:val="004C2961"/>
    <w:rsid w:val="004D22F5"/>
    <w:rsid w:val="00516F61"/>
    <w:rsid w:val="00524AAA"/>
    <w:rsid w:val="005412A2"/>
    <w:rsid w:val="005730D6"/>
    <w:rsid w:val="005A36C5"/>
    <w:rsid w:val="005B7EE9"/>
    <w:rsid w:val="005D4E99"/>
    <w:rsid w:val="005D6A17"/>
    <w:rsid w:val="005F4345"/>
    <w:rsid w:val="0068144F"/>
    <w:rsid w:val="00686533"/>
    <w:rsid w:val="006B4730"/>
    <w:rsid w:val="006C40A7"/>
    <w:rsid w:val="006F748F"/>
    <w:rsid w:val="00704A26"/>
    <w:rsid w:val="00710A85"/>
    <w:rsid w:val="00730E9C"/>
    <w:rsid w:val="00747D9E"/>
    <w:rsid w:val="007667CF"/>
    <w:rsid w:val="007671C4"/>
    <w:rsid w:val="007775CB"/>
    <w:rsid w:val="00792F84"/>
    <w:rsid w:val="007B4EB3"/>
    <w:rsid w:val="007C20A9"/>
    <w:rsid w:val="007C484E"/>
    <w:rsid w:val="007D301F"/>
    <w:rsid w:val="007E45A8"/>
    <w:rsid w:val="007F0D2E"/>
    <w:rsid w:val="007F4D20"/>
    <w:rsid w:val="00825F97"/>
    <w:rsid w:val="008327A0"/>
    <w:rsid w:val="00844B65"/>
    <w:rsid w:val="00856069"/>
    <w:rsid w:val="008574DC"/>
    <w:rsid w:val="00861662"/>
    <w:rsid w:val="008C1E65"/>
    <w:rsid w:val="008C55CF"/>
    <w:rsid w:val="008C641F"/>
    <w:rsid w:val="008F0D12"/>
    <w:rsid w:val="00912C96"/>
    <w:rsid w:val="00933068"/>
    <w:rsid w:val="00950F28"/>
    <w:rsid w:val="0095150A"/>
    <w:rsid w:val="00973104"/>
    <w:rsid w:val="00990CB9"/>
    <w:rsid w:val="009B2D48"/>
    <w:rsid w:val="009C264C"/>
    <w:rsid w:val="009D232C"/>
    <w:rsid w:val="009F0612"/>
    <w:rsid w:val="009F1104"/>
    <w:rsid w:val="00A12AE7"/>
    <w:rsid w:val="00A15ADE"/>
    <w:rsid w:val="00A46CD8"/>
    <w:rsid w:val="00A6455D"/>
    <w:rsid w:val="00A775DC"/>
    <w:rsid w:val="00A95F51"/>
    <w:rsid w:val="00A97083"/>
    <w:rsid w:val="00AB5098"/>
    <w:rsid w:val="00AC6968"/>
    <w:rsid w:val="00AC69C5"/>
    <w:rsid w:val="00AE755A"/>
    <w:rsid w:val="00B048E1"/>
    <w:rsid w:val="00B13EFE"/>
    <w:rsid w:val="00B148B5"/>
    <w:rsid w:val="00B50088"/>
    <w:rsid w:val="00B500A4"/>
    <w:rsid w:val="00B74AE0"/>
    <w:rsid w:val="00BA40C6"/>
    <w:rsid w:val="00BA6B82"/>
    <w:rsid w:val="00BC3FFF"/>
    <w:rsid w:val="00BC54EC"/>
    <w:rsid w:val="00BF15C3"/>
    <w:rsid w:val="00C447F8"/>
    <w:rsid w:val="00C63DBF"/>
    <w:rsid w:val="00C734CB"/>
    <w:rsid w:val="00C8122D"/>
    <w:rsid w:val="00C84FDB"/>
    <w:rsid w:val="00C94E61"/>
    <w:rsid w:val="00CC5220"/>
    <w:rsid w:val="00CD0F72"/>
    <w:rsid w:val="00CE1963"/>
    <w:rsid w:val="00CE3008"/>
    <w:rsid w:val="00D06882"/>
    <w:rsid w:val="00D27A25"/>
    <w:rsid w:val="00D312BA"/>
    <w:rsid w:val="00D349F9"/>
    <w:rsid w:val="00D34F10"/>
    <w:rsid w:val="00D4165A"/>
    <w:rsid w:val="00D73351"/>
    <w:rsid w:val="00D941C1"/>
    <w:rsid w:val="00E000C9"/>
    <w:rsid w:val="00E065D0"/>
    <w:rsid w:val="00E15C61"/>
    <w:rsid w:val="00E24B37"/>
    <w:rsid w:val="00E474B2"/>
    <w:rsid w:val="00E87B0C"/>
    <w:rsid w:val="00E91C36"/>
    <w:rsid w:val="00E95567"/>
    <w:rsid w:val="00ED1820"/>
    <w:rsid w:val="00ED51A8"/>
    <w:rsid w:val="00ED7B72"/>
    <w:rsid w:val="00F0034F"/>
    <w:rsid w:val="00F14752"/>
    <w:rsid w:val="00F24FB2"/>
    <w:rsid w:val="00F311AF"/>
    <w:rsid w:val="00F414C0"/>
    <w:rsid w:val="00F66032"/>
    <w:rsid w:val="00F934F9"/>
    <w:rsid w:val="00FA47F1"/>
    <w:rsid w:val="00FB475F"/>
    <w:rsid w:val="00FB5EA2"/>
    <w:rsid w:val="00FD2131"/>
    <w:rsid w:val="023C1B96"/>
    <w:rsid w:val="05DD288F"/>
    <w:rsid w:val="0A2C7E39"/>
    <w:rsid w:val="0FEF391C"/>
    <w:rsid w:val="117E1EF6"/>
    <w:rsid w:val="125B6575"/>
    <w:rsid w:val="13701E42"/>
    <w:rsid w:val="157320F6"/>
    <w:rsid w:val="170B192C"/>
    <w:rsid w:val="17F5602E"/>
    <w:rsid w:val="1DBB0132"/>
    <w:rsid w:val="1FB41491"/>
    <w:rsid w:val="237F717D"/>
    <w:rsid w:val="27B74210"/>
    <w:rsid w:val="2CEA3340"/>
    <w:rsid w:val="2E4461EA"/>
    <w:rsid w:val="2E83425F"/>
    <w:rsid w:val="2ED1383B"/>
    <w:rsid w:val="3032613C"/>
    <w:rsid w:val="32CA5FE8"/>
    <w:rsid w:val="32CB4997"/>
    <w:rsid w:val="35147262"/>
    <w:rsid w:val="35DC2A17"/>
    <w:rsid w:val="37C903A5"/>
    <w:rsid w:val="38ED2412"/>
    <w:rsid w:val="3E2F3BCE"/>
    <w:rsid w:val="3E8C4FC2"/>
    <w:rsid w:val="408C1278"/>
    <w:rsid w:val="411327EE"/>
    <w:rsid w:val="41DE645F"/>
    <w:rsid w:val="483A0567"/>
    <w:rsid w:val="4B810356"/>
    <w:rsid w:val="516820CA"/>
    <w:rsid w:val="51ED7477"/>
    <w:rsid w:val="55130B22"/>
    <w:rsid w:val="58DD6532"/>
    <w:rsid w:val="58F14E6B"/>
    <w:rsid w:val="5A570499"/>
    <w:rsid w:val="5ADF6AC1"/>
    <w:rsid w:val="5EE917AA"/>
    <w:rsid w:val="60D042F1"/>
    <w:rsid w:val="6B683F2A"/>
    <w:rsid w:val="6CD22BB7"/>
    <w:rsid w:val="728E0796"/>
    <w:rsid w:val="7FA675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link w:val="2"/>
    <w:qFormat/>
    <w:locked/>
    <w:uiPriority w:val="99"/>
    <w:rPr>
      <w:rFonts w:cs="Times New Roman"/>
      <w:sz w:val="18"/>
      <w:szCs w:val="18"/>
    </w:rPr>
  </w:style>
  <w:style w:type="character" w:customStyle="1" w:styleId="8">
    <w:name w:val="页眉 Char"/>
    <w:link w:val="3"/>
    <w:qFormat/>
    <w:locked/>
    <w:uiPriority w:val="99"/>
    <w:rPr>
      <w:rFonts w:cs="Times New Roman"/>
      <w:sz w:val="18"/>
      <w:szCs w:val="18"/>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0653-2688-449A-A45F-817B5E2F6E2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779</Words>
  <Characters>4446</Characters>
  <Lines>37</Lines>
  <Paragraphs>10</Paragraphs>
  <TotalTime>1</TotalTime>
  <ScaleCrop>false</ScaleCrop>
  <LinksUpToDate>false</LinksUpToDate>
  <CharactersWithSpaces>5215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2017-11-10T09:22:00Z</dcterms:created>
  <dc:creator>旭东</dc:creator>
  <cp:lastModifiedBy>争做一个瘦子</cp:lastModifiedBy>
  <cp:lastPrinted>2021-05-18T03:22:00Z</cp:lastPrinted>
  <dcterms:modified xsi:type="dcterms:W3CDTF">2024-01-18T06:06:30Z</dcterms:modified>
  <dc:title>2017年部门预算公开督导整改要求</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4CAFB9EE694E42C58520A5F919200596</vt:lpwstr>
  </property>
</Properties>
</file>