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p>
    <w:p>
      <w:pPr>
        <w:jc w:val="center"/>
        <w:rPr>
          <w:rFonts w:ascii="宋体" w:hAnsi="宋体" w:eastAsia="宋体" w:cs="宋体"/>
          <w:b/>
          <w:sz w:val="44"/>
          <w:szCs w:val="44"/>
        </w:rPr>
      </w:pPr>
      <w:r>
        <w:rPr>
          <w:rFonts w:hint="eastAsia" w:ascii="宋体" w:hAnsi="宋体" w:eastAsia="宋体" w:cs="宋体"/>
          <w:b/>
          <w:sz w:val="44"/>
          <w:szCs w:val="44"/>
        </w:rPr>
        <w:t>中国共产党成安县委员会党校</w:t>
      </w:r>
    </w:p>
    <w:p>
      <w:pPr>
        <w:jc w:val="center"/>
        <w:rPr>
          <w:rFonts w:ascii="宋体" w:hAnsi="宋体" w:eastAsia="宋体" w:cs="宋体"/>
          <w:sz w:val="44"/>
          <w:szCs w:val="44"/>
        </w:rPr>
      </w:pPr>
      <w:r>
        <w:rPr>
          <w:rFonts w:hint="eastAsia" w:ascii="宋体" w:hAnsi="宋体" w:eastAsia="宋体" w:cs="宋体"/>
          <w:b/>
          <w:sz w:val="44"/>
          <w:szCs w:val="44"/>
        </w:rPr>
        <w:t>2020年部门预算公开情况说明</w:t>
      </w:r>
    </w:p>
    <w:p>
      <w:pPr>
        <w:ind w:firstLine="640" w:firstLineChars="200"/>
        <w:rPr>
          <w:rFonts w:hint="eastAsia" w:ascii="仿宋" w:hAnsi="仿宋" w:eastAsia="仿宋" w:cs="仿宋_GB2312"/>
          <w:sz w:val="32"/>
          <w:szCs w:val="32"/>
        </w:rPr>
      </w:pPr>
    </w:p>
    <w:p>
      <w:pPr>
        <w:ind w:firstLine="640" w:firstLineChars="200"/>
        <w:rPr>
          <w:rFonts w:ascii="仿宋" w:hAnsi="仿宋" w:eastAsia="仿宋" w:cs="黑体"/>
          <w:sz w:val="32"/>
          <w:szCs w:val="32"/>
        </w:rPr>
      </w:pPr>
      <w:r>
        <w:rPr>
          <w:rFonts w:ascii="仿宋" w:hAnsi="仿宋" w:eastAsia="仿宋" w:cs="仿宋_GB2312"/>
          <w:sz w:val="32"/>
          <w:szCs w:val="32"/>
        </w:rPr>
        <w:t>按照《预算法》有关规定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中国共产党成安县委员会党校</w:t>
      </w:r>
      <w:r>
        <w:rPr>
          <w:rFonts w:ascii="仿宋" w:hAnsi="仿宋" w:eastAsia="仿宋" w:cs="仿宋_GB2312"/>
          <w:kern w:val="0"/>
          <w:sz w:val="32"/>
          <w:szCs w:val="32"/>
        </w:rPr>
        <w:t>20</w:t>
      </w:r>
      <w:r>
        <w:rPr>
          <w:rFonts w:hint="eastAsia" w:ascii="仿宋" w:hAnsi="仿宋" w:eastAsia="仿宋" w:cs="仿宋_GB2312"/>
          <w:kern w:val="0"/>
          <w:sz w:val="32"/>
          <w:szCs w:val="32"/>
        </w:rPr>
        <w:t>20</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pStyle w:val="5"/>
        <w:widowControl/>
        <w:spacing w:before="100" w:after="100" w:line="360" w:lineRule="auto"/>
        <w:ind w:firstLine="640" w:firstLineChars="200"/>
        <w:jc w:val="left"/>
      </w:pPr>
      <w:r>
        <w:rPr>
          <w:rFonts w:hint="eastAsia" w:ascii="黑体" w:hAnsi="黑体" w:eastAsia="黑体" w:cs="黑体"/>
          <w:bCs/>
          <w:sz w:val="32"/>
          <w:szCs w:val="32"/>
        </w:rPr>
        <w:t>一、部门职责及机构设置情况</w:t>
      </w:r>
    </w:p>
    <w:p>
      <w:pPr>
        <w:pStyle w:val="5"/>
        <w:widowControl/>
        <w:spacing w:before="100" w:after="100" w:line="360" w:lineRule="auto"/>
        <w:ind w:firstLine="627"/>
        <w:jc w:val="left"/>
        <w:rPr>
          <w:rFonts w:ascii="楷体" w:hAnsi="楷体" w:eastAsia="楷体" w:cs="楷体"/>
          <w:b/>
          <w:sz w:val="32"/>
          <w:szCs w:val="32"/>
        </w:rPr>
      </w:pPr>
      <w:r>
        <w:rPr>
          <w:rFonts w:hint="eastAsia" w:ascii="楷体" w:hAnsi="楷体" w:eastAsia="楷体" w:cs="楷体"/>
          <w:b/>
          <w:sz w:val="32"/>
          <w:szCs w:val="32"/>
        </w:rPr>
        <w:t>部门职责</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人员编制17名，其中领导职数4个。</w:t>
      </w:r>
    </w:p>
    <w:p>
      <w:pPr>
        <w:pStyle w:val="5"/>
        <w:widowControl/>
        <w:spacing w:line="360" w:lineRule="auto"/>
        <w:ind w:firstLine="643" w:firstLineChars="200"/>
        <w:jc w:val="left"/>
        <w:rPr>
          <w:rFonts w:ascii="楷体" w:hAnsi="楷体" w:eastAsia="楷体" w:cs="楷体"/>
          <w:b/>
          <w:sz w:val="32"/>
          <w:szCs w:val="32"/>
        </w:rPr>
      </w:pPr>
      <w:r>
        <w:rPr>
          <w:rFonts w:hint="eastAsia" w:ascii="楷体" w:hAnsi="楷体" w:eastAsia="楷体" w:cs="楷体"/>
          <w:b/>
          <w:sz w:val="32"/>
          <w:szCs w:val="32"/>
        </w:rPr>
        <w:t>机构设置：</w:t>
      </w:r>
    </w:p>
    <w:p>
      <w:pPr>
        <w:pStyle w:val="5"/>
        <w:widowControl/>
        <w:spacing w:line="360" w:lineRule="auto"/>
        <w:ind w:firstLine="642"/>
        <w:jc w:val="center"/>
        <w:rPr>
          <w:rFonts w:ascii="仿宋" w:hAnsi="仿宋" w:eastAsia="仿宋" w:cs="仿宋"/>
          <w:b/>
          <w:sz w:val="32"/>
          <w:szCs w:val="32"/>
        </w:rPr>
      </w:pPr>
      <w:r>
        <w:rPr>
          <w:rFonts w:hint="eastAsia" w:ascii="仿宋" w:hAnsi="仿宋" w:eastAsia="仿宋" w:cs="仿宋"/>
          <w:b/>
          <w:sz w:val="32"/>
          <w:szCs w:val="32"/>
        </w:rPr>
        <w:t>部门机构设置情况</w:t>
      </w:r>
    </w:p>
    <w:tbl>
      <w:tblPr>
        <w:tblStyle w:val="8"/>
        <w:tblW w:w="13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1"/>
        <w:gridCol w:w="1646"/>
        <w:gridCol w:w="1894"/>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5081"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单位名称</w:t>
            </w:r>
          </w:p>
        </w:tc>
        <w:tc>
          <w:tcPr>
            <w:tcW w:w="1646"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单位性质</w:t>
            </w:r>
          </w:p>
        </w:tc>
        <w:tc>
          <w:tcPr>
            <w:tcW w:w="1894"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单位规格</w:t>
            </w:r>
          </w:p>
        </w:tc>
        <w:tc>
          <w:tcPr>
            <w:tcW w:w="4539" w:type="dxa"/>
          </w:tcPr>
          <w:p>
            <w:pPr>
              <w:pStyle w:val="5"/>
              <w:widowControl/>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5081" w:type="dxa"/>
          </w:tcPr>
          <w:p>
            <w:pPr>
              <w:pStyle w:val="5"/>
              <w:widowControl/>
              <w:jc w:val="center"/>
              <w:rPr>
                <w:rFonts w:ascii="仿宋" w:hAnsi="仿宋" w:eastAsia="仿宋" w:cs="仿宋"/>
                <w:sz w:val="32"/>
                <w:szCs w:val="32"/>
              </w:rPr>
            </w:pPr>
            <w:r>
              <w:rPr>
                <w:rFonts w:hint="eastAsia" w:ascii="仿宋" w:hAnsi="仿宋" w:eastAsia="仿宋" w:cs="仿宋"/>
                <w:sz w:val="32"/>
                <w:szCs w:val="32"/>
              </w:rPr>
              <w:t>中国共产党成安县委员会党校机关</w:t>
            </w:r>
          </w:p>
        </w:tc>
        <w:tc>
          <w:tcPr>
            <w:tcW w:w="1646" w:type="dxa"/>
          </w:tcPr>
          <w:p>
            <w:pPr>
              <w:pStyle w:val="5"/>
              <w:widowControl/>
              <w:jc w:val="center"/>
              <w:rPr>
                <w:rFonts w:ascii="仿宋" w:hAnsi="仿宋" w:eastAsia="仿宋" w:cs="仿宋"/>
                <w:sz w:val="32"/>
                <w:szCs w:val="32"/>
              </w:rPr>
            </w:pPr>
            <w:r>
              <w:rPr>
                <w:rFonts w:hint="eastAsia" w:ascii="仿宋" w:hAnsi="仿宋" w:eastAsia="仿宋" w:cs="仿宋"/>
                <w:sz w:val="32"/>
                <w:szCs w:val="32"/>
              </w:rPr>
              <w:t>事业</w:t>
            </w:r>
          </w:p>
        </w:tc>
        <w:tc>
          <w:tcPr>
            <w:tcW w:w="1894" w:type="dxa"/>
          </w:tcPr>
          <w:p>
            <w:pPr>
              <w:pStyle w:val="5"/>
              <w:widowControl/>
              <w:jc w:val="center"/>
              <w:rPr>
                <w:rFonts w:ascii="仿宋" w:hAnsi="仿宋" w:eastAsia="仿宋" w:cs="仿宋"/>
                <w:sz w:val="32"/>
                <w:szCs w:val="32"/>
              </w:rPr>
            </w:pPr>
            <w:r>
              <w:rPr>
                <w:rFonts w:hint="eastAsia" w:ascii="仿宋" w:hAnsi="仿宋" w:eastAsia="仿宋" w:cs="仿宋"/>
                <w:sz w:val="32"/>
                <w:szCs w:val="32"/>
              </w:rPr>
              <w:t>正科级</w:t>
            </w:r>
          </w:p>
        </w:tc>
        <w:tc>
          <w:tcPr>
            <w:tcW w:w="4539" w:type="dxa"/>
          </w:tcPr>
          <w:p>
            <w:pPr>
              <w:pStyle w:val="5"/>
              <w:widowControl/>
              <w:jc w:val="center"/>
              <w:rPr>
                <w:rFonts w:ascii="仿宋" w:hAnsi="仿宋" w:eastAsia="仿宋" w:cs="仿宋"/>
                <w:sz w:val="32"/>
                <w:szCs w:val="32"/>
              </w:rPr>
            </w:pPr>
            <w:r>
              <w:rPr>
                <w:rFonts w:hint="eastAsia" w:ascii="仿宋" w:hAnsi="仿宋" w:eastAsia="仿宋" w:cs="仿宋"/>
                <w:sz w:val="32"/>
                <w:szCs w:val="32"/>
              </w:rPr>
              <w:t>财政拨款</w:t>
            </w:r>
          </w:p>
        </w:tc>
      </w:tr>
    </w:tbl>
    <w:p>
      <w:pPr>
        <w:pStyle w:val="5"/>
        <w:widowControl/>
        <w:ind w:firstLine="640" w:firstLineChars="200"/>
        <w:jc w:val="left"/>
      </w:pPr>
      <w:r>
        <w:rPr>
          <w:rFonts w:hint="eastAsia" w:ascii="仿宋" w:hAnsi="仿宋" w:eastAsia="仿宋" w:cs="仿宋"/>
          <w:sz w:val="32"/>
          <w:szCs w:val="32"/>
        </w:rPr>
        <w:t>根据上述职责，中国共产党成安县委员会党校机关内设3个科室。</w:t>
      </w:r>
    </w:p>
    <w:p>
      <w:pPr>
        <w:pStyle w:val="5"/>
        <w:widowControl/>
        <w:ind w:firstLine="640"/>
        <w:jc w:val="left"/>
      </w:pPr>
      <w:r>
        <w:rPr>
          <w:rFonts w:hint="eastAsia" w:ascii="楷体" w:hAnsi="楷体" w:eastAsia="楷体" w:cs="楷体"/>
          <w:b/>
          <w:sz w:val="32"/>
          <w:szCs w:val="32"/>
        </w:rPr>
        <w:t>办公室（</w:t>
      </w:r>
      <w:r>
        <w:rPr>
          <w:rFonts w:hint="eastAsia" w:ascii="楷体" w:hAnsi="楷体" w:eastAsia="楷体" w:cs="楷体"/>
          <w:b/>
          <w:bCs/>
          <w:sz w:val="32"/>
          <w:szCs w:val="32"/>
        </w:rPr>
        <w:t>中国共产党成安县委员会党校</w:t>
      </w:r>
      <w:r>
        <w:rPr>
          <w:rFonts w:hint="eastAsia" w:ascii="楷体" w:hAnsi="楷体" w:eastAsia="楷体" w:cs="楷体"/>
          <w:b/>
          <w:sz w:val="32"/>
          <w:szCs w:val="32"/>
        </w:rPr>
        <w:t>办公室）：</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sz w:val="32"/>
          <w:szCs w:val="32"/>
        </w:rPr>
        <w:t>有计划地轮训和培训全县各级党政领导干部和理论骨干，负责对学员在党校学习期间的表现进行考核。</w:t>
      </w:r>
    </w:p>
    <w:p>
      <w:pPr>
        <w:pStyle w:val="5"/>
        <w:widowControl/>
        <w:ind w:firstLine="640"/>
        <w:jc w:val="left"/>
        <w:rPr>
          <w:rFonts w:ascii="楷体" w:hAnsi="楷体" w:eastAsia="楷体" w:cs="楷体"/>
        </w:rPr>
      </w:pPr>
      <w:r>
        <w:rPr>
          <w:rFonts w:hint="eastAsia" w:ascii="楷体" w:hAnsi="楷体" w:eastAsia="楷体" w:cs="楷体"/>
          <w:b/>
          <w:sz w:val="32"/>
          <w:szCs w:val="32"/>
        </w:rPr>
        <w:t>教研室：</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pStyle w:val="5"/>
        <w:widowControl/>
        <w:spacing w:line="360" w:lineRule="auto"/>
        <w:ind w:firstLine="630"/>
        <w:jc w:val="left"/>
        <w:rPr>
          <w:b/>
        </w:rPr>
      </w:pPr>
      <w:r>
        <w:rPr>
          <w:rFonts w:hint="eastAsia" w:ascii="仿宋" w:hAnsi="仿宋" w:eastAsia="仿宋" w:cs="仿宋"/>
          <w:b/>
          <w:sz w:val="32"/>
          <w:szCs w:val="32"/>
        </w:rPr>
        <w:t>总务处：</w:t>
      </w:r>
    </w:p>
    <w:p>
      <w:pPr>
        <w:pStyle w:val="5"/>
        <w:widowControl/>
        <w:spacing w:line="360" w:lineRule="auto"/>
        <w:ind w:firstLine="640"/>
        <w:jc w:val="left"/>
      </w:pPr>
      <w:r>
        <w:rPr>
          <w:rFonts w:hint="eastAsia" w:ascii="仿宋" w:hAnsi="仿宋" w:eastAsia="仿宋" w:cs="仿宋"/>
          <w:sz w:val="32"/>
          <w:szCs w:val="32"/>
        </w:rPr>
        <w:t>主要负责财务工作。</w:t>
      </w:r>
    </w:p>
    <w:p>
      <w:pPr>
        <w:pStyle w:val="5"/>
        <w:widowControl/>
        <w:spacing w:line="360" w:lineRule="auto"/>
        <w:ind w:firstLine="640" w:firstLineChars="200"/>
        <w:jc w:val="left"/>
        <w:rPr>
          <w:rFonts w:ascii="仿宋" w:hAnsi="仿宋" w:eastAsia="仿宋" w:cs="仿宋"/>
          <w:b/>
          <w:sz w:val="32"/>
          <w:szCs w:val="32"/>
        </w:rPr>
      </w:pPr>
      <w:r>
        <w:rPr>
          <w:rFonts w:hint="eastAsia" w:ascii="黑体" w:hAnsi="黑体" w:eastAsia="黑体" w:cs="黑体"/>
          <w:bCs/>
          <w:sz w:val="32"/>
          <w:szCs w:val="32"/>
        </w:rPr>
        <w:t>二、部门预算安排的总体情况</w:t>
      </w:r>
    </w:p>
    <w:p>
      <w:pPr>
        <w:ind w:firstLine="640"/>
        <w:rPr>
          <w:rFonts w:ascii="仿宋" w:hAnsi="仿宋" w:eastAsia="仿宋" w:cs="仿宋"/>
          <w:b/>
          <w:bCs/>
          <w:sz w:val="32"/>
          <w:szCs w:val="32"/>
        </w:rPr>
      </w:pPr>
      <w:r>
        <w:rPr>
          <w:rFonts w:hint="eastAsia" w:ascii="仿宋" w:hAnsi="仿宋" w:eastAsia="仿宋" w:cs="仿宋"/>
          <w:sz w:val="32"/>
          <w:szCs w:val="32"/>
        </w:rPr>
        <w:t>按照预算管理有关规定，目前部门预算的编制实行综合预算制度，即全部收入和支出都反映的预算中。所属事业单位的收支包含在部门预算中。</w:t>
      </w:r>
    </w:p>
    <w:p>
      <w:pPr>
        <w:pStyle w:val="5"/>
        <w:widowControl/>
        <w:spacing w:line="360" w:lineRule="auto"/>
        <w:ind w:firstLine="630" w:firstLineChars="196"/>
        <w:jc w:val="left"/>
        <w:rPr>
          <w:rFonts w:ascii="仿宋" w:hAnsi="仿宋" w:eastAsia="仿宋" w:cs="仿宋"/>
          <w:b/>
          <w:sz w:val="32"/>
          <w:szCs w:val="32"/>
        </w:rPr>
      </w:pPr>
      <w:r>
        <w:rPr>
          <w:rFonts w:hint="eastAsia" w:ascii="楷体" w:hAnsi="楷体" w:eastAsia="楷体" w:cs="楷体"/>
          <w:b/>
          <w:sz w:val="32"/>
          <w:szCs w:val="32"/>
        </w:rPr>
        <w:t>1、收入说明</w:t>
      </w:r>
    </w:p>
    <w:p>
      <w:pPr>
        <w:pStyle w:val="5"/>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2020年预算收入284.33万元，其中：一般公共预算收入284.33万元，政府性基金收入0万元，国有资本经营收入0万元，事业收入0万元，其他收入0万元。</w:t>
      </w:r>
    </w:p>
    <w:p>
      <w:pPr>
        <w:pStyle w:val="5"/>
        <w:widowControl/>
        <w:spacing w:line="360" w:lineRule="auto"/>
        <w:ind w:firstLine="643" w:firstLineChars="200"/>
        <w:jc w:val="left"/>
        <w:rPr>
          <w:rFonts w:ascii="仿宋" w:hAnsi="仿宋" w:eastAsia="仿宋" w:cs="仿宋"/>
          <w:sz w:val="32"/>
          <w:szCs w:val="32"/>
        </w:rPr>
      </w:pPr>
      <w:r>
        <w:rPr>
          <w:rFonts w:hint="eastAsia" w:ascii="楷体" w:hAnsi="楷体" w:eastAsia="楷体" w:cs="楷体"/>
          <w:b/>
          <w:sz w:val="32"/>
          <w:szCs w:val="32"/>
        </w:rPr>
        <w:t>2、支出说明</w:t>
      </w:r>
    </w:p>
    <w:p>
      <w:pPr>
        <w:pStyle w:val="5"/>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2020年支出预算284.33万元，其中：基本支出284.33万元，包括人员经费支出273.39万元，日常公用经费10.94万元。</w:t>
      </w:r>
    </w:p>
    <w:p>
      <w:pPr>
        <w:rPr>
          <w:rFonts w:ascii="楷体" w:hAnsi="楷体" w:eastAsia="楷体" w:cs="楷体"/>
          <w:b/>
          <w:bCs/>
          <w:sz w:val="32"/>
          <w:szCs w:val="32"/>
        </w:rPr>
      </w:pPr>
      <w:r>
        <w:rPr>
          <w:rFonts w:hint="eastAsia" w:ascii="楷体" w:hAnsi="楷体" w:eastAsia="楷体" w:cs="楷体"/>
          <w:b/>
          <w:bCs/>
          <w:sz w:val="32"/>
          <w:szCs w:val="32"/>
        </w:rPr>
        <w:t xml:space="preserve">     3、比上年增减情况</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rPr>
        <w:t xml:space="preserve"> 2020年预算收支安排284.33万元，较2019年增加9.68万元，其中：基本支出增加9.68万元，</w:t>
      </w:r>
      <w:r>
        <w:rPr>
          <w:rFonts w:hint="eastAsia" w:ascii="仿宋" w:hAnsi="仿宋" w:eastAsia="仿宋" w:cs="仿宋_GB2312"/>
          <w:kern w:val="0"/>
          <w:sz w:val="32"/>
          <w:szCs w:val="32"/>
        </w:rPr>
        <w:t>主要是2020年对机关事业单位正常调资资金</w:t>
      </w:r>
      <w:r>
        <w:rPr>
          <w:rFonts w:ascii="仿宋" w:hAnsi="仿宋" w:eastAsia="仿宋" w:cs="Calibri"/>
          <w:kern w:val="0"/>
          <w:sz w:val="32"/>
          <w:szCs w:val="32"/>
        </w:rPr>
        <w:t>。</w:t>
      </w:r>
    </w:p>
    <w:p>
      <w:pPr>
        <w:pStyle w:val="5"/>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pStyle w:val="5"/>
        <w:widowControl/>
        <w:spacing w:before="100" w:after="100"/>
        <w:ind w:firstLine="640"/>
        <w:jc w:val="left"/>
        <w:rPr>
          <w:rFonts w:ascii="仿宋" w:hAnsi="仿宋" w:eastAsia="仿宋" w:cs="仿宋"/>
          <w:sz w:val="32"/>
          <w:szCs w:val="32"/>
        </w:rPr>
      </w:pPr>
      <w:r>
        <w:rPr>
          <w:rFonts w:hint="eastAsia" w:ascii="仿宋" w:hAnsi="仿宋" w:eastAsia="仿宋" w:cs="仿宋"/>
          <w:sz w:val="32"/>
          <w:szCs w:val="32"/>
        </w:rPr>
        <w:t>2020年，我单位安排机关运行费10.94万元，主要用于办公费、差旅费、公车运行费、印刷费、电话费、培训费、公务接待费、公务交通补贴等日常运行支出。</w:t>
      </w:r>
    </w:p>
    <w:p>
      <w:pPr>
        <w:autoSpaceDE w:val="0"/>
        <w:autoSpaceDN w:val="0"/>
        <w:adjustRightInd w:val="0"/>
        <w:ind w:firstLine="64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2020年，我单位“三公”经费预算安排1万元，其中因公出国（境）费0万元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2019年相比持平；</w:t>
      </w:r>
      <w:r>
        <w:rPr>
          <w:rFonts w:hint="eastAsia" w:ascii="仿宋" w:hAnsi="仿宋" w:eastAsia="仿宋" w:cs="仿宋"/>
          <w:sz w:val="32"/>
          <w:szCs w:val="32"/>
        </w:rPr>
        <w:t>公务用车购置及运维费1万元（其中：公务用车购置费为0万元，公务用车运行费1万元)</w:t>
      </w:r>
      <w:r>
        <w:rPr>
          <w:rFonts w:hint="eastAsia" w:ascii="仿宋" w:hAnsi="仿宋" w:eastAsia="仿宋" w:cs="仿宋"/>
          <w:sz w:val="32"/>
          <w:szCs w:val="32"/>
          <w:lang w:eastAsia="zh-CN"/>
        </w:rPr>
        <w:t>，与</w:t>
      </w:r>
      <w:r>
        <w:rPr>
          <w:rFonts w:hint="eastAsia" w:ascii="仿宋" w:hAnsi="仿宋" w:eastAsia="仿宋" w:cs="仿宋"/>
          <w:sz w:val="32"/>
          <w:szCs w:val="32"/>
        </w:rPr>
        <w:t>2019年减少28.57%，主要原因是</w:t>
      </w:r>
      <w:r>
        <w:rPr>
          <w:rFonts w:hint="eastAsia" w:ascii="仿宋" w:hAnsi="仿宋" w:eastAsia="仿宋" w:cs="仿宋"/>
          <w:kern w:val="0"/>
          <w:sz w:val="32"/>
          <w:szCs w:val="32"/>
        </w:rPr>
        <w:t>车改以后单位实施节约制度，油修费预算减少</w:t>
      </w:r>
      <w:r>
        <w:rPr>
          <w:rFonts w:hint="eastAsia" w:ascii="仿宋" w:hAnsi="仿宋" w:eastAsia="仿宋" w:cs="仿宋"/>
          <w:sz w:val="32"/>
          <w:szCs w:val="32"/>
          <w:lang w:eastAsia="zh-CN"/>
        </w:rPr>
        <w:t>；</w:t>
      </w:r>
      <w:r>
        <w:rPr>
          <w:rFonts w:hint="eastAsia" w:ascii="仿宋" w:hAnsi="仿宋" w:eastAsia="仿宋" w:cs="仿宋"/>
          <w:sz w:val="32"/>
          <w:szCs w:val="32"/>
        </w:rPr>
        <w:t>公务接待费0元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2019年相比持平。</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ind w:firstLine="643" w:firstLineChars="200"/>
        <w:jc w:val="left"/>
        <w:rPr>
          <w:rFonts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总体绩效目标：</w:t>
      </w:r>
    </w:p>
    <w:p>
      <w:pPr>
        <w:ind w:firstLine="560"/>
        <w:rPr>
          <w:rFonts w:ascii="仿宋" w:hAnsi="仿宋" w:eastAsia="仿宋" w:cs="仿宋"/>
          <w:sz w:val="32"/>
          <w:szCs w:val="32"/>
        </w:rPr>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pPr>
        <w:ind w:firstLine="630" w:firstLineChars="196"/>
        <w:jc w:val="left"/>
        <w:rPr>
          <w:rFonts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职责分</w:t>
      </w:r>
      <w:r>
        <w:rPr>
          <w:rFonts w:hint="eastAsia" w:ascii="楷体" w:hAnsi="楷体" w:eastAsia="楷体" w:cs="楷体"/>
          <w:b/>
          <w:sz w:val="32"/>
          <w:szCs w:val="32"/>
          <w:lang w:eastAsia="zh-CN"/>
        </w:rPr>
        <w:t>项</w:t>
      </w:r>
      <w:r>
        <w:rPr>
          <w:rFonts w:hint="eastAsia" w:ascii="楷体" w:hAnsi="楷体" w:eastAsia="楷体" w:cs="楷体"/>
          <w:b/>
          <w:sz w:val="32"/>
          <w:szCs w:val="32"/>
        </w:rPr>
        <w:t>绩效目标：</w:t>
      </w:r>
    </w:p>
    <w:p>
      <w:pPr>
        <w:ind w:firstLine="560"/>
        <w:rPr>
          <w:rFonts w:ascii="仿宋" w:hAnsi="仿宋" w:eastAsia="仿宋" w:cs="仿宋"/>
          <w:sz w:val="32"/>
          <w:szCs w:val="32"/>
        </w:rPr>
      </w:pPr>
      <w:r>
        <w:rPr>
          <w:rFonts w:hint="eastAsia" w:ascii="仿宋" w:hAnsi="仿宋" w:eastAsia="仿宋" w:cs="仿宋"/>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ind w:firstLine="560"/>
        <w:rPr>
          <w:rFonts w:ascii="仿宋" w:hAnsi="仿宋" w:eastAsia="仿宋" w:cs="仿宋"/>
          <w:sz w:val="32"/>
          <w:szCs w:val="32"/>
        </w:rPr>
      </w:pPr>
      <w:r>
        <w:rPr>
          <w:rFonts w:hint="eastAsia" w:ascii="仿宋" w:hAnsi="仿宋" w:eastAsia="仿宋" w:cs="仿宋"/>
          <w:sz w:val="32"/>
          <w:szCs w:val="32"/>
        </w:rPr>
        <w:t>通过外请专家、学者授课，开拓学员思路；通过开展现场教学、情景模拟教学、案例教学、特色教学，有效提高培训质量，提高学员解决实际问题的能力。</w:t>
      </w:r>
    </w:p>
    <w:p>
      <w:pPr>
        <w:ind w:firstLine="630" w:firstLineChars="196"/>
        <w:jc w:val="left"/>
        <w:rPr>
          <w:rFonts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实现年度发展规划</w:t>
      </w:r>
      <w:r>
        <w:rPr>
          <w:rFonts w:hint="eastAsia" w:ascii="楷体" w:hAnsi="楷体" w:eastAsia="楷体" w:cs="楷体"/>
          <w:b/>
          <w:bCs/>
          <w:sz w:val="32"/>
          <w:szCs w:val="32"/>
          <w:lang w:eastAsia="zh-CN"/>
        </w:rPr>
        <w:t>工作</w:t>
      </w:r>
      <w:r>
        <w:rPr>
          <w:rFonts w:hint="eastAsia" w:ascii="楷体" w:hAnsi="楷体" w:eastAsia="楷体" w:cs="楷体"/>
          <w:b/>
          <w:bCs/>
          <w:sz w:val="32"/>
          <w:szCs w:val="32"/>
        </w:rPr>
        <w:t>保障措施</w:t>
      </w:r>
    </w:p>
    <w:p>
      <w:pPr>
        <w:ind w:firstLine="56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培训教育</w:t>
      </w:r>
      <w:r>
        <w:rPr>
          <w:rFonts w:hint="eastAsia" w:ascii="仿宋" w:hAnsi="仿宋" w:eastAsia="仿宋" w:cs="仿宋"/>
          <w:sz w:val="32"/>
          <w:szCs w:val="32"/>
        </w:rPr>
        <w:t>：</w:t>
      </w:r>
    </w:p>
    <w:p>
      <w:pPr>
        <w:ind w:firstLine="560"/>
        <w:rPr>
          <w:rFonts w:ascii="仿宋" w:hAnsi="仿宋" w:eastAsia="仿宋" w:cs="仿宋"/>
          <w:sz w:val="32"/>
          <w:szCs w:val="32"/>
        </w:rPr>
      </w:pPr>
      <w:r>
        <w:rPr>
          <w:rFonts w:hint="eastAsia" w:ascii="仿宋" w:hAnsi="仿宋" w:eastAsia="仿宋" w:cs="仿宋"/>
          <w:sz w:val="32"/>
          <w:szCs w:val="32"/>
        </w:rPr>
        <w:t>积极按规定完成各项工作的申报，及时向各相关部门报送报告资料。</w:t>
      </w:r>
    </w:p>
    <w:p>
      <w:pPr>
        <w:numPr>
          <w:ilvl w:val="0"/>
          <w:numId w:val="1"/>
        </w:numPr>
        <w:ind w:firstLine="560"/>
        <w:rPr>
          <w:rFonts w:ascii="仿宋" w:hAnsi="仿宋" w:eastAsia="仿宋" w:cs="仿宋"/>
          <w:sz w:val="32"/>
          <w:szCs w:val="32"/>
        </w:rPr>
      </w:pPr>
      <w:r>
        <w:rPr>
          <w:rFonts w:hint="eastAsia" w:ascii="仿宋" w:hAnsi="仿宋" w:eastAsia="仿宋" w:cs="仿宋"/>
          <w:bCs/>
          <w:sz w:val="32"/>
          <w:szCs w:val="32"/>
        </w:rPr>
        <w:t>组织培训班</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7"/>
        <w:gridCol w:w="1870"/>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hint="eastAsia" w:ascii="仿宋" w:hAnsi="仿宋" w:eastAsia="仿宋" w:cs="仿宋"/>
                <w:sz w:val="24"/>
              </w:rPr>
              <w:t>281中国共产党成安县委员会党校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747"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职责活动</w:t>
            </w:r>
          </w:p>
        </w:tc>
        <w:tc>
          <w:tcPr>
            <w:tcW w:w="1870"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年度预算数</w:t>
            </w:r>
          </w:p>
        </w:tc>
        <w:tc>
          <w:tcPr>
            <w:tcW w:w="2976"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内容描述</w:t>
            </w:r>
          </w:p>
        </w:tc>
        <w:tc>
          <w:tcPr>
            <w:tcW w:w="2976"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绩效目标</w:t>
            </w:r>
          </w:p>
        </w:tc>
        <w:tc>
          <w:tcPr>
            <w:tcW w:w="1417" w:type="dxa"/>
            <w:vMerge w:val="restart"/>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绩效指标</w:t>
            </w:r>
          </w:p>
        </w:tc>
        <w:tc>
          <w:tcPr>
            <w:tcW w:w="2948" w:type="dxa"/>
            <w:gridSpan w:val="4"/>
            <w:shd w:val="clear" w:color="auto" w:fill="auto"/>
            <w:vAlign w:val="center"/>
          </w:tcPr>
          <w:p>
            <w:pPr>
              <w:spacing w:line="300" w:lineRule="exact"/>
              <w:ind w:firstLine="482" w:firstLineChars="200"/>
              <w:jc w:val="center"/>
              <w:rPr>
                <w:rFonts w:ascii="仿宋" w:hAnsi="仿宋" w:eastAsia="仿宋" w:cs="仿宋"/>
                <w:b/>
                <w:sz w:val="24"/>
              </w:rPr>
            </w:pPr>
            <w:r>
              <w:rPr>
                <w:rFonts w:hint="eastAsia" w:ascii="仿宋" w:hAnsi="仿宋" w:eastAsia="仿宋" w:cs="仿宋"/>
                <w:b/>
                <w:sz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747" w:type="dxa"/>
            <w:vMerge w:val="continue"/>
            <w:shd w:val="clear" w:color="auto" w:fill="auto"/>
            <w:vAlign w:val="center"/>
          </w:tcPr>
          <w:p>
            <w:pPr>
              <w:spacing w:line="300" w:lineRule="exact"/>
              <w:ind w:firstLine="480" w:firstLineChars="200"/>
              <w:jc w:val="center"/>
              <w:outlineLvl w:val="0"/>
              <w:rPr>
                <w:rFonts w:ascii="仿宋" w:hAnsi="仿宋" w:eastAsia="仿宋" w:cs="仿宋"/>
                <w:sz w:val="24"/>
              </w:rPr>
            </w:pPr>
          </w:p>
        </w:tc>
        <w:tc>
          <w:tcPr>
            <w:tcW w:w="1870"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2976"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2976"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1417"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737" w:type="dxa"/>
            <w:shd w:val="clear" w:color="auto" w:fill="auto"/>
            <w:vAlign w:val="center"/>
          </w:tcPr>
          <w:p>
            <w:pPr>
              <w:spacing w:line="300" w:lineRule="exact"/>
              <w:jc w:val="left"/>
              <w:rPr>
                <w:rFonts w:ascii="仿宋" w:hAnsi="仿宋" w:eastAsia="仿宋" w:cs="仿宋"/>
                <w:b/>
                <w:sz w:val="24"/>
              </w:rPr>
            </w:pPr>
            <w:r>
              <w:rPr>
                <w:rFonts w:hint="eastAsia" w:ascii="仿宋" w:hAnsi="仿宋" w:eastAsia="仿宋" w:cs="仿宋"/>
                <w:b/>
                <w:sz w:val="24"/>
              </w:rPr>
              <w:t>优</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良</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中</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45" w:hRule="atLeast"/>
          <w:jc w:val="center"/>
        </w:trPr>
        <w:tc>
          <w:tcPr>
            <w:tcW w:w="1747" w:type="dxa"/>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培训教育</w:t>
            </w:r>
          </w:p>
        </w:tc>
        <w:tc>
          <w:tcPr>
            <w:tcW w:w="1870"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165</w:t>
            </w:r>
          </w:p>
        </w:tc>
        <w:tc>
          <w:tcPr>
            <w:tcW w:w="2976"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根据县委、县政府有关要求，有计划地轮训和培训全县各级党政领导干部和理论骨干，负责对学员在党校学习期间的表现进行考核</w:t>
            </w:r>
          </w:p>
        </w:tc>
        <w:tc>
          <w:tcPr>
            <w:tcW w:w="2976"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培训任务完成率100%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100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90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60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0</w:t>
            </w:r>
            <w:r>
              <w:rPr>
                <w:rFonts w:hint="eastAsia" w:ascii="仿宋" w:hAnsi="仿宋" w:eastAsia="仿宋" w:cs="仿宋"/>
                <w:sz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45" w:hRule="atLeast"/>
          <w:jc w:val="center"/>
        </w:trPr>
        <w:tc>
          <w:tcPr>
            <w:tcW w:w="1747" w:type="dxa"/>
            <w:shd w:val="clear" w:color="auto" w:fill="auto"/>
            <w:vAlign w:val="center"/>
          </w:tcPr>
          <w:p>
            <w:pPr>
              <w:spacing w:line="300" w:lineRule="exact"/>
              <w:ind w:firstLine="241" w:firstLineChars="100"/>
              <w:jc w:val="left"/>
              <w:rPr>
                <w:rFonts w:ascii="仿宋" w:hAnsi="仿宋" w:eastAsia="仿宋" w:cs="仿宋"/>
                <w:b/>
                <w:sz w:val="24"/>
              </w:rPr>
            </w:pPr>
            <w:r>
              <w:rPr>
                <w:rFonts w:hint="eastAsia" w:ascii="仿宋" w:hAnsi="仿宋" w:eastAsia="仿宋" w:cs="仿宋"/>
                <w:b/>
                <w:sz w:val="24"/>
              </w:rPr>
              <w:t>组织培训班</w:t>
            </w:r>
          </w:p>
        </w:tc>
        <w:tc>
          <w:tcPr>
            <w:tcW w:w="1870"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37.58</w:t>
            </w:r>
          </w:p>
        </w:tc>
        <w:tc>
          <w:tcPr>
            <w:tcW w:w="2976"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根据县委组织部的干训计划，培训、轮训领导干部和理论骨干；受县委、县政府及有关职能部门委托，举办各种专题培训、研讨班。</w:t>
            </w:r>
          </w:p>
        </w:tc>
        <w:tc>
          <w:tcPr>
            <w:tcW w:w="2976"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学员教学满意率90%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100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90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60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rPr>
              <w:t>0</w:t>
            </w:r>
            <w:r>
              <w:rPr>
                <w:rFonts w:hint="eastAsia" w:ascii="仿宋" w:hAnsi="仿宋" w:eastAsia="仿宋" w:cs="仿宋"/>
                <w:sz w:val="24"/>
                <w:lang w:val="en-US" w:eastAsia="zh-CN"/>
              </w:rPr>
              <w:t>%</w:t>
            </w:r>
          </w:p>
        </w:tc>
      </w:tr>
    </w:tbl>
    <w:p>
      <w:pPr>
        <w:widowControl/>
        <w:spacing w:line="360" w:lineRule="auto"/>
        <w:ind w:firstLine="640" w:firstLineChars="200"/>
        <w:jc w:val="left"/>
        <w:rPr>
          <w:rFonts w:ascii="黑体" w:hAnsi="黑体" w:eastAsia="黑体" w:cs="黑体"/>
          <w:b/>
          <w:kern w:val="0"/>
          <w:sz w:val="32"/>
          <w:szCs w:val="32"/>
        </w:rPr>
      </w:pPr>
      <w:r>
        <w:rPr>
          <w:rFonts w:hint="eastAsia" w:ascii="黑体" w:hAnsi="黑体" w:eastAsia="黑体" w:cs="黑体"/>
          <w:kern w:val="0"/>
          <w:sz w:val="32"/>
          <w:szCs w:val="32"/>
        </w:rPr>
        <w:t>六、</w:t>
      </w:r>
      <w:r>
        <w:rPr>
          <w:rFonts w:hint="eastAsia" w:ascii="黑体" w:hAnsi="黑体" w:eastAsia="黑体" w:cs="黑体"/>
          <w:b/>
          <w:kern w:val="0"/>
          <w:sz w:val="32"/>
          <w:szCs w:val="32"/>
        </w:rPr>
        <w:t>政府采购预算情况</w:t>
      </w:r>
    </w:p>
    <w:p>
      <w:pPr>
        <w:widowControl/>
        <w:spacing w:line="360" w:lineRule="auto"/>
        <w:ind w:firstLine="640" w:firstLineChars="200"/>
        <w:jc w:val="left"/>
        <w:rPr>
          <w:rFonts w:ascii="仿宋_GB2312" w:hAnsi="微软雅黑" w:eastAsia="仿宋_GB2312" w:cs="仿宋_GB2312"/>
          <w:kern w:val="0"/>
          <w:sz w:val="32"/>
          <w:szCs w:val="32"/>
        </w:rPr>
      </w:pP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_GB2312" w:hAnsi="微软雅黑" w:eastAsia="仿宋_GB2312" w:cs="仿宋_GB2312"/>
          <w:kern w:val="0"/>
          <w:sz w:val="32"/>
          <w:szCs w:val="32"/>
        </w:rPr>
        <w:t>，结合我校实际。2020年我校政府采购事项为0.2万元。</w:t>
      </w:r>
    </w:p>
    <w:p>
      <w:pPr>
        <w:spacing w:line="560" w:lineRule="exact"/>
        <w:jc w:val="center"/>
        <w:outlineLvl w:val="0"/>
        <w:rPr>
          <w:rFonts w:ascii="宋体" w:hAnsi="宋体"/>
          <w:sz w:val="32"/>
          <w:szCs w:val="32"/>
        </w:rPr>
      </w:pPr>
      <w:r>
        <w:rPr>
          <w:rFonts w:hint="eastAsia" w:ascii="宋体" w:hAnsi="宋体" w:cs="方正小标宋_GBK"/>
          <w:sz w:val="32"/>
          <w:szCs w:val="32"/>
        </w:rPr>
        <w:t>部门政府采购预算</w:t>
      </w:r>
    </w:p>
    <w:tbl>
      <w:tblPr>
        <w:tblStyle w:val="7"/>
        <w:tblW w:w="13647" w:type="dxa"/>
        <w:tblInd w:w="4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992"/>
        <w:gridCol w:w="992"/>
        <w:gridCol w:w="851"/>
        <w:gridCol w:w="708"/>
        <w:gridCol w:w="851"/>
        <w:gridCol w:w="850"/>
        <w:gridCol w:w="993"/>
        <w:gridCol w:w="992"/>
        <w:gridCol w:w="1134"/>
        <w:gridCol w:w="1134"/>
        <w:gridCol w:w="992"/>
        <w:gridCol w:w="992"/>
        <w:gridCol w:w="9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trPr>
        <w:tc>
          <w:tcPr>
            <w:tcW w:w="6417"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sz w:val="24"/>
              </w:rPr>
            </w:pPr>
            <w:r>
              <w:rPr>
                <w:rFonts w:hint="eastAsia" w:ascii="宋体" w:hAnsi="宋体" w:cs="方正小标宋_GBK"/>
                <w:sz w:val="24"/>
              </w:rPr>
              <w:t>部门（单位）名称:</w:t>
            </w:r>
            <w:r>
              <w:rPr>
                <w:rFonts w:hint="eastAsia" w:ascii="宋体" w:hAnsi="宋体" w:eastAsia="宋体" w:cs="宋体"/>
                <w:kern w:val="0"/>
                <w:sz w:val="22"/>
                <w:szCs w:val="22"/>
              </w:rPr>
              <w:t>281中共成安县委党校</w:t>
            </w:r>
          </w:p>
        </w:tc>
        <w:tc>
          <w:tcPr>
            <w:tcW w:w="7230"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sz w:val="24"/>
              </w:rPr>
            </w:pPr>
            <w:r>
              <w:rPr>
                <w:rFonts w:hint="eastAsia" w:ascii="宋体" w:hAnsi="宋体"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5" w:hRule="atLeast"/>
          <w:tblHeader/>
        </w:trPr>
        <w:tc>
          <w:tcPr>
            <w:tcW w:w="2165" w:type="dxa"/>
            <w:gridSpan w:val="2"/>
            <w:vAlign w:val="center"/>
          </w:tcPr>
          <w:p>
            <w:pPr>
              <w:spacing w:line="360" w:lineRule="exact"/>
              <w:jc w:val="center"/>
              <w:rPr>
                <w:rFonts w:ascii="宋体" w:hAnsi="宋体"/>
                <w:bCs/>
              </w:rPr>
            </w:pPr>
            <w:r>
              <w:rPr>
                <w:rFonts w:hint="eastAsia" w:ascii="宋体" w:hAnsi="宋体" w:cs="方正书宋_GBK"/>
                <w:bCs/>
              </w:rPr>
              <w:t>政府采购项目来源</w:t>
            </w:r>
          </w:p>
        </w:tc>
        <w:tc>
          <w:tcPr>
            <w:tcW w:w="992" w:type="dxa"/>
            <w:vMerge w:val="restart"/>
            <w:vAlign w:val="center"/>
          </w:tcPr>
          <w:p>
            <w:pPr>
              <w:spacing w:line="260" w:lineRule="exact"/>
              <w:jc w:val="center"/>
              <w:rPr>
                <w:rFonts w:ascii="宋体" w:hAnsi="宋体"/>
                <w:bCs/>
              </w:rPr>
            </w:pPr>
            <w:r>
              <w:rPr>
                <w:rFonts w:hint="eastAsia" w:ascii="宋体" w:hAnsi="宋体" w:cs="方正书宋_GBK"/>
                <w:bCs/>
              </w:rPr>
              <w:t>采购物品名称</w:t>
            </w:r>
          </w:p>
        </w:tc>
        <w:tc>
          <w:tcPr>
            <w:tcW w:w="851" w:type="dxa"/>
            <w:vMerge w:val="restart"/>
            <w:vAlign w:val="center"/>
          </w:tcPr>
          <w:p>
            <w:pPr>
              <w:spacing w:line="260" w:lineRule="exact"/>
              <w:jc w:val="center"/>
              <w:rPr>
                <w:rFonts w:ascii="宋体" w:hAnsi="宋体"/>
                <w:bCs/>
              </w:rPr>
            </w:pPr>
            <w:r>
              <w:rPr>
                <w:rFonts w:hint="eastAsia" w:ascii="宋体" w:hAnsi="宋体" w:cs="方正书宋_GBK"/>
                <w:bCs/>
              </w:rPr>
              <w:t>政府采购目录序号</w:t>
            </w:r>
          </w:p>
        </w:tc>
        <w:tc>
          <w:tcPr>
            <w:tcW w:w="708" w:type="dxa"/>
            <w:vMerge w:val="restart"/>
            <w:vAlign w:val="center"/>
          </w:tcPr>
          <w:p>
            <w:pPr>
              <w:spacing w:line="260" w:lineRule="exact"/>
              <w:jc w:val="center"/>
              <w:rPr>
                <w:rFonts w:ascii="宋体" w:hAnsi="宋体"/>
                <w:bCs/>
              </w:rPr>
            </w:pPr>
            <w:r>
              <w:rPr>
                <w:rFonts w:hint="eastAsia" w:ascii="宋体" w:hAnsi="宋体" w:cs="方正书宋_GBK"/>
                <w:bCs/>
              </w:rPr>
              <w:t>数量单位</w:t>
            </w:r>
          </w:p>
        </w:tc>
        <w:tc>
          <w:tcPr>
            <w:tcW w:w="851" w:type="dxa"/>
            <w:vMerge w:val="restart"/>
            <w:vAlign w:val="center"/>
          </w:tcPr>
          <w:p>
            <w:pPr>
              <w:spacing w:line="260" w:lineRule="exact"/>
              <w:jc w:val="center"/>
              <w:rPr>
                <w:rFonts w:ascii="宋体" w:hAnsi="宋体"/>
                <w:bCs/>
              </w:rPr>
            </w:pPr>
            <w:r>
              <w:rPr>
                <w:rFonts w:hint="eastAsia" w:ascii="宋体" w:hAnsi="宋体" w:cs="方正书宋_GBK"/>
                <w:bCs/>
              </w:rPr>
              <w:t>数量</w:t>
            </w:r>
          </w:p>
        </w:tc>
        <w:tc>
          <w:tcPr>
            <w:tcW w:w="850" w:type="dxa"/>
            <w:vMerge w:val="restart"/>
            <w:vAlign w:val="center"/>
          </w:tcPr>
          <w:p>
            <w:pPr>
              <w:spacing w:line="260" w:lineRule="exact"/>
              <w:jc w:val="center"/>
              <w:rPr>
                <w:rFonts w:ascii="宋体" w:hAnsi="宋体"/>
                <w:bCs/>
              </w:rPr>
            </w:pPr>
            <w:r>
              <w:rPr>
                <w:rFonts w:hint="eastAsia" w:ascii="宋体" w:hAnsi="宋体" w:cs="方正书宋_GBK"/>
                <w:bCs/>
              </w:rPr>
              <w:t>单价</w:t>
            </w:r>
          </w:p>
        </w:tc>
        <w:tc>
          <w:tcPr>
            <w:tcW w:w="7230" w:type="dxa"/>
            <w:gridSpan w:val="7"/>
            <w:vAlign w:val="center"/>
          </w:tcPr>
          <w:p>
            <w:pPr>
              <w:spacing w:line="260" w:lineRule="exact"/>
              <w:jc w:val="center"/>
              <w:rPr>
                <w:rFonts w:ascii="宋体" w:hAnsi="宋体"/>
                <w:bCs/>
              </w:rPr>
            </w:pPr>
            <w:r>
              <w:rPr>
                <w:rFonts w:hint="eastAsia" w:ascii="宋体" w:hAnsi="宋体" w:cs="方正书宋_GBK"/>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5" w:hRule="atLeast"/>
          <w:tblHeader/>
        </w:trPr>
        <w:tc>
          <w:tcPr>
            <w:tcW w:w="1173" w:type="dxa"/>
            <w:vMerge w:val="restart"/>
            <w:vAlign w:val="center"/>
          </w:tcPr>
          <w:p>
            <w:pPr>
              <w:spacing w:line="560" w:lineRule="exact"/>
              <w:jc w:val="center"/>
              <w:rPr>
                <w:rFonts w:ascii="宋体" w:hAnsi="宋体"/>
                <w:bCs/>
              </w:rPr>
            </w:pPr>
            <w:r>
              <w:rPr>
                <w:rFonts w:hint="eastAsia" w:ascii="宋体" w:hAnsi="宋体" w:cs="方正书宋_GBK"/>
                <w:bCs/>
              </w:rPr>
              <w:t>项目名称</w:t>
            </w:r>
          </w:p>
        </w:tc>
        <w:tc>
          <w:tcPr>
            <w:tcW w:w="992" w:type="dxa"/>
            <w:vMerge w:val="restart"/>
            <w:vAlign w:val="center"/>
          </w:tcPr>
          <w:p>
            <w:pPr>
              <w:spacing w:line="380" w:lineRule="exact"/>
              <w:jc w:val="center"/>
              <w:rPr>
                <w:rFonts w:ascii="宋体" w:hAnsi="宋体"/>
                <w:bCs/>
              </w:rPr>
            </w:pPr>
            <w:r>
              <w:rPr>
                <w:rFonts w:hint="eastAsia" w:ascii="宋体" w:hAnsi="宋体" w:cs="方正书宋_GBK"/>
                <w:bCs/>
              </w:rPr>
              <w:t>预算资金</w:t>
            </w:r>
          </w:p>
        </w:tc>
        <w:tc>
          <w:tcPr>
            <w:tcW w:w="992"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708"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850" w:type="dxa"/>
            <w:vMerge w:val="continue"/>
            <w:vAlign w:val="center"/>
          </w:tcPr>
          <w:p>
            <w:pPr>
              <w:spacing w:line="260" w:lineRule="exact"/>
              <w:jc w:val="left"/>
              <w:outlineLvl w:val="0"/>
              <w:rPr>
                <w:rFonts w:ascii="宋体" w:hAnsi="宋体"/>
              </w:rPr>
            </w:pPr>
          </w:p>
        </w:tc>
        <w:tc>
          <w:tcPr>
            <w:tcW w:w="993" w:type="dxa"/>
            <w:vMerge w:val="restart"/>
            <w:vAlign w:val="center"/>
          </w:tcPr>
          <w:p>
            <w:pPr>
              <w:spacing w:line="260" w:lineRule="exact"/>
              <w:jc w:val="center"/>
              <w:rPr>
                <w:rFonts w:ascii="宋体" w:hAnsi="宋体"/>
                <w:bCs/>
              </w:rPr>
            </w:pPr>
            <w:r>
              <w:rPr>
                <w:rFonts w:hint="eastAsia" w:ascii="宋体" w:hAnsi="宋体" w:cs="方正书宋_GBK"/>
                <w:bCs/>
              </w:rPr>
              <w:t>总计</w:t>
            </w:r>
          </w:p>
        </w:tc>
        <w:tc>
          <w:tcPr>
            <w:tcW w:w="5244" w:type="dxa"/>
            <w:gridSpan w:val="5"/>
            <w:vAlign w:val="center"/>
          </w:tcPr>
          <w:p>
            <w:pPr>
              <w:spacing w:line="260" w:lineRule="exact"/>
              <w:jc w:val="center"/>
              <w:rPr>
                <w:rFonts w:ascii="宋体" w:hAnsi="宋体"/>
                <w:bCs/>
              </w:rPr>
            </w:pPr>
            <w:r>
              <w:rPr>
                <w:rFonts w:hint="eastAsia" w:ascii="宋体" w:hAnsi="宋体" w:cs="方正书宋_GBK"/>
                <w:bCs/>
              </w:rPr>
              <w:t>当年部门预算安排资金</w:t>
            </w:r>
          </w:p>
        </w:tc>
        <w:tc>
          <w:tcPr>
            <w:tcW w:w="993" w:type="dxa"/>
            <w:vMerge w:val="restart"/>
            <w:vAlign w:val="center"/>
          </w:tcPr>
          <w:p>
            <w:pPr>
              <w:spacing w:line="360" w:lineRule="exact"/>
              <w:jc w:val="center"/>
              <w:rPr>
                <w:rFonts w:ascii="宋体" w:hAnsi="宋体"/>
                <w:bCs/>
              </w:rPr>
            </w:pPr>
            <w:r>
              <w:rPr>
                <w:rFonts w:hint="eastAsia" w:ascii="宋体" w:hAnsi="宋体" w:cs="方正书宋_GBK"/>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tblHeader/>
        </w:trPr>
        <w:tc>
          <w:tcPr>
            <w:tcW w:w="1173" w:type="dxa"/>
            <w:vMerge w:val="continue"/>
            <w:vAlign w:val="center"/>
          </w:tcPr>
          <w:p>
            <w:pPr>
              <w:spacing w:line="560" w:lineRule="exact"/>
              <w:jc w:val="left"/>
              <w:outlineLvl w:val="0"/>
              <w:rPr>
                <w:rFonts w:ascii="宋体" w:hAnsi="宋体"/>
              </w:rPr>
            </w:pPr>
          </w:p>
        </w:tc>
        <w:tc>
          <w:tcPr>
            <w:tcW w:w="992" w:type="dxa"/>
            <w:vMerge w:val="continue"/>
            <w:vAlign w:val="center"/>
          </w:tcPr>
          <w:p>
            <w:pPr>
              <w:spacing w:line="560" w:lineRule="exact"/>
              <w:jc w:val="left"/>
              <w:outlineLvl w:val="0"/>
              <w:rPr>
                <w:rFonts w:ascii="宋体" w:hAnsi="宋体"/>
              </w:rPr>
            </w:pPr>
          </w:p>
        </w:tc>
        <w:tc>
          <w:tcPr>
            <w:tcW w:w="992"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708"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850" w:type="dxa"/>
            <w:vMerge w:val="continue"/>
            <w:vAlign w:val="center"/>
          </w:tcPr>
          <w:p>
            <w:pPr>
              <w:spacing w:line="260" w:lineRule="exact"/>
              <w:jc w:val="left"/>
              <w:outlineLvl w:val="0"/>
              <w:rPr>
                <w:rFonts w:ascii="宋体" w:hAnsi="宋体"/>
              </w:rPr>
            </w:pPr>
          </w:p>
        </w:tc>
        <w:tc>
          <w:tcPr>
            <w:tcW w:w="993" w:type="dxa"/>
            <w:vMerge w:val="continue"/>
            <w:vAlign w:val="center"/>
          </w:tcPr>
          <w:p>
            <w:pPr>
              <w:spacing w:line="260" w:lineRule="exact"/>
              <w:jc w:val="left"/>
              <w:outlineLvl w:val="0"/>
              <w:rPr>
                <w:rFonts w:ascii="宋体" w:hAnsi="宋体"/>
              </w:rPr>
            </w:pPr>
          </w:p>
        </w:tc>
        <w:tc>
          <w:tcPr>
            <w:tcW w:w="992" w:type="dxa"/>
            <w:vAlign w:val="center"/>
          </w:tcPr>
          <w:p>
            <w:pPr>
              <w:spacing w:line="260" w:lineRule="exact"/>
              <w:jc w:val="center"/>
              <w:rPr>
                <w:rFonts w:ascii="宋体" w:hAnsi="宋体"/>
                <w:bCs/>
              </w:rPr>
            </w:pPr>
            <w:r>
              <w:rPr>
                <w:rFonts w:hint="eastAsia" w:ascii="宋体" w:hAnsi="宋体" w:cs="方正书宋_GBK"/>
                <w:bCs/>
              </w:rPr>
              <w:t>合计</w:t>
            </w:r>
          </w:p>
        </w:tc>
        <w:tc>
          <w:tcPr>
            <w:tcW w:w="1134" w:type="dxa"/>
            <w:vAlign w:val="center"/>
          </w:tcPr>
          <w:p>
            <w:pPr>
              <w:spacing w:line="260" w:lineRule="exact"/>
              <w:jc w:val="center"/>
              <w:rPr>
                <w:rFonts w:ascii="宋体" w:hAnsi="宋体"/>
                <w:bCs/>
              </w:rPr>
            </w:pPr>
            <w:r>
              <w:rPr>
                <w:rFonts w:hint="eastAsia" w:ascii="宋体" w:hAnsi="宋体" w:cs="方正书宋_GBK"/>
                <w:bCs/>
              </w:rPr>
              <w:t>一般公共预算拨款</w:t>
            </w:r>
          </w:p>
        </w:tc>
        <w:tc>
          <w:tcPr>
            <w:tcW w:w="1134" w:type="dxa"/>
            <w:vAlign w:val="center"/>
          </w:tcPr>
          <w:p>
            <w:pPr>
              <w:spacing w:line="260" w:lineRule="exact"/>
              <w:jc w:val="center"/>
              <w:rPr>
                <w:rFonts w:ascii="宋体" w:hAnsi="宋体"/>
                <w:bCs/>
              </w:rPr>
            </w:pPr>
            <w:r>
              <w:rPr>
                <w:rFonts w:hint="eastAsia" w:ascii="宋体" w:hAnsi="宋体" w:cs="方正书宋_GBK"/>
                <w:bCs/>
              </w:rPr>
              <w:t>基金预算拨款</w:t>
            </w:r>
          </w:p>
        </w:tc>
        <w:tc>
          <w:tcPr>
            <w:tcW w:w="992" w:type="dxa"/>
            <w:vAlign w:val="center"/>
          </w:tcPr>
          <w:p>
            <w:pPr>
              <w:spacing w:line="260" w:lineRule="exact"/>
              <w:jc w:val="center"/>
              <w:rPr>
                <w:rFonts w:ascii="宋体" w:hAnsi="宋体"/>
                <w:bCs/>
              </w:rPr>
            </w:pPr>
            <w:r>
              <w:rPr>
                <w:rFonts w:hint="eastAsia" w:ascii="宋体" w:hAnsi="宋体" w:cs="方正书宋_GBK"/>
                <w:bCs/>
              </w:rPr>
              <w:t>财政专户核拨</w:t>
            </w:r>
          </w:p>
        </w:tc>
        <w:tc>
          <w:tcPr>
            <w:tcW w:w="992" w:type="dxa"/>
            <w:vAlign w:val="center"/>
          </w:tcPr>
          <w:p>
            <w:pPr>
              <w:spacing w:line="260" w:lineRule="exact"/>
              <w:jc w:val="center"/>
              <w:rPr>
                <w:rFonts w:ascii="宋体" w:hAnsi="宋体"/>
                <w:bCs/>
              </w:rPr>
            </w:pPr>
            <w:r>
              <w:rPr>
                <w:rFonts w:hint="eastAsia" w:ascii="宋体" w:hAnsi="宋体" w:cs="方正书宋_GBK"/>
                <w:bCs/>
              </w:rPr>
              <w:t>其他来源收入</w:t>
            </w:r>
          </w:p>
        </w:tc>
        <w:tc>
          <w:tcPr>
            <w:tcW w:w="993" w:type="dxa"/>
            <w:vMerge w:val="continue"/>
            <w:vAlign w:val="center"/>
          </w:tcPr>
          <w:p>
            <w:pPr>
              <w:spacing w:line="560" w:lineRule="exact"/>
              <w:jc w:val="lef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173" w:type="dxa"/>
            <w:vAlign w:val="center"/>
          </w:tcPr>
          <w:p>
            <w:pPr>
              <w:spacing w:line="560" w:lineRule="exact"/>
              <w:jc w:val="center"/>
              <w:rPr>
                <w:rFonts w:ascii="宋体" w:hAnsi="宋体"/>
                <w:bCs/>
              </w:rPr>
            </w:pPr>
            <w:r>
              <w:rPr>
                <w:rFonts w:hint="eastAsia" w:ascii="宋体" w:hAnsi="宋体" w:cs="方正书宋_GBK"/>
                <w:bCs/>
              </w:rPr>
              <w:t>合　计</w:t>
            </w:r>
          </w:p>
        </w:tc>
        <w:tc>
          <w:tcPr>
            <w:tcW w:w="992" w:type="dxa"/>
            <w:vAlign w:val="center"/>
          </w:tcPr>
          <w:p>
            <w:pPr>
              <w:spacing w:line="560" w:lineRule="exact"/>
              <w:jc w:val="right"/>
              <w:rPr>
                <w:rFonts w:ascii="宋体" w:hAnsi="宋体"/>
                <w:bCs/>
              </w:rPr>
            </w:pPr>
            <w:r>
              <w:rPr>
                <w:rFonts w:hint="eastAsia" w:ascii="宋体" w:hAnsi="宋体"/>
                <w:bCs/>
              </w:rPr>
              <w:t>0.2</w:t>
            </w:r>
          </w:p>
        </w:tc>
        <w:tc>
          <w:tcPr>
            <w:tcW w:w="992" w:type="dxa"/>
            <w:vAlign w:val="center"/>
          </w:tcPr>
          <w:p>
            <w:pPr>
              <w:spacing w:line="560" w:lineRule="exact"/>
              <w:jc w:val="left"/>
              <w:rPr>
                <w:rFonts w:ascii="宋体" w:hAnsi="宋体"/>
                <w:bCs/>
              </w:rPr>
            </w:pPr>
          </w:p>
        </w:tc>
        <w:tc>
          <w:tcPr>
            <w:tcW w:w="851" w:type="dxa"/>
            <w:vAlign w:val="center"/>
          </w:tcPr>
          <w:p>
            <w:pPr>
              <w:spacing w:line="560" w:lineRule="exact"/>
              <w:jc w:val="left"/>
              <w:rPr>
                <w:rFonts w:ascii="宋体" w:hAnsi="宋体"/>
                <w:bCs/>
              </w:rPr>
            </w:pPr>
          </w:p>
        </w:tc>
        <w:tc>
          <w:tcPr>
            <w:tcW w:w="708" w:type="dxa"/>
            <w:vAlign w:val="center"/>
          </w:tcPr>
          <w:p>
            <w:pPr>
              <w:spacing w:line="560" w:lineRule="exact"/>
              <w:jc w:val="left"/>
              <w:rPr>
                <w:rFonts w:ascii="宋体" w:hAnsi="宋体"/>
                <w:bCs/>
              </w:rPr>
            </w:pPr>
          </w:p>
        </w:tc>
        <w:tc>
          <w:tcPr>
            <w:tcW w:w="851" w:type="dxa"/>
            <w:vAlign w:val="center"/>
          </w:tcPr>
          <w:p>
            <w:pPr>
              <w:spacing w:line="560" w:lineRule="exact"/>
              <w:jc w:val="right"/>
              <w:rPr>
                <w:rFonts w:ascii="宋体" w:hAnsi="宋体"/>
                <w:bCs/>
              </w:rPr>
            </w:pPr>
            <w:r>
              <w:rPr>
                <w:rFonts w:hint="eastAsia" w:ascii="宋体" w:hAnsi="宋体"/>
                <w:bCs/>
              </w:rPr>
              <w:t>1</w:t>
            </w:r>
          </w:p>
        </w:tc>
        <w:tc>
          <w:tcPr>
            <w:tcW w:w="850" w:type="dxa"/>
            <w:vAlign w:val="center"/>
          </w:tcPr>
          <w:p>
            <w:pPr>
              <w:spacing w:line="560" w:lineRule="exact"/>
              <w:jc w:val="right"/>
              <w:rPr>
                <w:rFonts w:ascii="宋体" w:hAnsi="宋体"/>
                <w:bCs/>
              </w:rPr>
            </w:pPr>
            <w:r>
              <w:rPr>
                <w:rFonts w:hint="eastAsia" w:ascii="宋体" w:hAnsi="宋体"/>
                <w:bCs/>
              </w:rPr>
              <w:t>0.2</w:t>
            </w:r>
          </w:p>
        </w:tc>
        <w:tc>
          <w:tcPr>
            <w:tcW w:w="993" w:type="dxa"/>
            <w:vAlign w:val="center"/>
          </w:tcPr>
          <w:p>
            <w:pPr>
              <w:spacing w:line="560" w:lineRule="exact"/>
              <w:jc w:val="right"/>
              <w:rPr>
                <w:rFonts w:ascii="宋体" w:hAnsi="宋体"/>
                <w:bCs/>
              </w:rPr>
            </w:pPr>
            <w:r>
              <w:rPr>
                <w:rFonts w:hint="eastAsia" w:ascii="宋体" w:hAnsi="宋体"/>
                <w:bCs/>
              </w:rPr>
              <w:t>0.2</w:t>
            </w:r>
          </w:p>
        </w:tc>
        <w:tc>
          <w:tcPr>
            <w:tcW w:w="992" w:type="dxa"/>
            <w:vAlign w:val="center"/>
          </w:tcPr>
          <w:p>
            <w:pPr>
              <w:spacing w:line="560" w:lineRule="exact"/>
              <w:jc w:val="right"/>
              <w:rPr>
                <w:rFonts w:ascii="宋体" w:hAnsi="宋体"/>
                <w:bCs/>
              </w:rPr>
            </w:pPr>
            <w:r>
              <w:rPr>
                <w:rFonts w:hint="eastAsia" w:ascii="宋体" w:hAnsi="宋体"/>
                <w:bCs/>
              </w:rPr>
              <w:t>0.2</w:t>
            </w:r>
          </w:p>
        </w:tc>
        <w:tc>
          <w:tcPr>
            <w:tcW w:w="1134" w:type="dxa"/>
            <w:vAlign w:val="center"/>
          </w:tcPr>
          <w:p>
            <w:pPr>
              <w:spacing w:line="560" w:lineRule="exact"/>
              <w:jc w:val="right"/>
              <w:rPr>
                <w:rFonts w:ascii="宋体" w:hAnsi="宋体"/>
                <w:bCs/>
              </w:rPr>
            </w:pPr>
            <w:r>
              <w:rPr>
                <w:rFonts w:hint="eastAsia" w:ascii="宋体" w:hAnsi="宋体"/>
                <w:bCs/>
              </w:rPr>
              <w:t>0.2</w:t>
            </w:r>
          </w:p>
        </w:tc>
        <w:tc>
          <w:tcPr>
            <w:tcW w:w="1134"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3" w:type="dxa"/>
            <w:vAlign w:val="center"/>
          </w:tcPr>
          <w:p>
            <w:pPr>
              <w:spacing w:line="560" w:lineRule="exact"/>
              <w:jc w:val="right"/>
              <w:rPr>
                <w:rFonts w:ascii="宋体" w:hAnsi="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173" w:type="dxa"/>
            <w:vAlign w:val="center"/>
          </w:tcPr>
          <w:p>
            <w:pPr>
              <w:spacing w:line="560" w:lineRule="exact"/>
              <w:rPr>
                <w:rFonts w:hint="eastAsia" w:ascii="宋体" w:hAnsi="宋体" w:eastAsiaTheme="minorEastAsia"/>
                <w:bCs/>
                <w:lang w:eastAsia="zh-CN"/>
              </w:rPr>
            </w:pPr>
            <w:r>
              <w:rPr>
                <w:rFonts w:hint="eastAsia" w:ascii="宋体" w:hAnsi="宋体"/>
                <w:bCs/>
                <w:lang w:eastAsia="zh-CN"/>
              </w:rPr>
              <w:t>日常公用经费</w:t>
            </w:r>
          </w:p>
        </w:tc>
        <w:tc>
          <w:tcPr>
            <w:tcW w:w="992" w:type="dxa"/>
            <w:vAlign w:val="center"/>
          </w:tcPr>
          <w:p>
            <w:pPr>
              <w:spacing w:line="560" w:lineRule="exact"/>
              <w:jc w:val="right"/>
              <w:rPr>
                <w:rFonts w:ascii="宋体" w:hAnsi="宋体"/>
                <w:bCs/>
              </w:rPr>
            </w:pPr>
            <w:r>
              <w:rPr>
                <w:rFonts w:hint="eastAsia" w:ascii="宋体" w:hAnsi="宋体"/>
                <w:bCs/>
              </w:rPr>
              <w:t>0.2</w:t>
            </w:r>
          </w:p>
        </w:tc>
        <w:tc>
          <w:tcPr>
            <w:tcW w:w="992" w:type="dxa"/>
            <w:vAlign w:val="center"/>
          </w:tcPr>
          <w:p>
            <w:pPr>
              <w:spacing w:line="560" w:lineRule="exact"/>
              <w:jc w:val="center"/>
              <w:rPr>
                <w:rFonts w:ascii="宋体" w:hAnsi="宋体"/>
                <w:bCs/>
              </w:rPr>
            </w:pPr>
            <w:r>
              <w:rPr>
                <w:rFonts w:hint="eastAsia" w:ascii="宋体" w:hAnsi="宋体"/>
                <w:bCs/>
                <w:lang w:eastAsia="zh-CN"/>
              </w:rPr>
              <w:t>日常公用经费</w:t>
            </w:r>
          </w:p>
        </w:tc>
        <w:tc>
          <w:tcPr>
            <w:tcW w:w="851" w:type="dxa"/>
            <w:vAlign w:val="center"/>
          </w:tcPr>
          <w:p>
            <w:pPr>
              <w:spacing w:line="560" w:lineRule="exact"/>
              <w:jc w:val="left"/>
              <w:rPr>
                <w:rFonts w:hint="eastAsia" w:ascii="宋体" w:hAnsi="宋体" w:eastAsiaTheme="minorEastAsia"/>
                <w:bCs/>
                <w:lang w:val="en-US" w:eastAsia="zh-CN"/>
              </w:rPr>
            </w:pPr>
            <w:r>
              <w:rPr>
                <w:rFonts w:hint="eastAsia" w:ascii="宋体" w:hAnsi="宋体"/>
                <w:bCs/>
                <w:lang w:val="en-US" w:eastAsia="zh-CN"/>
              </w:rPr>
              <w:t>A0201060103</w:t>
            </w:r>
            <w:bookmarkStart w:id="0" w:name="_GoBack"/>
            <w:bookmarkEnd w:id="0"/>
          </w:p>
        </w:tc>
        <w:tc>
          <w:tcPr>
            <w:tcW w:w="708" w:type="dxa"/>
            <w:vAlign w:val="center"/>
          </w:tcPr>
          <w:p>
            <w:pPr>
              <w:spacing w:line="560" w:lineRule="exact"/>
              <w:jc w:val="left"/>
              <w:rPr>
                <w:rFonts w:ascii="宋体" w:hAnsi="宋体"/>
                <w:bCs/>
              </w:rPr>
            </w:pPr>
            <w:r>
              <w:rPr>
                <w:rFonts w:hint="eastAsia" w:ascii="宋体" w:hAnsi="宋体"/>
                <w:bCs/>
              </w:rPr>
              <w:t>台</w:t>
            </w:r>
          </w:p>
        </w:tc>
        <w:tc>
          <w:tcPr>
            <w:tcW w:w="851" w:type="dxa"/>
            <w:vAlign w:val="center"/>
          </w:tcPr>
          <w:p>
            <w:pPr>
              <w:spacing w:line="560" w:lineRule="exact"/>
              <w:jc w:val="right"/>
              <w:rPr>
                <w:rFonts w:ascii="宋体" w:hAnsi="宋体"/>
                <w:bCs/>
              </w:rPr>
            </w:pPr>
            <w:r>
              <w:rPr>
                <w:rFonts w:hint="eastAsia" w:ascii="宋体" w:hAnsi="宋体"/>
                <w:bCs/>
              </w:rPr>
              <w:t>1</w:t>
            </w:r>
          </w:p>
        </w:tc>
        <w:tc>
          <w:tcPr>
            <w:tcW w:w="850" w:type="dxa"/>
            <w:vAlign w:val="center"/>
          </w:tcPr>
          <w:p>
            <w:pPr>
              <w:spacing w:line="560" w:lineRule="exact"/>
              <w:jc w:val="right"/>
              <w:rPr>
                <w:rFonts w:ascii="宋体" w:hAnsi="宋体"/>
                <w:bCs/>
              </w:rPr>
            </w:pPr>
            <w:r>
              <w:rPr>
                <w:rFonts w:hint="eastAsia" w:ascii="宋体" w:hAnsi="宋体"/>
                <w:bCs/>
              </w:rPr>
              <w:t>0.2</w:t>
            </w:r>
          </w:p>
        </w:tc>
        <w:tc>
          <w:tcPr>
            <w:tcW w:w="993" w:type="dxa"/>
            <w:vAlign w:val="center"/>
          </w:tcPr>
          <w:p>
            <w:pPr>
              <w:spacing w:line="560" w:lineRule="exact"/>
              <w:jc w:val="right"/>
              <w:rPr>
                <w:rFonts w:ascii="宋体" w:hAnsi="宋体"/>
                <w:bCs/>
              </w:rPr>
            </w:pPr>
            <w:r>
              <w:rPr>
                <w:rFonts w:hint="eastAsia" w:ascii="宋体" w:hAnsi="宋体"/>
                <w:bCs/>
              </w:rPr>
              <w:t>0.2</w:t>
            </w:r>
          </w:p>
        </w:tc>
        <w:tc>
          <w:tcPr>
            <w:tcW w:w="992" w:type="dxa"/>
            <w:vAlign w:val="center"/>
          </w:tcPr>
          <w:p>
            <w:pPr>
              <w:spacing w:line="560" w:lineRule="exact"/>
              <w:jc w:val="right"/>
              <w:rPr>
                <w:rFonts w:ascii="宋体" w:hAnsi="宋体"/>
                <w:bCs/>
              </w:rPr>
            </w:pPr>
            <w:r>
              <w:rPr>
                <w:rFonts w:hint="eastAsia" w:ascii="宋体" w:hAnsi="宋体"/>
                <w:bCs/>
              </w:rPr>
              <w:t>0.2</w:t>
            </w:r>
          </w:p>
        </w:tc>
        <w:tc>
          <w:tcPr>
            <w:tcW w:w="1134" w:type="dxa"/>
            <w:vAlign w:val="center"/>
          </w:tcPr>
          <w:p>
            <w:pPr>
              <w:spacing w:line="560" w:lineRule="exact"/>
              <w:jc w:val="right"/>
              <w:rPr>
                <w:rFonts w:ascii="宋体" w:hAnsi="宋体"/>
                <w:bCs/>
              </w:rPr>
            </w:pPr>
            <w:r>
              <w:rPr>
                <w:rFonts w:hint="eastAsia" w:ascii="宋体" w:hAnsi="宋体"/>
                <w:bCs/>
              </w:rPr>
              <w:t>0.2</w:t>
            </w:r>
          </w:p>
        </w:tc>
        <w:tc>
          <w:tcPr>
            <w:tcW w:w="1134"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3" w:type="dxa"/>
            <w:vAlign w:val="center"/>
          </w:tcPr>
          <w:p>
            <w:pPr>
              <w:spacing w:line="560" w:lineRule="exact"/>
              <w:jc w:val="right"/>
              <w:rPr>
                <w:rFonts w:ascii="宋体" w:hAnsi="宋体"/>
                <w:bCs/>
              </w:rPr>
            </w:pPr>
          </w:p>
        </w:tc>
      </w:tr>
    </w:tbl>
    <w:p>
      <w:pPr>
        <w:widowControl/>
        <w:spacing w:line="360" w:lineRule="auto"/>
        <w:ind w:firstLine="880" w:firstLineChars="200"/>
        <w:jc w:val="left"/>
        <w:rPr>
          <w:rFonts w:ascii="仿宋" w:hAnsi="仿宋" w:eastAsia="仿宋" w:cs="仿宋"/>
          <w:sz w:val="44"/>
          <w:szCs w:val="44"/>
        </w:rPr>
      </w:pPr>
    </w:p>
    <w:p>
      <w:pPr>
        <w:pStyle w:val="5"/>
        <w:widowControl/>
        <w:spacing w:before="100" w:after="100" w:line="360" w:lineRule="auto"/>
        <w:ind w:firstLine="643" w:firstLineChars="200"/>
        <w:jc w:val="left"/>
        <w:rPr>
          <w:rFonts w:ascii="Calibri" w:hAnsi="Calibri" w:eastAsia="仿宋_GB2312" w:cs="Calibri"/>
          <w:b/>
          <w:kern w:val="0"/>
          <w:sz w:val="32"/>
          <w:szCs w:val="32"/>
        </w:rPr>
      </w:pPr>
      <w:r>
        <w:rPr>
          <w:rFonts w:hint="eastAsia" w:ascii="黑体" w:hAnsi="黑体" w:eastAsia="黑体" w:cs="黑体"/>
          <w:b/>
          <w:kern w:val="0"/>
          <w:sz w:val="32"/>
          <w:szCs w:val="32"/>
        </w:rPr>
        <w:t>七</w:t>
      </w:r>
      <w:r>
        <w:rPr>
          <w:rFonts w:hint="eastAsia" w:ascii="Calibri" w:hAnsi="Calibri" w:eastAsia="仿宋_GB2312" w:cs="Calibri"/>
          <w:b/>
          <w:kern w:val="0"/>
          <w:sz w:val="32"/>
          <w:szCs w:val="32"/>
        </w:rPr>
        <w:t>、</w:t>
      </w:r>
      <w:r>
        <w:rPr>
          <w:rFonts w:hint="eastAsia" w:ascii="黑体" w:hAnsi="黑体" w:eastAsia="黑体" w:cs="黑体"/>
          <w:b/>
          <w:kern w:val="0"/>
          <w:sz w:val="32"/>
          <w:szCs w:val="32"/>
        </w:rPr>
        <w:t>国有资产情况的说明</w:t>
      </w:r>
    </w:p>
    <w:p>
      <w:pPr>
        <w:pStyle w:val="5"/>
        <w:widowControl/>
        <w:spacing w:before="100" w:after="100" w:line="360" w:lineRule="auto"/>
        <w:ind w:firstLine="640" w:firstLineChars="20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158.08</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其中：房屋价值121万元，车辆价值11万元，其它资产办公用电脑、办公家具、专用设备等价值26.08万元。2020年我单位拟购置0.2万元。</w:t>
      </w:r>
    </w:p>
    <w:tbl>
      <w:tblPr>
        <w:tblStyle w:val="7"/>
        <w:tblW w:w="13114" w:type="dxa"/>
        <w:tblInd w:w="-106" w:type="dxa"/>
        <w:tblLayout w:type="fixed"/>
        <w:tblCellMar>
          <w:top w:w="0" w:type="dxa"/>
          <w:left w:w="108" w:type="dxa"/>
          <w:bottom w:w="0" w:type="dxa"/>
          <w:right w:w="108" w:type="dxa"/>
        </w:tblCellMar>
      </w:tblPr>
      <w:tblGrid>
        <w:gridCol w:w="4139"/>
        <w:gridCol w:w="2454"/>
        <w:gridCol w:w="6521"/>
      </w:tblGrid>
      <w:tr>
        <w:tblPrEx>
          <w:tblLayout w:type="fixed"/>
          <w:tblCellMar>
            <w:top w:w="0" w:type="dxa"/>
            <w:left w:w="108" w:type="dxa"/>
            <w:bottom w:w="0" w:type="dxa"/>
            <w:right w:w="108" w:type="dxa"/>
          </w:tblCellMar>
        </w:tblPrEx>
        <w:trPr>
          <w:trHeight w:val="705" w:hRule="atLeast"/>
        </w:trPr>
        <w:tc>
          <w:tcPr>
            <w:tcW w:w="13114"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6593"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编制部门:281中共成安县委党校</w:t>
            </w:r>
          </w:p>
        </w:tc>
        <w:tc>
          <w:tcPr>
            <w:tcW w:w="6521"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w:t>
            </w:r>
            <w:r>
              <w:rPr>
                <w:rFonts w:hint="eastAsia" w:ascii="宋体" w:hAnsi="宋体" w:eastAsia="宋体" w:cs="宋体"/>
                <w:kern w:val="0"/>
                <w:sz w:val="22"/>
                <w:szCs w:val="22"/>
              </w:rPr>
              <w:t>9年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Layout w:type="fixed"/>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24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65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158.08</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356</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131.4</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268</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115</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26.08</w:t>
            </w:r>
          </w:p>
        </w:tc>
      </w:tr>
    </w:tbl>
    <w:p>
      <w:pPr>
        <w:pStyle w:val="5"/>
        <w:widowControl/>
        <w:spacing w:before="100" w:after="100"/>
        <w:ind w:firstLine="640" w:firstLineChars="200"/>
        <w:rPr>
          <w:rFonts w:ascii="黑体" w:hAnsi="黑体" w:eastAsia="黑体" w:cs="黑体"/>
          <w:bCs/>
          <w:sz w:val="32"/>
          <w:szCs w:val="32"/>
        </w:rPr>
      </w:pPr>
      <w:r>
        <w:rPr>
          <w:rFonts w:hint="eastAsia" w:ascii="黑体" w:hAnsi="黑体" w:eastAsia="黑体" w:cs="黑体"/>
          <w:bCs/>
          <w:sz w:val="32"/>
          <w:szCs w:val="32"/>
        </w:rPr>
        <w:t>八、名词解释</w:t>
      </w:r>
    </w:p>
    <w:p>
      <w:pPr>
        <w:pStyle w:val="5"/>
        <w:widowControl/>
        <w:spacing w:before="100" w:after="100"/>
        <w:ind w:firstLine="640"/>
        <w:jc w:val="left"/>
      </w:pPr>
      <w:r>
        <w:rPr>
          <w:rFonts w:hint="eastAsia" w:ascii="楷体" w:hAnsi="楷体" w:eastAsia="楷体" w:cs="楷体"/>
          <w:b/>
          <w:sz w:val="32"/>
          <w:szCs w:val="32"/>
        </w:rPr>
        <w:t>基本支出：</w:t>
      </w:r>
      <w:r>
        <w:rPr>
          <w:rFonts w:hint="eastAsia" w:ascii="仿宋" w:hAnsi="仿宋" w:eastAsia="仿宋" w:cs="仿宋"/>
          <w:sz w:val="32"/>
          <w:szCs w:val="32"/>
        </w:rPr>
        <w:t>指预算单位为保障其正常运转，完成日常工作任务所发生的支出，包括人员支出和日常公用支出。</w:t>
      </w:r>
    </w:p>
    <w:p>
      <w:pPr>
        <w:pStyle w:val="5"/>
        <w:widowControl/>
        <w:spacing w:before="100" w:after="100"/>
        <w:ind w:firstLine="640"/>
        <w:jc w:val="left"/>
      </w:pPr>
      <w:r>
        <w:rPr>
          <w:rFonts w:hint="eastAsia" w:ascii="楷体" w:hAnsi="楷体" w:eastAsia="楷体" w:cs="楷体"/>
          <w:b/>
          <w:sz w:val="32"/>
          <w:szCs w:val="32"/>
        </w:rPr>
        <w:t>项目支出：</w:t>
      </w:r>
      <w:r>
        <w:rPr>
          <w:rFonts w:hint="eastAsia" w:ascii="仿宋" w:hAnsi="仿宋" w:eastAsia="仿宋" w:cs="仿宋"/>
          <w:sz w:val="32"/>
          <w:szCs w:val="32"/>
        </w:rPr>
        <w:t>指预算单位为完成其特定的行政工作任务或事业发展目标所发生的支出。</w:t>
      </w:r>
    </w:p>
    <w:p>
      <w:pPr>
        <w:pStyle w:val="5"/>
        <w:widowControl/>
        <w:spacing w:before="100" w:after="100"/>
        <w:ind w:firstLine="640"/>
        <w:jc w:val="left"/>
        <w:rPr>
          <w:rFonts w:ascii="仿宋" w:hAnsi="仿宋" w:eastAsia="仿宋" w:cs="仿宋"/>
          <w:sz w:val="32"/>
          <w:szCs w:val="32"/>
        </w:rPr>
      </w:pPr>
      <w:r>
        <w:rPr>
          <w:rFonts w:hint="eastAsia" w:ascii="楷体" w:hAnsi="楷体" w:eastAsia="楷体" w:cs="楷体"/>
          <w:b/>
          <w:sz w:val="32"/>
          <w:szCs w:val="32"/>
        </w:rPr>
        <w:t>三公经费：</w:t>
      </w:r>
      <w:r>
        <w:rPr>
          <w:rFonts w:hint="eastAsia" w:ascii="仿宋" w:hAnsi="仿宋" w:eastAsia="仿宋" w:cs="仿宋"/>
          <w:sz w:val="32"/>
          <w:szCs w:val="32"/>
        </w:rPr>
        <w:t>指财政拨款支出安排的出国（境）费、车辆购置及运行费、公务接待费这三项经费。</w:t>
      </w:r>
    </w:p>
    <w:p>
      <w:pPr>
        <w:pStyle w:val="5"/>
        <w:widowControl/>
        <w:numPr>
          <w:ilvl w:val="0"/>
          <w:numId w:val="2"/>
        </w:numPr>
        <w:spacing w:before="100" w:after="100"/>
        <w:ind w:firstLine="640"/>
        <w:jc w:val="left"/>
        <w:rPr>
          <w:rFonts w:ascii="黑体" w:hAnsi="黑体" w:eastAsia="黑体" w:cs="黑体"/>
          <w:sz w:val="32"/>
          <w:szCs w:val="32"/>
        </w:rPr>
      </w:pPr>
      <w:r>
        <w:rPr>
          <w:rFonts w:hint="eastAsia" w:ascii="黑体" w:hAnsi="黑体" w:eastAsia="黑体" w:cs="黑体"/>
          <w:sz w:val="32"/>
          <w:szCs w:val="32"/>
        </w:rPr>
        <w:t>其它需要说明的事项</w:t>
      </w:r>
    </w:p>
    <w:p>
      <w:pPr>
        <w:pStyle w:val="5"/>
        <w:widowControl/>
        <w:spacing w:before="100" w:after="100"/>
        <w:ind w:firstLine="640" w:firstLineChars="200"/>
        <w:jc w:val="left"/>
        <w:rPr>
          <w:rFonts w:ascii="仿宋" w:hAnsi="仿宋" w:eastAsia="仿宋" w:cs="仿宋"/>
          <w:sz w:val="32"/>
          <w:szCs w:val="32"/>
        </w:rPr>
      </w:pPr>
      <w:r>
        <w:rPr>
          <w:rFonts w:hint="eastAsia" w:ascii="仿宋" w:hAnsi="仿宋" w:eastAsia="仿宋" w:cs="仿宋"/>
          <w:sz w:val="32"/>
          <w:szCs w:val="32"/>
        </w:rPr>
        <w:t>无其它需要说明的事项。</w:t>
      </w:r>
    </w:p>
    <w:p>
      <w:pPr>
        <w:pStyle w:val="5"/>
        <w:widowControl/>
        <w:spacing w:before="100" w:after="100"/>
        <w:jc w:val="left"/>
        <w:rPr>
          <w:rFonts w:ascii="仿宋" w:hAnsi="仿宋" w:eastAsia="仿宋" w:cs="仿宋"/>
          <w:sz w:val="32"/>
          <w:szCs w:val="32"/>
        </w:rPr>
      </w:pPr>
    </w:p>
    <w:p>
      <w:pPr>
        <w:pStyle w:val="5"/>
        <w:widowControl/>
        <w:spacing w:before="100" w:after="100"/>
        <w:jc w:val="left"/>
        <w:rPr>
          <w:rFonts w:ascii="仿宋" w:hAnsi="仿宋" w:eastAsia="仿宋" w:cs="仿宋"/>
          <w:sz w:val="32"/>
          <w:szCs w:val="32"/>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850620"/>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814D"/>
    <w:multiLevelType w:val="singleLevel"/>
    <w:tmpl w:val="596D814D"/>
    <w:lvl w:ilvl="0" w:tentative="0">
      <w:start w:val="9"/>
      <w:numFmt w:val="chineseCounting"/>
      <w:suff w:val="nothing"/>
      <w:lvlText w:val="%1、"/>
      <w:lvlJc w:val="left"/>
    </w:lvl>
  </w:abstractNum>
  <w:abstractNum w:abstractNumId="1">
    <w:nsid w:val="5A080B59"/>
    <w:multiLevelType w:val="singleLevel"/>
    <w:tmpl w:val="5A080B5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112B16"/>
    <w:rsid w:val="000E4960"/>
    <w:rsid w:val="000F661C"/>
    <w:rsid w:val="00107024"/>
    <w:rsid w:val="0013479C"/>
    <w:rsid w:val="001A7160"/>
    <w:rsid w:val="0022774D"/>
    <w:rsid w:val="002A5265"/>
    <w:rsid w:val="002B4F0E"/>
    <w:rsid w:val="002F2655"/>
    <w:rsid w:val="003412CC"/>
    <w:rsid w:val="00346C23"/>
    <w:rsid w:val="0040395B"/>
    <w:rsid w:val="0043462E"/>
    <w:rsid w:val="004436ED"/>
    <w:rsid w:val="004544D0"/>
    <w:rsid w:val="004A14BB"/>
    <w:rsid w:val="00557243"/>
    <w:rsid w:val="005C1811"/>
    <w:rsid w:val="005D4210"/>
    <w:rsid w:val="00685580"/>
    <w:rsid w:val="006A41F9"/>
    <w:rsid w:val="006A5EC9"/>
    <w:rsid w:val="006A7B24"/>
    <w:rsid w:val="006E729D"/>
    <w:rsid w:val="007367A2"/>
    <w:rsid w:val="0078700B"/>
    <w:rsid w:val="00795A3A"/>
    <w:rsid w:val="007B4F75"/>
    <w:rsid w:val="0088342C"/>
    <w:rsid w:val="008A10E7"/>
    <w:rsid w:val="008D6550"/>
    <w:rsid w:val="00917123"/>
    <w:rsid w:val="00940882"/>
    <w:rsid w:val="0096633A"/>
    <w:rsid w:val="00986043"/>
    <w:rsid w:val="009A072F"/>
    <w:rsid w:val="009E2B82"/>
    <w:rsid w:val="009E3F61"/>
    <w:rsid w:val="00B13EA7"/>
    <w:rsid w:val="00B94F2F"/>
    <w:rsid w:val="00BD272A"/>
    <w:rsid w:val="00C24DA7"/>
    <w:rsid w:val="00C378F6"/>
    <w:rsid w:val="00C541F0"/>
    <w:rsid w:val="00C67135"/>
    <w:rsid w:val="00D468F4"/>
    <w:rsid w:val="00E1145E"/>
    <w:rsid w:val="00E43701"/>
    <w:rsid w:val="00E937EA"/>
    <w:rsid w:val="00ED7572"/>
    <w:rsid w:val="00F175A4"/>
    <w:rsid w:val="00FB662F"/>
    <w:rsid w:val="00FF27F9"/>
    <w:rsid w:val="01C454A1"/>
    <w:rsid w:val="02EB5B3D"/>
    <w:rsid w:val="038231BA"/>
    <w:rsid w:val="095A644B"/>
    <w:rsid w:val="09A57D18"/>
    <w:rsid w:val="09F82D7F"/>
    <w:rsid w:val="0DA64423"/>
    <w:rsid w:val="102467FE"/>
    <w:rsid w:val="11E20E90"/>
    <w:rsid w:val="12DD69FD"/>
    <w:rsid w:val="15BD2218"/>
    <w:rsid w:val="164C3A1E"/>
    <w:rsid w:val="169028CE"/>
    <w:rsid w:val="18F06858"/>
    <w:rsid w:val="1904219D"/>
    <w:rsid w:val="19B81D6D"/>
    <w:rsid w:val="1AED1EF5"/>
    <w:rsid w:val="1EFC4E93"/>
    <w:rsid w:val="20834BED"/>
    <w:rsid w:val="21B5006B"/>
    <w:rsid w:val="234D1B88"/>
    <w:rsid w:val="23CA6CF5"/>
    <w:rsid w:val="242B7301"/>
    <w:rsid w:val="25EC16FA"/>
    <w:rsid w:val="29265BD9"/>
    <w:rsid w:val="321453E1"/>
    <w:rsid w:val="335C5F3A"/>
    <w:rsid w:val="360A4B97"/>
    <w:rsid w:val="37ED5068"/>
    <w:rsid w:val="38861AB2"/>
    <w:rsid w:val="3AB47638"/>
    <w:rsid w:val="3DA555D9"/>
    <w:rsid w:val="3DE017D9"/>
    <w:rsid w:val="3E0E1B91"/>
    <w:rsid w:val="3E121FC9"/>
    <w:rsid w:val="3F073519"/>
    <w:rsid w:val="3F7873B3"/>
    <w:rsid w:val="41523D3C"/>
    <w:rsid w:val="43114787"/>
    <w:rsid w:val="45581441"/>
    <w:rsid w:val="478A51A9"/>
    <w:rsid w:val="49CD1EA7"/>
    <w:rsid w:val="4FAD3448"/>
    <w:rsid w:val="528323A5"/>
    <w:rsid w:val="52A62308"/>
    <w:rsid w:val="568B695A"/>
    <w:rsid w:val="58F95E4A"/>
    <w:rsid w:val="5B4910BD"/>
    <w:rsid w:val="5C3A7CCE"/>
    <w:rsid w:val="5D286B94"/>
    <w:rsid w:val="641711A4"/>
    <w:rsid w:val="690D4066"/>
    <w:rsid w:val="6C167FE4"/>
    <w:rsid w:val="6E4D6AB1"/>
    <w:rsid w:val="6FC4035F"/>
    <w:rsid w:val="7206549A"/>
    <w:rsid w:val="75807B34"/>
    <w:rsid w:val="761616BA"/>
    <w:rsid w:val="777F1635"/>
    <w:rsid w:val="78663CD9"/>
    <w:rsid w:val="7E112B16"/>
    <w:rsid w:val="7F3C0BD1"/>
    <w:rsid w:val="7F3D39B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99"/>
    <w:rPr>
      <w:kern w:val="2"/>
      <w:sz w:val="18"/>
      <w:szCs w:val="18"/>
    </w:rPr>
  </w:style>
  <w:style w:type="character" w:customStyle="1" w:styleId="11">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431</Words>
  <Characters>2457</Characters>
  <Lines>20</Lines>
  <Paragraphs>5</Paragraphs>
  <TotalTime>0</TotalTime>
  <ScaleCrop>false</ScaleCrop>
  <LinksUpToDate>false</LinksUpToDate>
  <CharactersWithSpaces>2883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2017-03-17T08:55:00Z</dcterms:created>
  <dc:creator>Administrator</dc:creator>
  <cp:lastModifiedBy>Administrator</cp:lastModifiedBy>
  <cp:lastPrinted>2017-07-20T02:29:00Z</cp:lastPrinted>
  <dcterms:modified xsi:type="dcterms:W3CDTF">2021-05-19T08:13:50Z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