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ascii="宋体" w:hAnsi="宋体" w:eastAsia="宋体"/>
          <w:b/>
          <w:sz w:val="44"/>
          <w:szCs w:val="44"/>
        </w:rPr>
      </w:pPr>
      <w:r>
        <w:rPr>
          <w:rFonts w:hint="eastAsia" w:ascii="宋体" w:hAnsi="宋体" w:eastAsia="宋体"/>
          <w:b/>
          <w:sz w:val="44"/>
          <w:szCs w:val="44"/>
        </w:rPr>
        <w:t>成安县农业服务协会</w:t>
      </w:r>
    </w:p>
    <w:p>
      <w:pPr>
        <w:jc w:val="center"/>
        <w:rPr>
          <w:rFonts w:ascii="宋体" w:hAnsi="宋体" w:eastAsia="宋体"/>
          <w:b/>
          <w:sz w:val="44"/>
          <w:szCs w:val="44"/>
        </w:rPr>
      </w:pPr>
      <w:r>
        <w:rPr>
          <w:rFonts w:hint="eastAsia" w:ascii="宋体" w:hAnsi="宋体" w:eastAsia="宋体"/>
          <w:b/>
          <w:sz w:val="44"/>
          <w:szCs w:val="44"/>
        </w:rPr>
        <w:t>20</w:t>
      </w:r>
      <w:r>
        <w:rPr>
          <w:rFonts w:ascii="宋体" w:hAnsi="宋体" w:eastAsia="宋体"/>
          <w:b/>
          <w:sz w:val="44"/>
          <w:szCs w:val="44"/>
        </w:rPr>
        <w:t>20</w:t>
      </w:r>
      <w:r>
        <w:rPr>
          <w:rFonts w:hint="eastAsia" w:ascii="宋体" w:hAnsi="宋体" w:eastAsia="宋体"/>
          <w:b/>
          <w:sz w:val="44"/>
          <w:szCs w:val="44"/>
        </w:rPr>
        <w:t>年部门预算公开情况说明</w:t>
      </w:r>
    </w:p>
    <w:p>
      <w:pPr>
        <w:jc w:val="center"/>
        <w:rPr>
          <w:rFonts w:ascii="宋体" w:hAnsi="宋体" w:eastAsia="宋体"/>
        </w:rPr>
      </w:pPr>
    </w:p>
    <w:p>
      <w:pPr>
        <w:widowControl/>
        <w:jc w:val="left"/>
      </w:pP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sz w:val="32"/>
          <w:szCs w:val="32"/>
        </w:rPr>
        <w:t>按照《</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预算法》有关规定和财政部关于印发《地方预决算公开操作规程》的通知，</w:t>
      </w:r>
      <w:r>
        <w:rPr>
          <w:rFonts w:hint="eastAsia" w:ascii="仿宋" w:hAnsi="仿宋" w:eastAsia="仿宋" w:cs="仿宋"/>
          <w:kern w:val="0"/>
          <w:sz w:val="32"/>
          <w:szCs w:val="32"/>
        </w:rPr>
        <w:t>现将农业服务协会办公室20</w:t>
      </w:r>
      <w:r>
        <w:rPr>
          <w:rFonts w:ascii="仿宋" w:hAnsi="仿宋" w:eastAsia="仿宋" w:cs="仿宋"/>
          <w:kern w:val="0"/>
          <w:sz w:val="32"/>
          <w:szCs w:val="32"/>
        </w:rPr>
        <w:t>20</w:t>
      </w:r>
      <w:r>
        <w:rPr>
          <w:rFonts w:hint="eastAsia" w:ascii="仿宋" w:hAnsi="仿宋" w:eastAsia="仿宋" w:cs="仿宋"/>
          <w:kern w:val="0"/>
          <w:sz w:val="32"/>
          <w:szCs w:val="32"/>
        </w:rPr>
        <w:t>年部门预算公开如下：</w:t>
      </w:r>
    </w:p>
    <w:p>
      <w:pPr>
        <w:widowControl/>
        <w:numPr>
          <w:ilvl w:val="0"/>
          <w:numId w:val="1"/>
        </w:numPr>
        <w:spacing w:line="360" w:lineRule="auto"/>
        <w:ind w:firstLine="972" w:firstLineChars="304"/>
        <w:jc w:val="left"/>
        <w:rPr>
          <w:rFonts w:ascii="黑体" w:hAnsi="黑体" w:eastAsia="黑体" w:cs="楷体"/>
          <w:bCs/>
          <w:kern w:val="0"/>
          <w:sz w:val="32"/>
          <w:szCs w:val="32"/>
        </w:rPr>
      </w:pPr>
      <w:r>
        <w:rPr>
          <w:rFonts w:hint="eastAsia" w:ascii="黑体" w:hAnsi="黑体" w:eastAsia="黑体" w:cs="楷体"/>
          <w:bCs/>
          <w:sz w:val="32"/>
          <w:szCs w:val="32"/>
        </w:rPr>
        <w:t>部门职责及机构设置情况</w:t>
      </w:r>
    </w:p>
    <w:p>
      <w:pPr>
        <w:ind w:firstLine="640" w:firstLineChars="200"/>
        <w:rPr>
          <w:rFonts w:ascii="仿宋" w:hAnsi="仿宋" w:eastAsia="仿宋" w:cs="仿宋"/>
          <w:sz w:val="32"/>
          <w:szCs w:val="32"/>
        </w:rPr>
      </w:pPr>
      <w:r>
        <w:rPr>
          <w:rFonts w:hint="eastAsia" w:ascii="仿宋" w:hAnsi="仿宋" w:eastAsia="仿宋" w:cs="仿宋"/>
          <w:sz w:val="32"/>
          <w:szCs w:val="32"/>
        </w:rPr>
        <w:t>1、负责制定、实施全县农协和产业化工作目标并负责督促、检查、落实。</w:t>
      </w:r>
    </w:p>
    <w:p>
      <w:pPr>
        <w:rPr>
          <w:rFonts w:ascii="仿宋" w:hAnsi="仿宋" w:eastAsia="仿宋" w:cs="仿宋"/>
          <w:sz w:val="32"/>
          <w:szCs w:val="32"/>
        </w:rPr>
      </w:pPr>
      <w:r>
        <w:rPr>
          <w:rFonts w:hint="eastAsia" w:ascii="仿宋" w:hAnsi="仿宋" w:eastAsia="仿宋" w:cs="仿宋"/>
          <w:sz w:val="32"/>
          <w:szCs w:val="32"/>
        </w:rPr>
        <w:t xml:space="preserve">   2、负责指导全县农民专业合作社的建设以及示范社的认定和运行监测工作。</w:t>
      </w:r>
    </w:p>
    <w:p>
      <w:pPr>
        <w:rPr>
          <w:rFonts w:ascii="仿宋" w:hAnsi="仿宋" w:eastAsia="仿宋" w:cs="仿宋"/>
          <w:sz w:val="32"/>
          <w:szCs w:val="32"/>
        </w:rPr>
      </w:pPr>
    </w:p>
    <w:p>
      <w:pPr>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、负责全县农协系统工作人员的培训，组织有关专家开展技术咨询和专业技术培训。</w:t>
      </w:r>
    </w:p>
    <w:p>
      <w:pPr>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、负责全县农协系统信息服务网络建设，收集、筛选、发布农民急需的种植、养殖、加工和专业技术培训，以及对</w:t>
      </w:r>
    </w:p>
    <w:p>
      <w:pPr>
        <w:rPr>
          <w:rFonts w:ascii="仿宋" w:hAnsi="仿宋" w:eastAsia="仿宋" w:cs="仿宋"/>
          <w:sz w:val="32"/>
          <w:szCs w:val="32"/>
        </w:rPr>
      </w:pPr>
      <w:r>
        <w:rPr>
          <w:rFonts w:hint="eastAsia" w:ascii="仿宋" w:hAnsi="仿宋" w:eastAsia="仿宋" w:cs="仿宋"/>
          <w:sz w:val="32"/>
          <w:szCs w:val="32"/>
        </w:rPr>
        <w:t>全县各级协会的优惠扶持政策的贯彻落实。</w:t>
      </w:r>
    </w:p>
    <w:p>
      <w:pPr>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、负责申报、参评、监测省、市、县三级农业产业化重点龙头企业工作，以及对上争取对龙头企业的扶持资金和落实各项优惠扶持政策。</w:t>
      </w:r>
    </w:p>
    <w:p>
      <w:pPr>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、组织和参加每年一届的中国（廊坊）农产品交易会。</w:t>
      </w:r>
    </w:p>
    <w:p>
      <w:pPr>
        <w:widowControl/>
        <w:spacing w:line="360" w:lineRule="auto"/>
        <w:jc w:val="lef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、完成县委、县政府交办的其它工作。</w:t>
      </w:r>
    </w:p>
    <w:p>
      <w:pPr>
        <w:widowControl/>
        <w:spacing w:line="360" w:lineRule="auto"/>
        <w:ind w:firstLine="630" w:firstLineChars="196"/>
        <w:jc w:val="left"/>
        <w:rPr>
          <w:rFonts w:ascii="楷体" w:hAnsi="楷体" w:eastAsia="楷体"/>
          <w:b/>
          <w:bCs/>
          <w:kern w:val="0"/>
          <w:sz w:val="32"/>
          <w:szCs w:val="32"/>
        </w:rPr>
      </w:pPr>
      <w:r>
        <w:rPr>
          <w:rFonts w:hint="eastAsia" w:ascii="楷体" w:hAnsi="楷体" w:eastAsia="楷体" w:cs="宋体"/>
          <w:b/>
          <w:bCs/>
          <w:kern w:val="0"/>
          <w:sz w:val="32"/>
          <w:szCs w:val="32"/>
        </w:rPr>
        <w:t>人员编制和领导职数</w:t>
      </w: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人员编制5名，其中领导职数2个。</w:t>
      </w:r>
    </w:p>
    <w:p>
      <w:pPr>
        <w:widowControl/>
        <w:spacing w:line="360" w:lineRule="auto"/>
        <w:ind w:left="628"/>
        <w:jc w:val="left"/>
        <w:rPr>
          <w:rFonts w:ascii="仿宋" w:hAnsi="仿宋" w:eastAsia="仿宋" w:cs="仿宋"/>
          <w:b/>
          <w:kern w:val="0"/>
          <w:sz w:val="32"/>
          <w:szCs w:val="32"/>
        </w:rPr>
      </w:pPr>
      <w:r>
        <w:rPr>
          <w:rFonts w:hint="eastAsia" w:ascii="仿宋" w:hAnsi="仿宋" w:eastAsia="仿宋" w:cs="仿宋"/>
          <w:b/>
          <w:kern w:val="0"/>
          <w:sz w:val="32"/>
          <w:szCs w:val="32"/>
        </w:rPr>
        <w:t>内设机构及职责：</w:t>
      </w:r>
    </w:p>
    <w:p>
      <w:pPr>
        <w:jc w:val="center"/>
        <w:outlineLvl w:val="0"/>
        <w:rPr>
          <w:rFonts w:ascii="仿宋" w:hAnsi="仿宋" w:eastAsia="仿宋" w:cs="仿宋"/>
          <w:b/>
          <w:kern w:val="0"/>
          <w:sz w:val="32"/>
          <w:szCs w:val="32"/>
        </w:rPr>
      </w:pPr>
      <w:r>
        <w:rPr>
          <w:rFonts w:hint="eastAsia" w:ascii="仿宋" w:hAnsi="仿宋" w:eastAsia="仿宋" w:cs="仿宋"/>
          <w:sz w:val="32"/>
          <w:szCs w:val="32"/>
        </w:rPr>
        <w:t>部门机构设置情况</w:t>
      </w:r>
    </w:p>
    <w:tbl>
      <w:tblPr>
        <w:tblStyle w:val="6"/>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5"/>
        <w:gridCol w:w="2056"/>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2395" w:type="dxa"/>
            <w:vMerge w:val="restart"/>
            <w:vAlign w:val="center"/>
          </w:tcPr>
          <w:p>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单位名称</w:t>
            </w:r>
          </w:p>
        </w:tc>
        <w:tc>
          <w:tcPr>
            <w:tcW w:w="2056" w:type="dxa"/>
            <w:vMerge w:val="restart"/>
            <w:vAlign w:val="center"/>
          </w:tcPr>
          <w:p>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单位性质</w:t>
            </w:r>
          </w:p>
        </w:tc>
        <w:tc>
          <w:tcPr>
            <w:tcW w:w="1276" w:type="dxa"/>
            <w:vMerge w:val="restart"/>
            <w:vAlign w:val="center"/>
          </w:tcPr>
          <w:p>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单位规格</w:t>
            </w:r>
          </w:p>
        </w:tc>
        <w:tc>
          <w:tcPr>
            <w:tcW w:w="2902" w:type="dxa"/>
            <w:vMerge w:val="restart"/>
            <w:vAlign w:val="center"/>
          </w:tcPr>
          <w:p>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tblHeader/>
          <w:jc w:val="center"/>
        </w:trPr>
        <w:tc>
          <w:tcPr>
            <w:tcW w:w="2395" w:type="dxa"/>
            <w:vMerge w:val="continue"/>
            <w:vAlign w:val="center"/>
          </w:tcPr>
          <w:p>
            <w:pPr>
              <w:spacing w:line="300" w:lineRule="exact"/>
              <w:jc w:val="left"/>
              <w:outlineLvl w:val="0"/>
              <w:rPr>
                <w:rFonts w:ascii="仿宋" w:hAnsi="仿宋" w:eastAsia="仿宋" w:cs="仿宋"/>
                <w:sz w:val="32"/>
                <w:szCs w:val="32"/>
              </w:rPr>
            </w:pPr>
          </w:p>
        </w:tc>
        <w:tc>
          <w:tcPr>
            <w:tcW w:w="2056" w:type="dxa"/>
            <w:vMerge w:val="continue"/>
            <w:vAlign w:val="center"/>
          </w:tcPr>
          <w:p>
            <w:pPr>
              <w:spacing w:line="300" w:lineRule="exact"/>
              <w:jc w:val="left"/>
              <w:outlineLvl w:val="0"/>
              <w:rPr>
                <w:rFonts w:ascii="仿宋" w:hAnsi="仿宋" w:eastAsia="仿宋" w:cs="仿宋"/>
                <w:sz w:val="32"/>
                <w:szCs w:val="32"/>
              </w:rPr>
            </w:pPr>
          </w:p>
        </w:tc>
        <w:tc>
          <w:tcPr>
            <w:tcW w:w="1276" w:type="dxa"/>
            <w:vMerge w:val="continue"/>
            <w:vAlign w:val="center"/>
          </w:tcPr>
          <w:p>
            <w:pPr>
              <w:spacing w:line="300" w:lineRule="exact"/>
              <w:jc w:val="left"/>
              <w:outlineLvl w:val="0"/>
              <w:rPr>
                <w:rFonts w:ascii="仿宋" w:hAnsi="仿宋" w:eastAsia="仿宋" w:cs="仿宋"/>
                <w:sz w:val="32"/>
                <w:szCs w:val="32"/>
              </w:rPr>
            </w:pPr>
          </w:p>
        </w:tc>
        <w:tc>
          <w:tcPr>
            <w:tcW w:w="2902" w:type="dxa"/>
            <w:vMerge w:val="continue"/>
            <w:vAlign w:val="center"/>
          </w:tcPr>
          <w:p>
            <w:pPr>
              <w:spacing w:line="300" w:lineRule="exact"/>
              <w:jc w:val="left"/>
              <w:outlineLvl w:val="0"/>
              <w:rPr>
                <w:rFonts w:ascii="仿宋" w:hAnsi="仿宋" w:eastAsia="仿宋" w:cs="仿宋"/>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2395" w:type="dxa"/>
            <w:vAlign w:val="center"/>
          </w:tcPr>
          <w:p>
            <w:pPr>
              <w:spacing w:line="300" w:lineRule="exact"/>
              <w:jc w:val="left"/>
              <w:rPr>
                <w:rFonts w:ascii="仿宋" w:hAnsi="仿宋" w:eastAsia="仿宋" w:cs="仿宋"/>
                <w:sz w:val="32"/>
                <w:szCs w:val="32"/>
              </w:rPr>
            </w:pPr>
            <w:r>
              <w:rPr>
                <w:rFonts w:hint="eastAsia" w:ascii="仿宋" w:hAnsi="仿宋" w:eastAsia="仿宋" w:cs="仿宋"/>
                <w:sz w:val="32"/>
                <w:szCs w:val="32"/>
              </w:rPr>
              <w:t>成安县农业服务协会办公室</w:t>
            </w:r>
          </w:p>
        </w:tc>
        <w:tc>
          <w:tcPr>
            <w:tcW w:w="2056" w:type="dxa"/>
            <w:vAlign w:val="center"/>
          </w:tcPr>
          <w:p>
            <w:pPr>
              <w:spacing w:line="300" w:lineRule="exact"/>
              <w:ind w:firstLine="443"/>
              <w:jc w:val="left"/>
              <w:rPr>
                <w:rFonts w:ascii="仿宋" w:hAnsi="仿宋" w:eastAsia="仿宋" w:cs="仿宋"/>
                <w:sz w:val="32"/>
                <w:szCs w:val="32"/>
              </w:rPr>
            </w:pPr>
            <w:r>
              <w:rPr>
                <w:rFonts w:hint="eastAsia" w:ascii="仿宋" w:hAnsi="仿宋" w:eastAsia="仿宋" w:cs="仿宋"/>
                <w:sz w:val="32"/>
                <w:szCs w:val="32"/>
              </w:rPr>
              <w:t>全额事业单位</w:t>
            </w:r>
          </w:p>
        </w:tc>
        <w:tc>
          <w:tcPr>
            <w:tcW w:w="1276" w:type="dxa"/>
            <w:vAlign w:val="center"/>
          </w:tcPr>
          <w:p>
            <w:pPr>
              <w:spacing w:line="300" w:lineRule="exact"/>
              <w:jc w:val="center"/>
              <w:rPr>
                <w:rFonts w:ascii="仿宋" w:hAnsi="仿宋" w:eastAsia="仿宋" w:cs="仿宋"/>
                <w:sz w:val="32"/>
                <w:szCs w:val="32"/>
              </w:rPr>
            </w:pPr>
            <w:r>
              <w:rPr>
                <w:rFonts w:hint="eastAsia" w:ascii="仿宋" w:hAnsi="仿宋" w:eastAsia="仿宋" w:cs="仿宋"/>
                <w:sz w:val="32"/>
                <w:szCs w:val="32"/>
              </w:rPr>
              <w:t>正科级</w:t>
            </w:r>
          </w:p>
        </w:tc>
        <w:tc>
          <w:tcPr>
            <w:tcW w:w="2902" w:type="dxa"/>
            <w:vAlign w:val="center"/>
          </w:tcPr>
          <w:p>
            <w:pPr>
              <w:spacing w:line="300" w:lineRule="exact"/>
              <w:jc w:val="right"/>
              <w:rPr>
                <w:rFonts w:ascii="仿宋" w:hAnsi="仿宋" w:eastAsia="仿宋" w:cs="仿宋"/>
                <w:sz w:val="32"/>
                <w:szCs w:val="32"/>
              </w:rPr>
            </w:pPr>
            <w:r>
              <w:rPr>
                <w:rFonts w:hint="eastAsia" w:ascii="仿宋" w:hAnsi="仿宋" w:eastAsia="仿宋" w:cs="仿宋"/>
                <w:sz w:val="32"/>
                <w:szCs w:val="32"/>
              </w:rPr>
              <w:t>财政性资金基本保证</w:t>
            </w:r>
          </w:p>
        </w:tc>
      </w:tr>
    </w:tbl>
    <w:p>
      <w:pPr>
        <w:widowControl/>
        <w:spacing w:line="360" w:lineRule="auto"/>
        <w:ind w:left="628"/>
        <w:jc w:val="center"/>
        <w:rPr>
          <w:rFonts w:ascii="仿宋" w:hAnsi="仿宋" w:eastAsia="仿宋" w:cs="仿宋"/>
          <w:b/>
          <w:kern w:val="0"/>
          <w:sz w:val="32"/>
          <w:szCs w:val="32"/>
        </w:rPr>
      </w:pP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成安县农业服务协会办公室，预算编码是201002，内设1个内部机构。</w:t>
      </w:r>
    </w:p>
    <w:p>
      <w:pPr>
        <w:widowControl/>
        <w:spacing w:line="360" w:lineRule="auto"/>
        <w:ind w:firstLine="640" w:firstLineChars="200"/>
        <w:jc w:val="left"/>
        <w:rPr>
          <w:rFonts w:ascii="仿宋" w:hAnsi="仿宋" w:eastAsia="仿宋" w:cs="仿宋"/>
          <w:sz w:val="32"/>
          <w:szCs w:val="32"/>
        </w:rPr>
      </w:pPr>
      <w:r>
        <w:rPr>
          <w:rFonts w:hint="eastAsia" w:ascii="仿宋" w:hAnsi="仿宋" w:eastAsia="仿宋" w:cs="仿宋"/>
          <w:bCs/>
          <w:kern w:val="0"/>
          <w:sz w:val="32"/>
          <w:szCs w:val="32"/>
        </w:rPr>
        <w:t>办公室主要负责：</w:t>
      </w:r>
      <w:r>
        <w:rPr>
          <w:rFonts w:hint="eastAsia" w:ascii="仿宋" w:hAnsi="仿宋" w:eastAsia="仿宋" w:cs="仿宋"/>
          <w:sz w:val="32"/>
          <w:szCs w:val="32"/>
        </w:rPr>
        <w:t>指导基层农协的组织建设，大力开展产业化建设。制定实施全县农协和产业化工作目标，并负责督促、落实；负责申报、参评、监测省级、市县三级农业产业化重点龙头企业工作，对上争取对龙头企业的扶持资金和落实各项优惠政策。</w:t>
      </w:r>
    </w:p>
    <w:p>
      <w:pPr>
        <w:widowControl/>
        <w:spacing w:line="360" w:lineRule="auto"/>
        <w:ind w:firstLine="630" w:firstLineChars="196"/>
        <w:jc w:val="left"/>
        <w:rPr>
          <w:rFonts w:ascii="仿宋" w:hAnsi="仿宋" w:eastAsia="仿宋" w:cs="仿宋"/>
          <w:b/>
          <w:kern w:val="0"/>
          <w:sz w:val="32"/>
          <w:szCs w:val="32"/>
        </w:rPr>
      </w:pPr>
      <w:r>
        <w:rPr>
          <w:rFonts w:hint="eastAsia" w:ascii="仿宋" w:hAnsi="仿宋" w:eastAsia="仿宋" w:cs="仿宋"/>
          <w:b/>
          <w:kern w:val="0"/>
          <w:sz w:val="32"/>
          <w:szCs w:val="32"/>
        </w:rPr>
        <w:t>人员编制和领导职数</w:t>
      </w: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成安县农业服务协会办公室，人员编制5名，其中领导职数2个。</w:t>
      </w:r>
    </w:p>
    <w:p>
      <w:pPr>
        <w:widowControl/>
        <w:spacing w:line="360" w:lineRule="auto"/>
        <w:ind w:firstLine="627" w:firstLineChars="196"/>
        <w:jc w:val="left"/>
        <w:rPr>
          <w:rFonts w:ascii="黑体" w:hAnsi="黑体" w:eastAsia="黑体" w:cs="仿宋"/>
          <w:bCs/>
          <w:kern w:val="0"/>
          <w:sz w:val="32"/>
          <w:szCs w:val="32"/>
        </w:rPr>
      </w:pPr>
      <w:r>
        <w:rPr>
          <w:rFonts w:hint="eastAsia" w:ascii="黑体" w:hAnsi="黑体" w:eastAsia="黑体" w:cs="楷体"/>
          <w:bCs/>
          <w:sz w:val="32"/>
          <w:szCs w:val="32"/>
        </w:rPr>
        <w:t>二、部门预算安排的总体情况</w:t>
      </w:r>
    </w:p>
    <w:p>
      <w:pPr>
        <w:widowControl/>
        <w:numPr>
          <w:ilvl w:val="0"/>
          <w:numId w:val="2"/>
        </w:numPr>
        <w:spacing w:line="360" w:lineRule="auto"/>
        <w:ind w:left="420" w:leftChars="200"/>
        <w:jc w:val="left"/>
        <w:rPr>
          <w:rFonts w:ascii="仿宋" w:hAnsi="仿宋" w:eastAsia="仿宋" w:cs="仿宋"/>
          <w:kern w:val="0"/>
          <w:sz w:val="32"/>
          <w:szCs w:val="32"/>
        </w:rPr>
      </w:pPr>
      <w:r>
        <w:rPr>
          <w:rFonts w:hint="eastAsia" w:ascii="仿宋" w:hAnsi="仿宋" w:eastAsia="仿宋" w:cs="仿宋"/>
          <w:kern w:val="0"/>
          <w:sz w:val="32"/>
          <w:szCs w:val="32"/>
        </w:rPr>
        <w:t>收入说明</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w:t>
      </w:r>
      <w:r>
        <w:rPr>
          <w:rFonts w:ascii="仿宋" w:hAnsi="仿宋" w:eastAsia="仿宋" w:cs="仿宋"/>
          <w:kern w:val="0"/>
          <w:sz w:val="32"/>
          <w:szCs w:val="32"/>
        </w:rPr>
        <w:t>20</w:t>
      </w:r>
      <w:r>
        <w:rPr>
          <w:rFonts w:hint="eastAsia" w:ascii="仿宋" w:hAnsi="仿宋" w:eastAsia="仿宋" w:cs="仿宋"/>
          <w:kern w:val="0"/>
          <w:sz w:val="32"/>
          <w:szCs w:val="32"/>
        </w:rPr>
        <w:t>年预算收入为6</w:t>
      </w:r>
      <w:r>
        <w:rPr>
          <w:rFonts w:ascii="仿宋" w:hAnsi="仿宋" w:eastAsia="仿宋" w:cs="仿宋"/>
          <w:kern w:val="0"/>
          <w:sz w:val="32"/>
          <w:szCs w:val="32"/>
        </w:rPr>
        <w:t>7.97</w:t>
      </w:r>
      <w:r>
        <w:rPr>
          <w:rFonts w:hint="eastAsia" w:ascii="仿宋" w:hAnsi="仿宋" w:eastAsia="仿宋" w:cs="仿宋"/>
          <w:kern w:val="0"/>
          <w:sz w:val="32"/>
          <w:szCs w:val="32"/>
        </w:rPr>
        <w:t>万元，其中：一般公共预算收入6</w:t>
      </w:r>
      <w:r>
        <w:rPr>
          <w:rFonts w:ascii="仿宋" w:hAnsi="仿宋" w:eastAsia="仿宋" w:cs="仿宋"/>
          <w:kern w:val="0"/>
          <w:sz w:val="32"/>
          <w:szCs w:val="32"/>
        </w:rPr>
        <w:t>7.97</w:t>
      </w:r>
      <w:r>
        <w:rPr>
          <w:rFonts w:hint="eastAsia" w:ascii="仿宋" w:hAnsi="仿宋" w:eastAsia="仿宋" w:cs="仿宋"/>
          <w:kern w:val="0"/>
          <w:sz w:val="32"/>
          <w:szCs w:val="32"/>
        </w:rPr>
        <w:t>万元，政府性基金收入0万元，国有资本经营收入0万元，事业收入0万元，其他收入0万元。</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2、支出说明</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20</w:t>
      </w:r>
      <w:r>
        <w:rPr>
          <w:rFonts w:ascii="仿宋" w:hAnsi="仿宋" w:eastAsia="仿宋" w:cs="仿宋"/>
          <w:kern w:val="0"/>
          <w:sz w:val="32"/>
          <w:szCs w:val="32"/>
        </w:rPr>
        <w:t>20</w:t>
      </w:r>
      <w:r>
        <w:rPr>
          <w:rFonts w:hint="eastAsia" w:ascii="仿宋" w:hAnsi="仿宋" w:eastAsia="仿宋" w:cs="仿宋"/>
          <w:kern w:val="0"/>
          <w:sz w:val="32"/>
          <w:szCs w:val="32"/>
        </w:rPr>
        <w:t>年支出预算总额为6</w:t>
      </w:r>
      <w:r>
        <w:rPr>
          <w:rFonts w:ascii="仿宋" w:hAnsi="仿宋" w:eastAsia="仿宋" w:cs="仿宋"/>
          <w:kern w:val="0"/>
          <w:sz w:val="32"/>
          <w:szCs w:val="32"/>
        </w:rPr>
        <w:t>7.97</w:t>
      </w:r>
      <w:r>
        <w:rPr>
          <w:rFonts w:hint="eastAsia" w:ascii="仿宋" w:hAnsi="仿宋" w:eastAsia="仿宋" w:cs="仿宋"/>
          <w:kern w:val="0"/>
          <w:sz w:val="32"/>
          <w:szCs w:val="32"/>
        </w:rPr>
        <w:t>万元，其中基本支出6</w:t>
      </w:r>
      <w:r>
        <w:rPr>
          <w:rFonts w:ascii="仿宋" w:hAnsi="仿宋" w:eastAsia="仿宋" w:cs="仿宋"/>
          <w:kern w:val="0"/>
          <w:sz w:val="32"/>
          <w:szCs w:val="32"/>
        </w:rPr>
        <w:t>7.97</w:t>
      </w:r>
      <w:r>
        <w:rPr>
          <w:rFonts w:hint="eastAsia" w:ascii="仿宋" w:hAnsi="仿宋" w:eastAsia="仿宋" w:cs="仿宋"/>
          <w:kern w:val="0"/>
          <w:sz w:val="32"/>
          <w:szCs w:val="32"/>
        </w:rPr>
        <w:t>万元，包括人员经费</w:t>
      </w:r>
      <w:r>
        <w:rPr>
          <w:rFonts w:ascii="仿宋" w:hAnsi="仿宋" w:eastAsia="仿宋" w:cs="仿宋"/>
          <w:kern w:val="0"/>
          <w:sz w:val="32"/>
          <w:szCs w:val="32"/>
        </w:rPr>
        <w:t>61.73</w:t>
      </w:r>
      <w:r>
        <w:rPr>
          <w:rFonts w:hint="eastAsia" w:ascii="仿宋" w:hAnsi="仿宋" w:eastAsia="仿宋" w:cs="仿宋"/>
          <w:kern w:val="0"/>
          <w:sz w:val="32"/>
          <w:szCs w:val="32"/>
        </w:rPr>
        <w:t>万元，日常公用经费安排</w:t>
      </w:r>
      <w:r>
        <w:rPr>
          <w:rFonts w:ascii="仿宋" w:hAnsi="仿宋" w:eastAsia="仿宋" w:cs="仿宋"/>
          <w:kern w:val="0"/>
          <w:sz w:val="32"/>
          <w:szCs w:val="32"/>
        </w:rPr>
        <w:t>6.24</w:t>
      </w:r>
      <w:r>
        <w:rPr>
          <w:rFonts w:hint="eastAsia" w:ascii="仿宋" w:hAnsi="仿宋" w:eastAsia="仿宋" w:cs="仿宋"/>
          <w:kern w:val="0"/>
          <w:sz w:val="32"/>
          <w:szCs w:val="32"/>
        </w:rPr>
        <w:t>万元。</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3、比上年增减变化情况</w:t>
      </w:r>
    </w:p>
    <w:p>
      <w:pPr>
        <w:spacing w:line="560" w:lineRule="exact"/>
        <w:ind w:firstLine="640"/>
        <w:rPr>
          <w:rFonts w:ascii="仿宋" w:hAnsi="仿宋" w:eastAsia="仿宋" w:cs="Times New Roman"/>
          <w:sz w:val="32"/>
          <w:szCs w:val="32"/>
        </w:rPr>
      </w:pPr>
      <w:r>
        <w:rPr>
          <w:rFonts w:hint="eastAsia" w:ascii="仿宋" w:hAnsi="仿宋" w:eastAsia="仿宋" w:cs="仿宋"/>
          <w:kern w:val="0"/>
          <w:sz w:val="32"/>
          <w:szCs w:val="32"/>
        </w:rPr>
        <w:t>20</w:t>
      </w:r>
      <w:r>
        <w:rPr>
          <w:rFonts w:ascii="仿宋" w:hAnsi="仿宋" w:eastAsia="仿宋" w:cs="仿宋"/>
          <w:kern w:val="0"/>
          <w:sz w:val="32"/>
          <w:szCs w:val="32"/>
        </w:rPr>
        <w:t>20</w:t>
      </w:r>
      <w:r>
        <w:rPr>
          <w:rFonts w:hint="eastAsia" w:ascii="仿宋" w:hAnsi="仿宋" w:eastAsia="仿宋" w:cs="仿宋"/>
          <w:kern w:val="0"/>
          <w:sz w:val="32"/>
          <w:szCs w:val="32"/>
        </w:rPr>
        <w:t>年预算收支安排6</w:t>
      </w:r>
      <w:r>
        <w:rPr>
          <w:rFonts w:ascii="仿宋" w:hAnsi="仿宋" w:eastAsia="仿宋" w:cs="仿宋"/>
          <w:kern w:val="0"/>
          <w:sz w:val="32"/>
          <w:szCs w:val="32"/>
        </w:rPr>
        <w:t>7.97</w:t>
      </w:r>
      <w:r>
        <w:rPr>
          <w:rFonts w:hint="eastAsia" w:ascii="仿宋" w:hAnsi="仿宋" w:eastAsia="仿宋" w:cs="仿宋"/>
          <w:kern w:val="0"/>
          <w:sz w:val="32"/>
          <w:szCs w:val="32"/>
        </w:rPr>
        <w:t>万元，201</w:t>
      </w:r>
      <w:r>
        <w:rPr>
          <w:rFonts w:ascii="仿宋" w:hAnsi="仿宋" w:eastAsia="仿宋" w:cs="仿宋"/>
          <w:kern w:val="0"/>
          <w:sz w:val="32"/>
          <w:szCs w:val="32"/>
        </w:rPr>
        <w:t>9</w:t>
      </w:r>
      <w:r>
        <w:rPr>
          <w:rFonts w:hint="eastAsia" w:ascii="仿宋" w:hAnsi="仿宋" w:eastAsia="仿宋" w:cs="仿宋"/>
          <w:kern w:val="0"/>
          <w:sz w:val="32"/>
          <w:szCs w:val="32"/>
        </w:rPr>
        <w:t>年成安县农业服务协会办公室财政拨款收入</w:t>
      </w:r>
      <w:r>
        <w:rPr>
          <w:rFonts w:ascii="仿宋" w:hAnsi="仿宋" w:eastAsia="仿宋" w:cs="仿宋"/>
          <w:kern w:val="0"/>
          <w:sz w:val="32"/>
          <w:szCs w:val="32"/>
        </w:rPr>
        <w:t>68.72</w:t>
      </w:r>
      <w:r>
        <w:rPr>
          <w:rFonts w:hint="eastAsia" w:ascii="仿宋" w:hAnsi="仿宋" w:eastAsia="仿宋" w:cs="仿宋"/>
          <w:kern w:val="0"/>
          <w:sz w:val="32"/>
          <w:szCs w:val="32"/>
        </w:rPr>
        <w:t>万元，总支出</w:t>
      </w:r>
      <w:r>
        <w:rPr>
          <w:rFonts w:ascii="仿宋" w:hAnsi="仿宋" w:eastAsia="仿宋" w:cs="仿宋"/>
          <w:kern w:val="0"/>
          <w:sz w:val="32"/>
          <w:szCs w:val="32"/>
        </w:rPr>
        <w:t>68.72</w:t>
      </w:r>
      <w:r>
        <w:rPr>
          <w:rFonts w:hint="eastAsia" w:ascii="仿宋" w:hAnsi="仿宋" w:eastAsia="仿宋" w:cs="仿宋"/>
          <w:kern w:val="0"/>
          <w:sz w:val="32"/>
          <w:szCs w:val="32"/>
        </w:rPr>
        <w:t>万元。其中：基本支出减少</w:t>
      </w:r>
      <w:r>
        <w:rPr>
          <w:rFonts w:ascii="仿宋" w:hAnsi="仿宋" w:eastAsia="仿宋" w:cs="仿宋"/>
          <w:kern w:val="0"/>
          <w:sz w:val="32"/>
          <w:szCs w:val="32"/>
        </w:rPr>
        <w:t>0.75</w:t>
      </w:r>
      <w:r>
        <w:rPr>
          <w:rFonts w:hint="eastAsia" w:ascii="仿宋" w:hAnsi="仿宋" w:eastAsia="仿宋" w:cs="仿宋"/>
          <w:kern w:val="0"/>
          <w:sz w:val="32"/>
          <w:szCs w:val="32"/>
        </w:rPr>
        <w:t>万元，</w:t>
      </w:r>
      <w:r>
        <w:rPr>
          <w:rFonts w:hint="eastAsia" w:ascii="仿宋" w:hAnsi="仿宋" w:eastAsia="仿宋" w:cs="仿宋_GB2312"/>
          <w:kern w:val="0"/>
          <w:sz w:val="32"/>
          <w:szCs w:val="32"/>
        </w:rPr>
        <w:t>主要是2020年工资预算减少。</w:t>
      </w:r>
    </w:p>
    <w:p>
      <w:pPr>
        <w:widowControl/>
        <w:spacing w:line="360" w:lineRule="auto"/>
        <w:ind w:firstLine="736" w:firstLineChars="230"/>
        <w:jc w:val="left"/>
        <w:rPr>
          <w:rFonts w:ascii="黑体" w:hAnsi="黑体" w:eastAsia="黑体" w:cs="仿宋"/>
          <w:bCs/>
          <w:kern w:val="0"/>
          <w:sz w:val="32"/>
          <w:szCs w:val="32"/>
        </w:rPr>
      </w:pPr>
      <w:r>
        <w:rPr>
          <w:rFonts w:hint="eastAsia" w:ascii="黑体" w:hAnsi="黑体" w:eastAsia="黑体" w:cs="楷体"/>
          <w:bCs/>
          <w:sz w:val="32"/>
          <w:szCs w:val="32"/>
        </w:rPr>
        <w:t>三、机关运行经费安排情况</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机关运行经费共计6</w:t>
      </w:r>
      <w:r>
        <w:rPr>
          <w:rFonts w:ascii="仿宋" w:hAnsi="仿宋" w:eastAsia="仿宋" w:cs="仿宋"/>
          <w:kern w:val="0"/>
          <w:sz w:val="32"/>
          <w:szCs w:val="32"/>
        </w:rPr>
        <w:t>.24</w:t>
      </w:r>
      <w:r>
        <w:rPr>
          <w:rFonts w:hint="eastAsia" w:ascii="仿宋" w:hAnsi="仿宋" w:eastAsia="仿宋" w:cs="仿宋"/>
          <w:kern w:val="0"/>
          <w:sz w:val="32"/>
          <w:szCs w:val="32"/>
        </w:rPr>
        <w:t>万元，其中日常经费6</w:t>
      </w:r>
      <w:r>
        <w:rPr>
          <w:rFonts w:ascii="仿宋" w:hAnsi="仿宋" w:eastAsia="仿宋" w:cs="仿宋"/>
          <w:kern w:val="0"/>
          <w:sz w:val="32"/>
          <w:szCs w:val="32"/>
        </w:rPr>
        <w:t>.24</w:t>
      </w:r>
      <w:r>
        <w:rPr>
          <w:rFonts w:hint="eastAsia" w:ascii="仿宋" w:hAnsi="仿宋" w:eastAsia="仿宋" w:cs="仿宋"/>
          <w:kern w:val="0"/>
          <w:sz w:val="32"/>
          <w:szCs w:val="32"/>
        </w:rPr>
        <w:t>万元，主要用于办公费、差旅、邮电费、公务交通补贴、印刷费等日常运行支出。</w:t>
      </w:r>
    </w:p>
    <w:p>
      <w:pPr>
        <w:widowControl/>
        <w:numPr>
          <w:ilvl w:val="0"/>
          <w:numId w:val="3"/>
        </w:numPr>
        <w:spacing w:line="360" w:lineRule="auto"/>
        <w:ind w:firstLine="640" w:firstLineChars="200"/>
        <w:jc w:val="left"/>
        <w:rPr>
          <w:rFonts w:ascii="黑体" w:hAnsi="黑体" w:eastAsia="黑体" w:cs="楷体"/>
          <w:bCs/>
          <w:sz w:val="32"/>
          <w:szCs w:val="32"/>
        </w:rPr>
      </w:pPr>
      <w:r>
        <w:rPr>
          <w:rFonts w:hint="eastAsia" w:ascii="黑体" w:hAnsi="黑体" w:eastAsia="黑体" w:cs="楷体"/>
          <w:bCs/>
          <w:sz w:val="32"/>
          <w:szCs w:val="32"/>
        </w:rPr>
        <w:t>财政拨款“三公”经费预算情况及增减变化原因</w:t>
      </w:r>
    </w:p>
    <w:p>
      <w:pPr>
        <w:widowControl/>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w:t>
      </w:r>
      <w:r>
        <w:rPr>
          <w:rFonts w:ascii="仿宋" w:hAnsi="仿宋" w:eastAsia="仿宋" w:cs="仿宋"/>
          <w:kern w:val="0"/>
          <w:sz w:val="32"/>
          <w:szCs w:val="32"/>
        </w:rPr>
        <w:t>20</w:t>
      </w:r>
      <w:r>
        <w:rPr>
          <w:rFonts w:hint="eastAsia" w:ascii="仿宋" w:hAnsi="仿宋" w:eastAsia="仿宋" w:cs="仿宋"/>
          <w:kern w:val="0"/>
          <w:sz w:val="32"/>
          <w:szCs w:val="32"/>
        </w:rPr>
        <w:t>年，我单位“三公”经费预算安排0万元，其中，因公出国（境）费0元，安排公务用车维护费</w:t>
      </w:r>
      <w:r>
        <w:rPr>
          <w:rFonts w:ascii="仿宋" w:hAnsi="仿宋" w:eastAsia="仿宋" w:cs="仿宋"/>
          <w:kern w:val="0"/>
          <w:sz w:val="32"/>
          <w:szCs w:val="32"/>
        </w:rPr>
        <w:t>0</w:t>
      </w:r>
      <w:r>
        <w:rPr>
          <w:rFonts w:hint="eastAsia" w:ascii="仿宋" w:hAnsi="仿宋" w:eastAsia="仿宋" w:cs="仿宋"/>
          <w:kern w:val="0"/>
          <w:sz w:val="32"/>
          <w:szCs w:val="32"/>
        </w:rPr>
        <w:t>元，（其中公务用车购置费0元，公务用车运行维护费0万元），公务接</w:t>
      </w:r>
      <w:r>
        <w:rPr>
          <w:rFonts w:hint="eastAsia" w:ascii="仿宋" w:hAnsi="仿宋" w:eastAsia="仿宋" w:cs="仿宋"/>
          <w:kern w:val="0"/>
          <w:sz w:val="32"/>
          <w:szCs w:val="32"/>
          <w:lang w:eastAsia="zh-CN"/>
        </w:rPr>
        <w:t>待</w:t>
      </w:r>
      <w:r>
        <w:rPr>
          <w:rFonts w:hint="eastAsia" w:ascii="仿宋" w:hAnsi="仿宋" w:eastAsia="仿宋" w:cs="仿宋"/>
          <w:kern w:val="0"/>
          <w:sz w:val="32"/>
          <w:szCs w:val="32"/>
        </w:rPr>
        <w:t>费0万元，因公出国（境）费与201</w:t>
      </w:r>
      <w:r>
        <w:rPr>
          <w:rFonts w:ascii="仿宋" w:hAnsi="仿宋" w:eastAsia="仿宋" w:cs="仿宋"/>
          <w:kern w:val="0"/>
          <w:sz w:val="32"/>
          <w:szCs w:val="32"/>
        </w:rPr>
        <w:t>9</w:t>
      </w:r>
      <w:r>
        <w:rPr>
          <w:rFonts w:hint="eastAsia" w:ascii="仿宋" w:hAnsi="仿宋" w:eastAsia="仿宋" w:cs="仿宋"/>
          <w:kern w:val="0"/>
          <w:sz w:val="32"/>
          <w:szCs w:val="32"/>
        </w:rPr>
        <w:t>年持平</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公务接</w:t>
      </w:r>
      <w:r>
        <w:rPr>
          <w:rFonts w:hint="eastAsia" w:ascii="仿宋" w:hAnsi="仿宋" w:eastAsia="仿宋" w:cs="仿宋"/>
          <w:kern w:val="0"/>
          <w:sz w:val="32"/>
          <w:szCs w:val="32"/>
          <w:lang w:eastAsia="zh-CN"/>
        </w:rPr>
        <w:t>待</w:t>
      </w:r>
      <w:r>
        <w:rPr>
          <w:rFonts w:hint="eastAsia" w:ascii="仿宋" w:hAnsi="仿宋" w:eastAsia="仿宋" w:cs="仿宋"/>
          <w:kern w:val="0"/>
          <w:sz w:val="32"/>
          <w:szCs w:val="32"/>
        </w:rPr>
        <w:t>费与201</w:t>
      </w:r>
      <w:r>
        <w:rPr>
          <w:rFonts w:ascii="仿宋" w:hAnsi="仿宋" w:eastAsia="仿宋" w:cs="仿宋"/>
          <w:kern w:val="0"/>
          <w:sz w:val="32"/>
          <w:szCs w:val="32"/>
        </w:rPr>
        <w:t>9</w:t>
      </w:r>
      <w:r>
        <w:rPr>
          <w:rFonts w:hint="eastAsia" w:ascii="仿宋" w:hAnsi="仿宋" w:eastAsia="仿宋" w:cs="仿宋"/>
          <w:kern w:val="0"/>
          <w:sz w:val="32"/>
          <w:szCs w:val="32"/>
        </w:rPr>
        <w:t>年持平</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公务用车维护费与201</w:t>
      </w:r>
      <w:r>
        <w:rPr>
          <w:rFonts w:ascii="仿宋" w:hAnsi="仿宋" w:eastAsia="仿宋" w:cs="仿宋"/>
          <w:kern w:val="0"/>
          <w:sz w:val="32"/>
          <w:szCs w:val="32"/>
        </w:rPr>
        <w:t>9</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相比减少</w:t>
      </w:r>
      <w:r>
        <w:rPr>
          <w:rFonts w:hint="eastAsia" w:ascii="仿宋" w:hAnsi="仿宋" w:eastAsia="仿宋" w:cs="仿宋"/>
          <w:kern w:val="0"/>
          <w:sz w:val="32"/>
          <w:szCs w:val="32"/>
          <w:lang w:val="en-US" w:eastAsia="zh-CN"/>
        </w:rPr>
        <w:t>100%主要是单位无</w:t>
      </w:r>
      <w:r>
        <w:rPr>
          <w:rFonts w:hint="eastAsia" w:ascii="仿宋" w:hAnsi="仿宋" w:eastAsia="仿宋" w:cs="仿宋"/>
          <w:kern w:val="0"/>
          <w:sz w:val="32"/>
          <w:szCs w:val="32"/>
        </w:rPr>
        <w:t>公务用车</w:t>
      </w:r>
      <w:r>
        <w:rPr>
          <w:rFonts w:hint="eastAsia" w:ascii="仿宋" w:hAnsi="仿宋" w:eastAsia="仿宋" w:cs="仿宋"/>
          <w:kern w:val="0"/>
          <w:sz w:val="32"/>
          <w:szCs w:val="32"/>
          <w:lang w:eastAsia="zh-CN"/>
        </w:rPr>
        <w:t>。</w:t>
      </w:r>
    </w:p>
    <w:p>
      <w:pPr>
        <w:widowControl/>
        <w:spacing w:line="360" w:lineRule="auto"/>
        <w:ind w:firstLine="419" w:firstLineChars="131"/>
        <w:jc w:val="left"/>
        <w:rPr>
          <w:rFonts w:ascii="黑体" w:hAnsi="黑体" w:eastAsia="黑体" w:cs="楷体"/>
          <w:bCs/>
          <w:sz w:val="32"/>
          <w:szCs w:val="32"/>
        </w:rPr>
      </w:pPr>
      <w:r>
        <w:rPr>
          <w:rFonts w:hint="eastAsia" w:ascii="黑体" w:hAnsi="黑体" w:eastAsia="黑体" w:cs="楷体"/>
          <w:bCs/>
          <w:sz w:val="32"/>
          <w:szCs w:val="32"/>
        </w:rPr>
        <w:t>五、绩效预算信息</w:t>
      </w:r>
    </w:p>
    <w:p>
      <w:pPr>
        <w:ind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rPr>
        <w:t>总体绩效目标：</w:t>
      </w:r>
    </w:p>
    <w:p>
      <w:pPr>
        <w:ind w:firstLine="640" w:firstLineChars="200"/>
        <w:rPr>
          <w:rFonts w:hint="eastAsia" w:ascii="仿宋" w:hAnsi="仿宋" w:eastAsia="仿宋"/>
          <w:sz w:val="32"/>
          <w:szCs w:val="32"/>
        </w:rPr>
      </w:pPr>
      <w:r>
        <w:rPr>
          <w:rFonts w:hint="eastAsia" w:ascii="仿宋" w:hAnsi="仿宋" w:eastAsia="仿宋"/>
          <w:sz w:val="32"/>
          <w:szCs w:val="32"/>
        </w:rPr>
        <w:t>深入贯彻中央、省、市关于“三农”工作的总体部署，认真落实</w:t>
      </w:r>
      <w:r>
        <w:rPr>
          <w:rFonts w:hint="eastAsia" w:ascii="仿宋" w:hAnsi="仿宋" w:eastAsia="仿宋"/>
          <w:sz w:val="32"/>
          <w:szCs w:val="32"/>
          <w:lang w:eastAsia="zh-CN"/>
        </w:rPr>
        <w:t>《中华人民共和国农民专业合作社法》</w:t>
      </w:r>
      <w:r>
        <w:rPr>
          <w:rFonts w:hint="eastAsia" w:ascii="仿宋" w:hAnsi="仿宋" w:eastAsia="仿宋"/>
          <w:sz w:val="32"/>
          <w:szCs w:val="32"/>
        </w:rPr>
        <w:t>和《河北省农民合作社条例》，坚持“发展与规范并举，数量与质量并重”指导思想，深入开展规范化建设年行动，进一步解放思想、创新思维，推进全县农民合作社健康发展。发挥协会的平台作用，开展农资服务、技术服务、信息服务。鼓励合作社开展社会化服务，向生活、供销等方面延伸，拓宽服务领域。在队伍建设、增强实力、转变作风上实现大突破，推动全市农协工作更上新台阶。</w:t>
      </w:r>
    </w:p>
    <w:p>
      <w:pPr>
        <w:numPr>
          <w:ilvl w:val="0"/>
          <w:numId w:val="4"/>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分项绩效目标</w:t>
      </w:r>
    </w:p>
    <w:p>
      <w:pPr>
        <w:pStyle w:val="10"/>
        <w:widowControl/>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规范提升农民专业合作社，搞好宣绩效目标：传、培训。产出目标：让农民群众增强法制观念和风险防范意识，搞好宣传每个合作社都得悬挂防范非法集资条幅，发放宣传资料2</w:t>
      </w:r>
      <w:r>
        <w:rPr>
          <w:rFonts w:hint="eastAsia" w:ascii="仿宋" w:hAnsi="仿宋" w:eastAsia="仿宋" w:cs="仿宋"/>
          <w:sz w:val="32"/>
          <w:szCs w:val="32"/>
          <w:lang w:val="en-US" w:eastAsia="zh-CN"/>
        </w:rPr>
        <w:t>1</w:t>
      </w:r>
      <w:r>
        <w:rPr>
          <w:rFonts w:hint="eastAsia" w:ascii="仿宋" w:hAnsi="仿宋" w:eastAsia="仿宋" w:cs="仿宋"/>
          <w:sz w:val="32"/>
          <w:szCs w:val="32"/>
        </w:rPr>
        <w:t>000余份等。服务对象满意度目标：群众满意度达到90%以上。</w:t>
      </w:r>
    </w:p>
    <w:p>
      <w:pPr>
        <w:pStyle w:val="10"/>
        <w:widowControl/>
        <w:ind w:firstLine="640"/>
        <w:rPr>
          <w:rFonts w:hint="eastAsia" w:ascii="仿宋" w:hAnsi="仿宋" w:eastAsia="仿宋" w:cs="仿宋"/>
          <w:sz w:val="32"/>
          <w:szCs w:val="32"/>
        </w:rPr>
      </w:pPr>
      <w:r>
        <w:rPr>
          <w:rFonts w:hint="eastAsia" w:ascii="仿宋" w:hAnsi="仿宋" w:eastAsia="仿宋" w:cs="仿宋"/>
          <w:sz w:val="32"/>
          <w:szCs w:val="32"/>
        </w:rPr>
        <w:t>2、为龙头企业搞好服务，搞好银企对接，解决资金瓶颈，拓宽产品销售渠道。</w:t>
      </w:r>
    </w:p>
    <w:p>
      <w:pPr>
        <w:pStyle w:val="10"/>
        <w:widowControl/>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 xml:space="preserve"> </w:t>
      </w:r>
      <w:r>
        <w:rPr>
          <w:rFonts w:hint="eastAsia" w:ascii="仿宋" w:hAnsi="仿宋" w:eastAsia="仿宋" w:cs="仿宋"/>
          <w:sz w:val="32"/>
          <w:szCs w:val="32"/>
          <w:lang w:eastAsia="zh-CN"/>
        </w:rPr>
        <w:t>工作保障措施</w:t>
      </w:r>
    </w:p>
    <w:p>
      <w:pPr>
        <w:pStyle w:val="10"/>
        <w:widowControl/>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积极</w:t>
      </w:r>
      <w:r>
        <w:rPr>
          <w:rFonts w:hint="eastAsia" w:ascii="仿宋" w:hAnsi="仿宋" w:eastAsia="仿宋" w:cs="仿宋"/>
          <w:sz w:val="32"/>
          <w:szCs w:val="32"/>
        </w:rPr>
        <w:t>开展</w:t>
      </w:r>
      <w:r>
        <w:rPr>
          <w:rFonts w:hint="eastAsia" w:ascii="仿宋" w:hAnsi="仿宋" w:eastAsia="仿宋" w:cs="仿宋"/>
          <w:sz w:val="32"/>
          <w:szCs w:val="32"/>
          <w:lang w:eastAsia="zh-CN"/>
        </w:rPr>
        <w:t>政银企对接，</w:t>
      </w:r>
      <w:r>
        <w:rPr>
          <w:rFonts w:hint="eastAsia" w:ascii="仿宋" w:hAnsi="仿宋" w:eastAsia="仿宋" w:cs="仿宋"/>
          <w:sz w:val="32"/>
          <w:szCs w:val="32"/>
        </w:rPr>
        <w:t>解</w:t>
      </w:r>
      <w:r>
        <w:rPr>
          <w:rFonts w:hint="eastAsia" w:ascii="仿宋" w:hAnsi="仿宋" w:eastAsia="仿宋" w:cs="仿宋"/>
          <w:sz w:val="32"/>
          <w:szCs w:val="32"/>
          <w:lang w:eastAsia="zh-CN"/>
        </w:rPr>
        <w:t>决</w:t>
      </w:r>
      <w:r>
        <w:rPr>
          <w:rFonts w:hint="eastAsia" w:ascii="仿宋" w:hAnsi="仿宋" w:eastAsia="仿宋" w:cs="仿宋"/>
          <w:sz w:val="32"/>
          <w:szCs w:val="32"/>
        </w:rPr>
        <w:t>企业</w:t>
      </w:r>
      <w:r>
        <w:rPr>
          <w:rFonts w:hint="eastAsia" w:ascii="仿宋" w:hAnsi="仿宋" w:eastAsia="仿宋" w:cs="仿宋"/>
          <w:sz w:val="32"/>
          <w:szCs w:val="32"/>
          <w:lang w:eastAsia="zh-CN"/>
        </w:rPr>
        <w:t>的资金瓶颈。</w:t>
      </w:r>
    </w:p>
    <w:p>
      <w:pPr>
        <w:pStyle w:val="10"/>
        <w:widowControl/>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用租用好上级的优惠政策，助推企业做大做强</w:t>
      </w:r>
      <w:r>
        <w:rPr>
          <w:rFonts w:hint="eastAsia" w:ascii="仿宋" w:hAnsi="仿宋" w:eastAsia="仿宋" w:cs="仿宋"/>
          <w:sz w:val="32"/>
          <w:szCs w:val="32"/>
        </w:rPr>
        <w:t>。</w:t>
      </w:r>
    </w:p>
    <w:p>
      <w:pPr>
        <w:pStyle w:val="10"/>
        <w:widowControl/>
        <w:rPr>
          <w:rFonts w:hint="eastAsia" w:ascii="仿宋" w:hAnsi="仿宋" w:eastAsia="仿宋" w:cs="仿宋"/>
          <w:sz w:val="32"/>
          <w:szCs w:val="32"/>
        </w:rPr>
      </w:pPr>
      <w:r>
        <w:rPr>
          <w:rFonts w:hint="eastAsia" w:ascii="仿宋" w:hAnsi="仿宋" w:eastAsia="仿宋" w:cs="仿宋"/>
          <w:sz w:val="32"/>
          <w:szCs w:val="32"/>
        </w:rPr>
        <w:t>3、组织</w:t>
      </w:r>
      <w:r>
        <w:rPr>
          <w:rFonts w:hint="eastAsia" w:ascii="仿宋" w:hAnsi="仿宋" w:eastAsia="仿宋" w:cs="仿宋"/>
          <w:sz w:val="32"/>
          <w:szCs w:val="32"/>
          <w:lang w:eastAsia="zh-CN"/>
        </w:rPr>
        <w:t>龙头企业和示范社参加大型</w:t>
      </w:r>
      <w:r>
        <w:rPr>
          <w:rFonts w:hint="eastAsia" w:ascii="仿宋" w:hAnsi="仿宋" w:eastAsia="仿宋" w:cs="仿宋"/>
          <w:sz w:val="32"/>
          <w:szCs w:val="32"/>
        </w:rPr>
        <w:t>农产品交易会</w:t>
      </w:r>
      <w:r>
        <w:rPr>
          <w:rFonts w:hint="eastAsia" w:ascii="仿宋" w:hAnsi="仿宋" w:eastAsia="仿宋" w:cs="仿宋"/>
          <w:sz w:val="32"/>
          <w:szCs w:val="32"/>
          <w:lang w:eastAsia="zh-CN"/>
        </w:rPr>
        <w:t>拓宽销售渠道，增加企业收入</w:t>
      </w:r>
      <w:r>
        <w:rPr>
          <w:rFonts w:hint="eastAsia" w:ascii="仿宋" w:hAnsi="仿宋" w:eastAsia="仿宋" w:cs="仿宋"/>
          <w:sz w:val="32"/>
          <w:szCs w:val="32"/>
        </w:rPr>
        <w:t>。</w:t>
      </w:r>
    </w:p>
    <w:p>
      <w:pPr>
        <w:pStyle w:val="10"/>
        <w:widowControl/>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积极为企业提供科技致富信息</w:t>
      </w:r>
      <w:r>
        <w:rPr>
          <w:rFonts w:hint="eastAsia" w:ascii="仿宋" w:hAnsi="仿宋" w:eastAsia="仿宋" w:cs="仿宋"/>
          <w:sz w:val="32"/>
          <w:szCs w:val="32"/>
        </w:rPr>
        <w:t>。</w:t>
      </w:r>
    </w:p>
    <w:p>
      <w:pPr>
        <w:pStyle w:val="10"/>
        <w:rPr>
          <w:rFonts w:hint="eastAsia" w:ascii="仿宋" w:hAnsi="仿宋" w:eastAsia="仿宋" w:cs="仿宋"/>
          <w:sz w:val="32"/>
          <w:szCs w:val="32"/>
        </w:rPr>
      </w:pPr>
    </w:p>
    <w:p>
      <w:pPr>
        <w:pStyle w:val="10"/>
        <w:widowControl/>
        <w:ind w:firstLine="640"/>
        <w:rPr>
          <w:rFonts w:hint="eastAsia" w:ascii="仿宋" w:hAnsi="仿宋" w:eastAsia="仿宋" w:cs="仿宋"/>
          <w:sz w:val="32"/>
          <w:szCs w:val="32"/>
          <w:lang w:eastAsia="zh-CN"/>
        </w:rPr>
      </w:pPr>
    </w:p>
    <w:p>
      <w:pPr>
        <w:numPr>
          <w:ilvl w:val="0"/>
          <w:numId w:val="0"/>
        </w:numPr>
        <w:rPr>
          <w:rFonts w:hint="default" w:ascii="仿宋" w:hAnsi="仿宋" w:eastAsia="仿宋"/>
          <w:sz w:val="32"/>
          <w:szCs w:val="32"/>
          <w:lang w:val="en-US" w:eastAsia="zh-CN"/>
        </w:rPr>
      </w:pPr>
    </w:p>
    <w:p>
      <w:pPr>
        <w:widowControl/>
        <w:spacing w:line="360" w:lineRule="auto"/>
        <w:ind w:firstLine="643" w:firstLineChars="200"/>
        <w:jc w:val="left"/>
        <w:rPr>
          <w:rFonts w:ascii="仿宋" w:hAnsi="仿宋" w:eastAsia="仿宋" w:cs="仿宋"/>
          <w:b/>
          <w:kern w:val="0"/>
          <w:sz w:val="32"/>
          <w:szCs w:val="32"/>
        </w:rPr>
      </w:pPr>
    </w:p>
    <w:p>
      <w:pPr>
        <w:widowControl/>
        <w:spacing w:line="360" w:lineRule="auto"/>
        <w:ind w:firstLine="643" w:firstLineChars="200"/>
        <w:jc w:val="left"/>
        <w:rPr>
          <w:rFonts w:ascii="仿宋" w:hAnsi="仿宋" w:eastAsia="仿宋" w:cs="仿宋"/>
          <w:b/>
          <w:kern w:val="0"/>
          <w:sz w:val="32"/>
          <w:szCs w:val="32"/>
        </w:rPr>
      </w:pPr>
      <w:r>
        <w:rPr>
          <w:rFonts w:hint="eastAsia" w:ascii="仿宋" w:hAnsi="仿宋" w:eastAsia="仿宋" w:cs="仿宋"/>
          <w:b/>
          <w:kern w:val="0"/>
          <w:sz w:val="32"/>
          <w:szCs w:val="32"/>
        </w:rPr>
        <w:t>部门职责及工作活动绩效目标指标</w:t>
      </w:r>
    </w:p>
    <w:p>
      <w:pPr>
        <w:widowControl/>
        <w:spacing w:line="360" w:lineRule="auto"/>
        <w:jc w:val="center"/>
        <w:rPr>
          <w:rFonts w:ascii="仿宋" w:hAnsi="仿宋" w:eastAsia="仿宋" w:cs="仿宋"/>
          <w:b/>
          <w:kern w:val="0"/>
          <w:sz w:val="32"/>
          <w:szCs w:val="32"/>
        </w:rPr>
      </w:pPr>
      <w:r>
        <w:rPr>
          <w:rFonts w:hint="eastAsia" w:ascii="仿宋" w:hAnsi="仿宋" w:eastAsia="仿宋" w:cs="仿宋"/>
          <w:b/>
          <w:kern w:val="0"/>
          <w:sz w:val="32"/>
          <w:szCs w:val="32"/>
        </w:rPr>
        <w:t>部门职责--工作活动绩效目标</w:t>
      </w:r>
    </w:p>
    <w:tbl>
      <w:tblPr>
        <w:tblStyle w:val="6"/>
        <w:tblW w:w="88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5"/>
        <w:gridCol w:w="1134"/>
        <w:gridCol w:w="1560"/>
        <w:gridCol w:w="1417"/>
        <w:gridCol w:w="992"/>
        <w:gridCol w:w="709"/>
        <w:gridCol w:w="567"/>
        <w:gridCol w:w="709"/>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tblHeader/>
          <w:jc w:val="center"/>
        </w:trPr>
        <w:tc>
          <w:tcPr>
            <w:tcW w:w="6058"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成安县农业服务协会</w:t>
            </w:r>
          </w:p>
        </w:tc>
        <w:tc>
          <w:tcPr>
            <w:tcW w:w="2802"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tblHeader/>
          <w:jc w:val="center"/>
        </w:trPr>
        <w:tc>
          <w:tcPr>
            <w:tcW w:w="955" w:type="dxa"/>
            <w:vMerge w:val="restart"/>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职责活动</w:t>
            </w:r>
          </w:p>
        </w:tc>
        <w:tc>
          <w:tcPr>
            <w:tcW w:w="1134" w:type="dxa"/>
            <w:vMerge w:val="restart"/>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年度预算数</w:t>
            </w:r>
          </w:p>
        </w:tc>
        <w:tc>
          <w:tcPr>
            <w:tcW w:w="1560" w:type="dxa"/>
            <w:vMerge w:val="restart"/>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内容描述</w:t>
            </w:r>
          </w:p>
        </w:tc>
        <w:tc>
          <w:tcPr>
            <w:tcW w:w="1417" w:type="dxa"/>
            <w:vMerge w:val="restart"/>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绩效目标</w:t>
            </w:r>
          </w:p>
        </w:tc>
        <w:tc>
          <w:tcPr>
            <w:tcW w:w="992" w:type="dxa"/>
            <w:vMerge w:val="restart"/>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绩效指标</w:t>
            </w:r>
          </w:p>
        </w:tc>
        <w:tc>
          <w:tcPr>
            <w:tcW w:w="2802" w:type="dxa"/>
            <w:gridSpan w:val="4"/>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tblHeader/>
          <w:jc w:val="center"/>
        </w:trPr>
        <w:tc>
          <w:tcPr>
            <w:tcW w:w="955" w:type="dxa"/>
            <w:vMerge w:val="continue"/>
            <w:shd w:val="clear" w:color="auto" w:fill="auto"/>
            <w:vAlign w:val="center"/>
          </w:tcPr>
          <w:p>
            <w:pPr>
              <w:spacing w:line="300" w:lineRule="exact"/>
              <w:jc w:val="left"/>
              <w:outlineLvl w:val="0"/>
              <w:rPr>
                <w:rFonts w:ascii="仿宋" w:hAnsi="仿宋" w:eastAsia="仿宋" w:cs="仿宋"/>
                <w:sz w:val="28"/>
                <w:szCs w:val="28"/>
              </w:rPr>
            </w:pPr>
          </w:p>
        </w:tc>
        <w:tc>
          <w:tcPr>
            <w:tcW w:w="1134" w:type="dxa"/>
            <w:vMerge w:val="continue"/>
            <w:shd w:val="clear" w:color="auto" w:fill="auto"/>
            <w:vAlign w:val="center"/>
          </w:tcPr>
          <w:p>
            <w:pPr>
              <w:spacing w:line="300" w:lineRule="exact"/>
              <w:jc w:val="left"/>
              <w:outlineLvl w:val="0"/>
              <w:rPr>
                <w:rFonts w:ascii="仿宋" w:hAnsi="仿宋" w:eastAsia="仿宋" w:cs="仿宋"/>
                <w:sz w:val="28"/>
                <w:szCs w:val="28"/>
              </w:rPr>
            </w:pPr>
          </w:p>
        </w:tc>
        <w:tc>
          <w:tcPr>
            <w:tcW w:w="1560" w:type="dxa"/>
            <w:vMerge w:val="continue"/>
            <w:shd w:val="clear" w:color="auto" w:fill="auto"/>
            <w:vAlign w:val="center"/>
          </w:tcPr>
          <w:p>
            <w:pPr>
              <w:spacing w:line="300" w:lineRule="exact"/>
              <w:jc w:val="left"/>
              <w:outlineLvl w:val="0"/>
              <w:rPr>
                <w:rFonts w:ascii="仿宋" w:hAnsi="仿宋" w:eastAsia="仿宋" w:cs="仿宋"/>
                <w:sz w:val="28"/>
                <w:szCs w:val="28"/>
              </w:rPr>
            </w:pPr>
          </w:p>
        </w:tc>
        <w:tc>
          <w:tcPr>
            <w:tcW w:w="1417" w:type="dxa"/>
            <w:vMerge w:val="continue"/>
            <w:shd w:val="clear" w:color="auto" w:fill="auto"/>
            <w:vAlign w:val="center"/>
          </w:tcPr>
          <w:p>
            <w:pPr>
              <w:spacing w:line="300" w:lineRule="exact"/>
              <w:jc w:val="left"/>
              <w:outlineLvl w:val="0"/>
              <w:rPr>
                <w:rFonts w:ascii="仿宋" w:hAnsi="仿宋" w:eastAsia="仿宋" w:cs="仿宋"/>
                <w:sz w:val="28"/>
                <w:szCs w:val="28"/>
              </w:rPr>
            </w:pPr>
          </w:p>
        </w:tc>
        <w:tc>
          <w:tcPr>
            <w:tcW w:w="992" w:type="dxa"/>
            <w:vMerge w:val="continue"/>
            <w:shd w:val="clear" w:color="auto" w:fill="auto"/>
            <w:vAlign w:val="center"/>
          </w:tcPr>
          <w:p>
            <w:pPr>
              <w:spacing w:line="300" w:lineRule="exact"/>
              <w:jc w:val="left"/>
              <w:outlineLvl w:val="0"/>
              <w:rPr>
                <w:rFonts w:ascii="仿宋" w:hAnsi="仿宋" w:eastAsia="仿宋" w:cs="仿宋"/>
                <w:sz w:val="28"/>
                <w:szCs w:val="28"/>
              </w:rPr>
            </w:pPr>
          </w:p>
        </w:tc>
        <w:tc>
          <w:tcPr>
            <w:tcW w:w="709"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优</w:t>
            </w:r>
          </w:p>
        </w:tc>
        <w:tc>
          <w:tcPr>
            <w:tcW w:w="567"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良</w:t>
            </w:r>
          </w:p>
        </w:tc>
        <w:tc>
          <w:tcPr>
            <w:tcW w:w="709"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中</w:t>
            </w:r>
          </w:p>
        </w:tc>
        <w:tc>
          <w:tcPr>
            <w:tcW w:w="817"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经济指标考核</w:t>
            </w:r>
          </w:p>
        </w:tc>
        <w:tc>
          <w:tcPr>
            <w:tcW w:w="1134" w:type="dxa"/>
            <w:shd w:val="clear" w:color="auto" w:fill="auto"/>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13</w:t>
            </w:r>
          </w:p>
        </w:tc>
        <w:tc>
          <w:tcPr>
            <w:tcW w:w="1560" w:type="dxa"/>
            <w:shd w:val="clear" w:color="auto" w:fill="auto"/>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负责制定、实施全县农协、专协和产业化工作目标，并负责督促、检查、落实。农业产业化经营率和农产品加工比值全市考核排队。</w:t>
            </w:r>
          </w:p>
        </w:tc>
        <w:tc>
          <w:tcPr>
            <w:tcW w:w="14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完成县经济指标考核和农产品加工比值全市考核排队。</w:t>
            </w:r>
          </w:p>
        </w:tc>
        <w:tc>
          <w:tcPr>
            <w:tcW w:w="992" w:type="dxa"/>
            <w:shd w:val="clear" w:color="auto" w:fill="auto"/>
            <w:vAlign w:val="center"/>
          </w:tcPr>
          <w:p>
            <w:pPr>
              <w:spacing w:line="300" w:lineRule="exact"/>
              <w:jc w:val="left"/>
              <w:rPr>
                <w:rFonts w:ascii="仿宋" w:hAnsi="仿宋" w:eastAsia="仿宋" w:cs="仿宋"/>
                <w:sz w:val="28"/>
                <w:szCs w:val="28"/>
              </w:rPr>
            </w:pP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　　经济指标考核</w:t>
            </w:r>
          </w:p>
        </w:tc>
        <w:tc>
          <w:tcPr>
            <w:tcW w:w="1134" w:type="dxa"/>
            <w:shd w:val="clear" w:color="auto" w:fill="auto"/>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8</w:t>
            </w:r>
          </w:p>
        </w:tc>
        <w:tc>
          <w:tcPr>
            <w:tcW w:w="1560" w:type="dxa"/>
            <w:shd w:val="clear" w:color="auto" w:fill="auto"/>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农业产业化经营率和农产品加工比值全市考核排队。</w:t>
            </w:r>
          </w:p>
        </w:tc>
        <w:tc>
          <w:tcPr>
            <w:tcW w:w="14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带动增加经济产值</w:t>
            </w:r>
          </w:p>
        </w:tc>
        <w:tc>
          <w:tcPr>
            <w:tcW w:w="992"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农业产业化经营率</w:t>
            </w: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农产品推广宣传</w:t>
            </w:r>
          </w:p>
        </w:tc>
        <w:tc>
          <w:tcPr>
            <w:tcW w:w="1134" w:type="dxa"/>
            <w:shd w:val="clear" w:color="auto" w:fill="auto"/>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10</w:t>
            </w:r>
          </w:p>
        </w:tc>
        <w:tc>
          <w:tcPr>
            <w:tcW w:w="1560" w:type="dxa"/>
            <w:shd w:val="clear" w:color="auto" w:fill="auto"/>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廊坊农产品交易会,推广宣传我县农产品，并与大型超市对接，招商引资。</w:t>
            </w:r>
          </w:p>
        </w:tc>
        <w:tc>
          <w:tcPr>
            <w:tcW w:w="14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大力推广宣传我县农产品，并与大型超市对接，招商引资。</w:t>
            </w:r>
          </w:p>
        </w:tc>
        <w:tc>
          <w:tcPr>
            <w:tcW w:w="992" w:type="dxa"/>
            <w:shd w:val="clear" w:color="auto" w:fill="auto"/>
            <w:vAlign w:val="center"/>
          </w:tcPr>
          <w:p>
            <w:pPr>
              <w:spacing w:line="300" w:lineRule="exact"/>
              <w:jc w:val="left"/>
              <w:rPr>
                <w:rFonts w:ascii="仿宋" w:hAnsi="仿宋" w:eastAsia="仿宋" w:cs="仿宋"/>
                <w:sz w:val="28"/>
                <w:szCs w:val="28"/>
              </w:rPr>
            </w:pP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pPr>
              <w:spacing w:line="300" w:lineRule="exact"/>
              <w:jc w:val="left"/>
              <w:rPr>
                <w:rFonts w:ascii="仿宋" w:hAnsi="仿宋" w:eastAsia="仿宋" w:cs="仿宋"/>
                <w:b/>
                <w:sz w:val="28"/>
                <w:szCs w:val="28"/>
              </w:rPr>
            </w:pPr>
            <w:r>
              <w:rPr>
                <w:rFonts w:hint="eastAsia" w:ascii="仿宋" w:hAnsi="仿宋" w:eastAsia="仿宋" w:cs="仿宋"/>
                <w:b/>
                <w:sz w:val="28"/>
                <w:szCs w:val="28"/>
              </w:rPr>
              <w:t>　　廊坊农产品交易会</w:t>
            </w:r>
          </w:p>
        </w:tc>
        <w:tc>
          <w:tcPr>
            <w:tcW w:w="1134" w:type="dxa"/>
            <w:shd w:val="clear" w:color="auto" w:fill="auto"/>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23.53</w:t>
            </w:r>
          </w:p>
        </w:tc>
        <w:tc>
          <w:tcPr>
            <w:tcW w:w="1560" w:type="dxa"/>
            <w:shd w:val="clear" w:color="auto" w:fill="auto"/>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推广宣传我县农产品。与大型超市对接，招商引资。</w:t>
            </w:r>
          </w:p>
        </w:tc>
        <w:tc>
          <w:tcPr>
            <w:tcW w:w="14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带动招商引资</w:t>
            </w:r>
          </w:p>
        </w:tc>
        <w:tc>
          <w:tcPr>
            <w:tcW w:w="992"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推广宣传农产品</w:t>
            </w: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bl>
    <w:p>
      <w:pPr>
        <w:widowControl/>
        <w:spacing w:line="360" w:lineRule="auto"/>
        <w:ind w:firstLine="421" w:firstLineChars="131"/>
        <w:jc w:val="left"/>
        <w:rPr>
          <w:rFonts w:ascii="楷体" w:hAnsi="楷体" w:eastAsia="楷体" w:cs="楷体"/>
          <w:b/>
          <w:bCs/>
          <w:sz w:val="32"/>
          <w:szCs w:val="32"/>
        </w:rPr>
      </w:pPr>
    </w:p>
    <w:p>
      <w:pPr>
        <w:widowControl/>
        <w:spacing w:line="360" w:lineRule="auto"/>
        <w:ind w:firstLine="421" w:firstLineChars="131"/>
        <w:jc w:val="left"/>
        <w:rPr>
          <w:rFonts w:ascii="楷体" w:hAnsi="楷体" w:eastAsia="楷体" w:cs="楷体"/>
          <w:b/>
          <w:bCs/>
          <w:sz w:val="32"/>
          <w:szCs w:val="32"/>
        </w:rPr>
      </w:pPr>
    </w:p>
    <w:p>
      <w:pPr>
        <w:widowControl/>
        <w:spacing w:line="360" w:lineRule="auto"/>
        <w:ind w:firstLine="419" w:firstLineChars="131"/>
        <w:jc w:val="left"/>
        <w:rPr>
          <w:rFonts w:ascii="黑体" w:hAnsi="黑体" w:eastAsia="黑体" w:cs="楷体"/>
          <w:bCs/>
          <w:sz w:val="32"/>
          <w:szCs w:val="32"/>
        </w:rPr>
      </w:pPr>
      <w:r>
        <w:rPr>
          <w:rFonts w:hint="eastAsia" w:ascii="黑体" w:hAnsi="黑体" w:eastAsia="黑体" w:cs="楷体"/>
          <w:bCs/>
          <w:sz w:val="32"/>
          <w:szCs w:val="32"/>
        </w:rPr>
        <w:t>六、政府采购预算情况</w:t>
      </w:r>
    </w:p>
    <w:p>
      <w:pPr>
        <w:widowControl/>
        <w:spacing w:line="360" w:lineRule="auto"/>
        <w:ind w:firstLine="320" w:firstLineChars="100"/>
        <w:jc w:val="left"/>
        <w:rPr>
          <w:rFonts w:ascii="仿宋" w:hAnsi="仿宋" w:eastAsia="仿宋" w:cs="仿宋"/>
          <w:bCs/>
          <w:kern w:val="0"/>
          <w:sz w:val="32"/>
          <w:szCs w:val="32"/>
        </w:rPr>
      </w:pPr>
      <w:r>
        <w:rPr>
          <w:rFonts w:hint="eastAsia" w:ascii="仿宋" w:hAnsi="仿宋" w:eastAsia="仿宋" w:cs="仿宋"/>
          <w:bCs/>
          <w:kern w:val="0"/>
          <w:sz w:val="32"/>
          <w:szCs w:val="32"/>
        </w:rPr>
        <w:t xml:space="preserve"> 20</w:t>
      </w:r>
      <w:r>
        <w:rPr>
          <w:rFonts w:ascii="仿宋" w:hAnsi="仿宋" w:eastAsia="仿宋" w:cs="仿宋"/>
          <w:bCs/>
          <w:kern w:val="0"/>
          <w:sz w:val="32"/>
          <w:szCs w:val="32"/>
        </w:rPr>
        <w:t>20</w:t>
      </w:r>
      <w:r>
        <w:rPr>
          <w:rFonts w:hint="eastAsia" w:ascii="仿宋" w:hAnsi="仿宋" w:eastAsia="仿宋" w:cs="仿宋"/>
          <w:bCs/>
          <w:kern w:val="0"/>
          <w:sz w:val="32"/>
          <w:szCs w:val="32"/>
        </w:rPr>
        <w:t>年，我单位安排政府采购预算0.5万元。具体内容见下表</w:t>
      </w:r>
    </w:p>
    <w:p>
      <w:pPr>
        <w:spacing w:line="560" w:lineRule="exact"/>
        <w:jc w:val="center"/>
        <w:outlineLvl w:val="0"/>
        <w:rPr>
          <w:rFonts w:ascii="仿宋" w:hAnsi="仿宋" w:eastAsia="仿宋" w:cs="仿宋"/>
          <w:b/>
          <w:sz w:val="32"/>
          <w:szCs w:val="32"/>
        </w:rPr>
      </w:pPr>
      <w:r>
        <w:rPr>
          <w:rFonts w:hint="eastAsia" w:ascii="仿宋" w:hAnsi="仿宋" w:eastAsia="仿宋" w:cs="仿宋"/>
          <w:b/>
          <w:sz w:val="32"/>
          <w:szCs w:val="32"/>
        </w:rPr>
        <w:t>部门政府采购预算</w:t>
      </w:r>
    </w:p>
    <w:tbl>
      <w:tblPr>
        <w:tblStyle w:val="6"/>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820"/>
        <w:gridCol w:w="1337"/>
        <w:gridCol w:w="482"/>
        <w:gridCol w:w="423"/>
        <w:gridCol w:w="549"/>
        <w:gridCol w:w="723"/>
        <w:gridCol w:w="403"/>
        <w:gridCol w:w="562"/>
        <w:gridCol w:w="562"/>
        <w:gridCol w:w="511"/>
        <w:gridCol w:w="551"/>
        <w:gridCol w:w="551"/>
        <w:gridCol w:w="5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404" w:type="dxa"/>
            <w:gridSpan w:val="7"/>
            <w:tcBorders>
              <w:top w:val="single" w:color="FFFFFF" w:sz="6" w:space="0"/>
              <w:left w:val="single" w:color="FFFFFF" w:sz="6" w:space="0"/>
              <w:right w:val="single" w:color="FFFFFF" w:sz="6" w:space="0"/>
            </w:tcBorders>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部门（单位）名称：成安县农业服务协会</w:t>
            </w:r>
          </w:p>
        </w:tc>
        <w:tc>
          <w:tcPr>
            <w:tcW w:w="3656" w:type="dxa"/>
            <w:gridSpan w:val="7"/>
            <w:tcBorders>
              <w:top w:val="single" w:color="FFFFFF" w:sz="6" w:space="0"/>
              <w:left w:val="single" w:color="FFFFFF" w:sz="6" w:space="0"/>
              <w:right w:val="single" w:color="FFFFFF" w:sz="6" w:space="0"/>
            </w:tcBorders>
            <w:vAlign w:val="center"/>
          </w:tcPr>
          <w:p>
            <w:pPr>
              <w:spacing w:line="560" w:lineRule="exact"/>
              <w:jc w:val="right"/>
              <w:rPr>
                <w:rFonts w:ascii="仿宋" w:hAnsi="仿宋" w:eastAsia="仿宋" w:cs="仿宋"/>
                <w:sz w:val="28"/>
                <w:szCs w:val="28"/>
              </w:rPr>
            </w:pPr>
            <w:r>
              <w:rPr>
                <w:rFonts w:hint="eastAsia" w:ascii="仿宋" w:hAnsi="仿宋" w:eastAsia="仿宋" w:cs="仿宋"/>
                <w:sz w:val="28"/>
                <w:szCs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890" w:type="dxa"/>
            <w:gridSpan w:val="2"/>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政府采购项目来源</w:t>
            </w:r>
          </w:p>
        </w:tc>
        <w:tc>
          <w:tcPr>
            <w:tcW w:w="1337"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采购物品名称</w:t>
            </w:r>
          </w:p>
        </w:tc>
        <w:tc>
          <w:tcPr>
            <w:tcW w:w="482" w:type="dxa"/>
            <w:vMerge w:val="restart"/>
            <w:vAlign w:val="center"/>
          </w:tcPr>
          <w:p>
            <w:pPr>
              <w:spacing w:line="300" w:lineRule="exact"/>
              <w:jc w:val="center"/>
              <w:rPr>
                <w:rFonts w:ascii="仿宋" w:hAnsi="仿宋" w:eastAsia="仿宋" w:cs="仿宋"/>
                <w:b/>
                <w:bCs/>
                <w:sz w:val="28"/>
                <w:szCs w:val="28"/>
              </w:rPr>
            </w:pPr>
            <w:r>
              <w:rPr>
                <w:rFonts w:hint="eastAsia" w:ascii="仿宋" w:hAnsi="仿宋" w:eastAsia="仿宋" w:cs="仿宋"/>
                <w:b/>
                <w:bCs/>
                <w:sz w:val="28"/>
                <w:szCs w:val="28"/>
              </w:rPr>
              <w:t>政府采购目录序号</w:t>
            </w:r>
          </w:p>
        </w:tc>
        <w:tc>
          <w:tcPr>
            <w:tcW w:w="423"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数量单位</w:t>
            </w:r>
          </w:p>
        </w:tc>
        <w:tc>
          <w:tcPr>
            <w:tcW w:w="549"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数量</w:t>
            </w:r>
          </w:p>
        </w:tc>
        <w:tc>
          <w:tcPr>
            <w:tcW w:w="723"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单价</w:t>
            </w:r>
          </w:p>
        </w:tc>
        <w:tc>
          <w:tcPr>
            <w:tcW w:w="3656" w:type="dxa"/>
            <w:gridSpan w:val="7"/>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070"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项目名称</w:t>
            </w:r>
          </w:p>
        </w:tc>
        <w:tc>
          <w:tcPr>
            <w:tcW w:w="820"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预算资金</w:t>
            </w:r>
          </w:p>
        </w:tc>
        <w:tc>
          <w:tcPr>
            <w:tcW w:w="1337" w:type="dxa"/>
            <w:vMerge w:val="continue"/>
            <w:vAlign w:val="center"/>
          </w:tcPr>
          <w:p>
            <w:pPr>
              <w:spacing w:line="560" w:lineRule="exact"/>
              <w:jc w:val="left"/>
              <w:outlineLvl w:val="0"/>
              <w:rPr>
                <w:rFonts w:ascii="仿宋" w:hAnsi="仿宋" w:eastAsia="仿宋" w:cs="仿宋"/>
                <w:sz w:val="28"/>
                <w:szCs w:val="28"/>
              </w:rPr>
            </w:pPr>
          </w:p>
        </w:tc>
        <w:tc>
          <w:tcPr>
            <w:tcW w:w="482" w:type="dxa"/>
            <w:vMerge w:val="continue"/>
            <w:vAlign w:val="center"/>
          </w:tcPr>
          <w:p>
            <w:pPr>
              <w:spacing w:line="560" w:lineRule="exact"/>
              <w:jc w:val="left"/>
              <w:outlineLvl w:val="0"/>
              <w:rPr>
                <w:rFonts w:ascii="仿宋" w:hAnsi="仿宋" w:eastAsia="仿宋" w:cs="仿宋"/>
                <w:sz w:val="28"/>
                <w:szCs w:val="28"/>
              </w:rPr>
            </w:pPr>
          </w:p>
        </w:tc>
        <w:tc>
          <w:tcPr>
            <w:tcW w:w="423" w:type="dxa"/>
            <w:vMerge w:val="continue"/>
            <w:vAlign w:val="center"/>
          </w:tcPr>
          <w:p>
            <w:pPr>
              <w:spacing w:line="560" w:lineRule="exact"/>
              <w:jc w:val="left"/>
              <w:outlineLvl w:val="0"/>
              <w:rPr>
                <w:rFonts w:ascii="仿宋" w:hAnsi="仿宋" w:eastAsia="仿宋" w:cs="仿宋"/>
                <w:sz w:val="28"/>
                <w:szCs w:val="28"/>
              </w:rPr>
            </w:pPr>
          </w:p>
        </w:tc>
        <w:tc>
          <w:tcPr>
            <w:tcW w:w="549" w:type="dxa"/>
            <w:vMerge w:val="continue"/>
            <w:vAlign w:val="center"/>
          </w:tcPr>
          <w:p>
            <w:pPr>
              <w:spacing w:line="560" w:lineRule="exact"/>
              <w:jc w:val="left"/>
              <w:outlineLvl w:val="0"/>
              <w:rPr>
                <w:rFonts w:ascii="仿宋" w:hAnsi="仿宋" w:eastAsia="仿宋" w:cs="仿宋"/>
                <w:sz w:val="28"/>
                <w:szCs w:val="28"/>
              </w:rPr>
            </w:pPr>
          </w:p>
        </w:tc>
        <w:tc>
          <w:tcPr>
            <w:tcW w:w="723" w:type="dxa"/>
            <w:vMerge w:val="continue"/>
            <w:vAlign w:val="center"/>
          </w:tcPr>
          <w:p>
            <w:pPr>
              <w:spacing w:line="560" w:lineRule="exact"/>
              <w:jc w:val="left"/>
              <w:outlineLvl w:val="0"/>
              <w:rPr>
                <w:rFonts w:ascii="仿宋" w:hAnsi="仿宋" w:eastAsia="仿宋" w:cs="仿宋"/>
                <w:sz w:val="28"/>
                <w:szCs w:val="28"/>
              </w:rPr>
            </w:pPr>
          </w:p>
        </w:tc>
        <w:tc>
          <w:tcPr>
            <w:tcW w:w="403" w:type="dxa"/>
            <w:vMerge w:val="restart"/>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总计</w:t>
            </w:r>
          </w:p>
        </w:tc>
        <w:tc>
          <w:tcPr>
            <w:tcW w:w="2737" w:type="dxa"/>
            <w:gridSpan w:val="5"/>
            <w:vAlign w:val="center"/>
          </w:tcPr>
          <w:p>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当年部门预算安排资金</w:t>
            </w:r>
          </w:p>
        </w:tc>
        <w:tc>
          <w:tcPr>
            <w:tcW w:w="516" w:type="dxa"/>
            <w:vMerge w:val="restart"/>
            <w:vAlign w:val="center"/>
          </w:tcPr>
          <w:p>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7" w:hRule="atLeast"/>
          <w:tblHeader/>
          <w:jc w:val="center"/>
        </w:trPr>
        <w:tc>
          <w:tcPr>
            <w:tcW w:w="1070" w:type="dxa"/>
            <w:vMerge w:val="continue"/>
            <w:vAlign w:val="center"/>
          </w:tcPr>
          <w:p>
            <w:pPr>
              <w:spacing w:line="560" w:lineRule="exact"/>
              <w:jc w:val="left"/>
              <w:outlineLvl w:val="0"/>
              <w:rPr>
                <w:rFonts w:ascii="仿宋" w:hAnsi="仿宋" w:eastAsia="仿宋" w:cs="仿宋"/>
                <w:sz w:val="28"/>
                <w:szCs w:val="28"/>
              </w:rPr>
            </w:pPr>
          </w:p>
        </w:tc>
        <w:tc>
          <w:tcPr>
            <w:tcW w:w="820" w:type="dxa"/>
            <w:vMerge w:val="continue"/>
            <w:vAlign w:val="center"/>
          </w:tcPr>
          <w:p>
            <w:pPr>
              <w:spacing w:line="560" w:lineRule="exact"/>
              <w:jc w:val="left"/>
              <w:outlineLvl w:val="0"/>
              <w:rPr>
                <w:rFonts w:ascii="仿宋" w:hAnsi="仿宋" w:eastAsia="仿宋" w:cs="仿宋"/>
                <w:sz w:val="28"/>
                <w:szCs w:val="28"/>
              </w:rPr>
            </w:pPr>
          </w:p>
        </w:tc>
        <w:tc>
          <w:tcPr>
            <w:tcW w:w="1337" w:type="dxa"/>
            <w:vMerge w:val="continue"/>
            <w:vAlign w:val="center"/>
          </w:tcPr>
          <w:p>
            <w:pPr>
              <w:spacing w:line="560" w:lineRule="exact"/>
              <w:jc w:val="left"/>
              <w:outlineLvl w:val="0"/>
              <w:rPr>
                <w:rFonts w:ascii="仿宋" w:hAnsi="仿宋" w:eastAsia="仿宋" w:cs="仿宋"/>
                <w:sz w:val="28"/>
                <w:szCs w:val="28"/>
              </w:rPr>
            </w:pPr>
          </w:p>
        </w:tc>
        <w:tc>
          <w:tcPr>
            <w:tcW w:w="482" w:type="dxa"/>
            <w:vMerge w:val="continue"/>
            <w:vAlign w:val="center"/>
          </w:tcPr>
          <w:p>
            <w:pPr>
              <w:spacing w:line="560" w:lineRule="exact"/>
              <w:jc w:val="left"/>
              <w:outlineLvl w:val="0"/>
              <w:rPr>
                <w:rFonts w:ascii="仿宋" w:hAnsi="仿宋" w:eastAsia="仿宋" w:cs="仿宋"/>
                <w:sz w:val="28"/>
                <w:szCs w:val="28"/>
              </w:rPr>
            </w:pPr>
          </w:p>
        </w:tc>
        <w:tc>
          <w:tcPr>
            <w:tcW w:w="423" w:type="dxa"/>
            <w:vMerge w:val="continue"/>
            <w:vAlign w:val="center"/>
          </w:tcPr>
          <w:p>
            <w:pPr>
              <w:spacing w:line="560" w:lineRule="exact"/>
              <w:jc w:val="left"/>
              <w:outlineLvl w:val="0"/>
              <w:rPr>
                <w:rFonts w:ascii="仿宋" w:hAnsi="仿宋" w:eastAsia="仿宋" w:cs="仿宋"/>
                <w:sz w:val="28"/>
                <w:szCs w:val="28"/>
              </w:rPr>
            </w:pPr>
          </w:p>
        </w:tc>
        <w:tc>
          <w:tcPr>
            <w:tcW w:w="549" w:type="dxa"/>
            <w:vMerge w:val="continue"/>
            <w:vAlign w:val="center"/>
          </w:tcPr>
          <w:p>
            <w:pPr>
              <w:spacing w:line="560" w:lineRule="exact"/>
              <w:jc w:val="left"/>
              <w:outlineLvl w:val="0"/>
              <w:rPr>
                <w:rFonts w:ascii="仿宋" w:hAnsi="仿宋" w:eastAsia="仿宋" w:cs="仿宋"/>
                <w:sz w:val="28"/>
                <w:szCs w:val="28"/>
              </w:rPr>
            </w:pPr>
          </w:p>
        </w:tc>
        <w:tc>
          <w:tcPr>
            <w:tcW w:w="723" w:type="dxa"/>
            <w:vMerge w:val="continue"/>
            <w:vAlign w:val="center"/>
          </w:tcPr>
          <w:p>
            <w:pPr>
              <w:spacing w:line="560" w:lineRule="exact"/>
              <w:jc w:val="left"/>
              <w:outlineLvl w:val="0"/>
              <w:rPr>
                <w:rFonts w:ascii="仿宋" w:hAnsi="仿宋" w:eastAsia="仿宋" w:cs="仿宋"/>
                <w:sz w:val="28"/>
                <w:szCs w:val="28"/>
              </w:rPr>
            </w:pPr>
          </w:p>
        </w:tc>
        <w:tc>
          <w:tcPr>
            <w:tcW w:w="403" w:type="dxa"/>
            <w:vMerge w:val="continue"/>
            <w:vAlign w:val="center"/>
          </w:tcPr>
          <w:p>
            <w:pPr>
              <w:spacing w:line="560" w:lineRule="exact"/>
              <w:jc w:val="left"/>
              <w:outlineLvl w:val="0"/>
              <w:rPr>
                <w:rFonts w:ascii="仿宋" w:hAnsi="仿宋" w:eastAsia="仿宋" w:cs="仿宋"/>
                <w:sz w:val="28"/>
                <w:szCs w:val="28"/>
              </w:rPr>
            </w:pPr>
          </w:p>
        </w:tc>
        <w:tc>
          <w:tcPr>
            <w:tcW w:w="562" w:type="dxa"/>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合计</w:t>
            </w:r>
          </w:p>
        </w:tc>
        <w:tc>
          <w:tcPr>
            <w:tcW w:w="562" w:type="dxa"/>
            <w:vAlign w:val="center"/>
          </w:tcPr>
          <w:p>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一般公共预算拨款</w:t>
            </w:r>
          </w:p>
        </w:tc>
        <w:tc>
          <w:tcPr>
            <w:tcW w:w="511" w:type="dxa"/>
            <w:vAlign w:val="center"/>
          </w:tcPr>
          <w:p>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基金预算拨款</w:t>
            </w:r>
          </w:p>
        </w:tc>
        <w:tc>
          <w:tcPr>
            <w:tcW w:w="551" w:type="dxa"/>
            <w:vAlign w:val="center"/>
          </w:tcPr>
          <w:p>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财政专户核拨</w:t>
            </w:r>
          </w:p>
        </w:tc>
        <w:tc>
          <w:tcPr>
            <w:tcW w:w="551" w:type="dxa"/>
            <w:vAlign w:val="center"/>
          </w:tcPr>
          <w:p>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其他来源收入</w:t>
            </w:r>
          </w:p>
        </w:tc>
        <w:tc>
          <w:tcPr>
            <w:tcW w:w="516" w:type="dxa"/>
            <w:vMerge w:val="continue"/>
            <w:vAlign w:val="center"/>
          </w:tcPr>
          <w:p>
            <w:pPr>
              <w:spacing w:line="260" w:lineRule="exact"/>
              <w:jc w:val="left"/>
              <w:outlineLvl w:val="0"/>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0" w:type="dxa"/>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合　计</w:t>
            </w:r>
          </w:p>
        </w:tc>
        <w:tc>
          <w:tcPr>
            <w:tcW w:w="820"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1337" w:type="dxa"/>
            <w:vAlign w:val="center"/>
          </w:tcPr>
          <w:p>
            <w:pPr>
              <w:spacing w:line="560" w:lineRule="exact"/>
              <w:jc w:val="left"/>
              <w:rPr>
                <w:rFonts w:ascii="仿宋" w:hAnsi="仿宋" w:eastAsia="仿宋" w:cs="仿宋"/>
                <w:b/>
                <w:bCs/>
                <w:sz w:val="28"/>
                <w:szCs w:val="28"/>
              </w:rPr>
            </w:pPr>
          </w:p>
        </w:tc>
        <w:tc>
          <w:tcPr>
            <w:tcW w:w="482" w:type="dxa"/>
            <w:vAlign w:val="center"/>
          </w:tcPr>
          <w:p>
            <w:pPr>
              <w:spacing w:line="560" w:lineRule="exact"/>
              <w:jc w:val="left"/>
              <w:rPr>
                <w:rFonts w:ascii="仿宋" w:hAnsi="仿宋" w:eastAsia="仿宋" w:cs="仿宋"/>
                <w:b/>
                <w:bCs/>
                <w:sz w:val="28"/>
                <w:szCs w:val="28"/>
              </w:rPr>
            </w:pPr>
          </w:p>
        </w:tc>
        <w:tc>
          <w:tcPr>
            <w:tcW w:w="423" w:type="dxa"/>
            <w:vAlign w:val="center"/>
          </w:tcPr>
          <w:p>
            <w:pPr>
              <w:spacing w:line="560" w:lineRule="exact"/>
              <w:jc w:val="left"/>
              <w:rPr>
                <w:rFonts w:ascii="仿宋" w:hAnsi="仿宋" w:eastAsia="仿宋" w:cs="仿宋"/>
                <w:b/>
                <w:bCs/>
                <w:sz w:val="28"/>
                <w:szCs w:val="28"/>
              </w:rPr>
            </w:pPr>
          </w:p>
        </w:tc>
        <w:tc>
          <w:tcPr>
            <w:tcW w:w="549" w:type="dxa"/>
            <w:vAlign w:val="center"/>
          </w:tcPr>
          <w:p>
            <w:pPr>
              <w:spacing w:line="560" w:lineRule="exact"/>
              <w:jc w:val="right"/>
              <w:rPr>
                <w:rFonts w:ascii="仿宋" w:hAnsi="仿宋" w:eastAsia="仿宋" w:cs="仿宋"/>
                <w:b/>
                <w:bCs/>
                <w:sz w:val="28"/>
                <w:szCs w:val="28"/>
              </w:rPr>
            </w:pPr>
          </w:p>
        </w:tc>
        <w:tc>
          <w:tcPr>
            <w:tcW w:w="723" w:type="dxa"/>
            <w:vAlign w:val="center"/>
          </w:tcPr>
          <w:p>
            <w:pPr>
              <w:spacing w:line="560" w:lineRule="exact"/>
              <w:jc w:val="right"/>
              <w:rPr>
                <w:rFonts w:ascii="仿宋" w:hAnsi="仿宋" w:eastAsia="仿宋" w:cs="仿宋"/>
                <w:b/>
                <w:bCs/>
                <w:sz w:val="28"/>
                <w:szCs w:val="28"/>
              </w:rPr>
            </w:pPr>
          </w:p>
        </w:tc>
        <w:tc>
          <w:tcPr>
            <w:tcW w:w="403" w:type="dxa"/>
            <w:vAlign w:val="center"/>
          </w:tcPr>
          <w:p>
            <w:pPr>
              <w:spacing w:line="560" w:lineRule="exact"/>
              <w:jc w:val="right"/>
              <w:rPr>
                <w:rFonts w:ascii="仿宋" w:hAnsi="仿宋" w:eastAsia="仿宋" w:cs="仿宋"/>
                <w:b/>
                <w:bCs/>
                <w:sz w:val="28"/>
                <w:szCs w:val="28"/>
              </w:rPr>
            </w:pPr>
          </w:p>
        </w:tc>
        <w:tc>
          <w:tcPr>
            <w:tcW w:w="562"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562"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511" w:type="dxa"/>
            <w:vAlign w:val="center"/>
          </w:tcPr>
          <w:p>
            <w:pPr>
              <w:spacing w:line="560" w:lineRule="exact"/>
              <w:jc w:val="right"/>
              <w:rPr>
                <w:rFonts w:ascii="仿宋" w:hAnsi="仿宋" w:eastAsia="仿宋" w:cs="仿宋"/>
                <w:b/>
                <w:bCs/>
                <w:sz w:val="28"/>
                <w:szCs w:val="28"/>
              </w:rPr>
            </w:pPr>
          </w:p>
        </w:tc>
        <w:tc>
          <w:tcPr>
            <w:tcW w:w="551" w:type="dxa"/>
            <w:vAlign w:val="center"/>
          </w:tcPr>
          <w:p>
            <w:pPr>
              <w:spacing w:line="560" w:lineRule="exact"/>
              <w:jc w:val="right"/>
              <w:rPr>
                <w:rFonts w:ascii="仿宋" w:hAnsi="仿宋" w:eastAsia="仿宋" w:cs="仿宋"/>
                <w:b/>
                <w:bCs/>
                <w:sz w:val="28"/>
                <w:szCs w:val="28"/>
              </w:rPr>
            </w:pPr>
          </w:p>
        </w:tc>
        <w:tc>
          <w:tcPr>
            <w:tcW w:w="551" w:type="dxa"/>
            <w:vAlign w:val="center"/>
          </w:tcPr>
          <w:p>
            <w:pPr>
              <w:spacing w:line="560" w:lineRule="exact"/>
              <w:jc w:val="right"/>
              <w:rPr>
                <w:rFonts w:ascii="仿宋" w:hAnsi="仿宋" w:eastAsia="仿宋" w:cs="仿宋"/>
                <w:b/>
                <w:bCs/>
                <w:sz w:val="28"/>
                <w:szCs w:val="28"/>
              </w:rPr>
            </w:pPr>
          </w:p>
        </w:tc>
        <w:tc>
          <w:tcPr>
            <w:tcW w:w="516" w:type="dxa"/>
            <w:vAlign w:val="center"/>
          </w:tcPr>
          <w:p>
            <w:pPr>
              <w:spacing w:line="560" w:lineRule="exact"/>
              <w:jc w:val="right"/>
              <w:rPr>
                <w:rFonts w:ascii="仿宋" w:hAnsi="仿宋" w:eastAsia="仿宋" w:cs="仿宋"/>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0" w:type="dxa"/>
            <w:vAlign w:val="center"/>
          </w:tcPr>
          <w:p>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日常公用</w:t>
            </w:r>
          </w:p>
        </w:tc>
        <w:tc>
          <w:tcPr>
            <w:tcW w:w="820"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1337" w:type="dxa"/>
            <w:vAlign w:val="center"/>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电脑</w:t>
            </w:r>
          </w:p>
        </w:tc>
        <w:tc>
          <w:tcPr>
            <w:tcW w:w="482" w:type="dxa"/>
            <w:vAlign w:val="center"/>
          </w:tcPr>
          <w:p>
            <w:pPr>
              <w:spacing w:line="560" w:lineRule="exact"/>
              <w:jc w:val="left"/>
              <w:rPr>
                <w:rFonts w:ascii="仿宋" w:hAnsi="仿宋" w:eastAsia="仿宋" w:cs="仿宋"/>
                <w:b/>
                <w:bCs/>
                <w:sz w:val="28"/>
                <w:szCs w:val="28"/>
              </w:rPr>
            </w:pPr>
          </w:p>
        </w:tc>
        <w:tc>
          <w:tcPr>
            <w:tcW w:w="423" w:type="dxa"/>
            <w:vAlign w:val="center"/>
          </w:tcPr>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台</w:t>
            </w:r>
          </w:p>
        </w:tc>
        <w:tc>
          <w:tcPr>
            <w:tcW w:w="549"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1</w:t>
            </w:r>
          </w:p>
        </w:tc>
        <w:tc>
          <w:tcPr>
            <w:tcW w:w="723"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403" w:type="dxa"/>
            <w:vAlign w:val="center"/>
          </w:tcPr>
          <w:p>
            <w:pPr>
              <w:spacing w:line="560" w:lineRule="exact"/>
              <w:jc w:val="right"/>
              <w:rPr>
                <w:rFonts w:ascii="仿宋" w:hAnsi="仿宋" w:eastAsia="仿宋" w:cs="仿宋"/>
                <w:b/>
                <w:bCs/>
                <w:sz w:val="28"/>
                <w:szCs w:val="28"/>
              </w:rPr>
            </w:pPr>
          </w:p>
        </w:tc>
        <w:tc>
          <w:tcPr>
            <w:tcW w:w="562"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562" w:type="dxa"/>
            <w:vAlign w:val="center"/>
          </w:tcPr>
          <w:p>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0.5</w:t>
            </w:r>
          </w:p>
        </w:tc>
        <w:tc>
          <w:tcPr>
            <w:tcW w:w="511" w:type="dxa"/>
            <w:vAlign w:val="center"/>
          </w:tcPr>
          <w:p>
            <w:pPr>
              <w:spacing w:line="560" w:lineRule="exact"/>
              <w:jc w:val="right"/>
              <w:rPr>
                <w:rFonts w:ascii="仿宋" w:hAnsi="仿宋" w:eastAsia="仿宋" w:cs="仿宋"/>
                <w:b/>
                <w:bCs/>
                <w:sz w:val="28"/>
                <w:szCs w:val="28"/>
              </w:rPr>
            </w:pPr>
          </w:p>
        </w:tc>
        <w:tc>
          <w:tcPr>
            <w:tcW w:w="551" w:type="dxa"/>
            <w:vAlign w:val="center"/>
          </w:tcPr>
          <w:p>
            <w:pPr>
              <w:spacing w:line="560" w:lineRule="exact"/>
              <w:jc w:val="right"/>
              <w:rPr>
                <w:rFonts w:ascii="仿宋" w:hAnsi="仿宋" w:eastAsia="仿宋" w:cs="仿宋"/>
                <w:b/>
                <w:bCs/>
                <w:sz w:val="28"/>
                <w:szCs w:val="28"/>
              </w:rPr>
            </w:pPr>
          </w:p>
        </w:tc>
        <w:tc>
          <w:tcPr>
            <w:tcW w:w="551" w:type="dxa"/>
            <w:vAlign w:val="center"/>
          </w:tcPr>
          <w:p>
            <w:pPr>
              <w:spacing w:line="560" w:lineRule="exact"/>
              <w:jc w:val="right"/>
              <w:rPr>
                <w:rFonts w:ascii="仿宋" w:hAnsi="仿宋" w:eastAsia="仿宋" w:cs="仿宋"/>
                <w:b/>
                <w:bCs/>
                <w:sz w:val="28"/>
                <w:szCs w:val="28"/>
              </w:rPr>
            </w:pPr>
          </w:p>
        </w:tc>
        <w:tc>
          <w:tcPr>
            <w:tcW w:w="516" w:type="dxa"/>
            <w:vAlign w:val="center"/>
          </w:tcPr>
          <w:p>
            <w:pPr>
              <w:spacing w:line="560" w:lineRule="exact"/>
              <w:jc w:val="right"/>
              <w:rPr>
                <w:rFonts w:ascii="仿宋" w:hAnsi="仿宋" w:eastAsia="仿宋" w:cs="仿宋"/>
                <w:b/>
                <w:bCs/>
                <w:sz w:val="28"/>
                <w:szCs w:val="28"/>
              </w:rPr>
            </w:pPr>
          </w:p>
        </w:tc>
      </w:tr>
    </w:tbl>
    <w:p>
      <w:pPr>
        <w:widowControl/>
        <w:spacing w:line="360" w:lineRule="auto"/>
        <w:jc w:val="left"/>
        <w:rPr>
          <w:rFonts w:ascii="仿宋" w:hAnsi="仿宋" w:eastAsia="仿宋" w:cs="仿宋"/>
          <w:b/>
          <w:kern w:val="0"/>
          <w:sz w:val="32"/>
          <w:szCs w:val="32"/>
        </w:rPr>
      </w:pPr>
    </w:p>
    <w:p>
      <w:pPr>
        <w:widowControl/>
        <w:spacing w:line="360" w:lineRule="auto"/>
        <w:ind w:firstLine="640" w:firstLineChars="200"/>
        <w:jc w:val="left"/>
        <w:rPr>
          <w:rFonts w:ascii="仿宋" w:hAnsi="仿宋" w:eastAsia="仿宋" w:cs="仿宋"/>
          <w:b/>
          <w:kern w:val="0"/>
          <w:sz w:val="32"/>
          <w:szCs w:val="32"/>
        </w:rPr>
      </w:pPr>
      <w:r>
        <w:rPr>
          <w:rFonts w:hint="eastAsia" w:ascii="仿宋" w:hAnsi="仿宋" w:eastAsia="仿宋" w:cs="仿宋"/>
          <w:kern w:val="0"/>
          <w:sz w:val="32"/>
          <w:szCs w:val="32"/>
        </w:rPr>
        <w:t>政府采购指国家机关、事业单位和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办实际，20</w:t>
      </w:r>
      <w:r>
        <w:rPr>
          <w:rFonts w:ascii="仿宋" w:hAnsi="仿宋" w:eastAsia="仿宋" w:cs="仿宋"/>
          <w:kern w:val="0"/>
          <w:sz w:val="32"/>
          <w:szCs w:val="32"/>
        </w:rPr>
        <w:t>20</w:t>
      </w:r>
      <w:r>
        <w:rPr>
          <w:rFonts w:hint="eastAsia" w:ascii="仿宋" w:hAnsi="仿宋" w:eastAsia="仿宋" w:cs="仿宋"/>
          <w:kern w:val="0"/>
          <w:sz w:val="32"/>
          <w:szCs w:val="32"/>
        </w:rPr>
        <w:t>年我办政府采购事项为0，本年拟用于政府采购</w:t>
      </w:r>
      <w:r>
        <w:rPr>
          <w:rFonts w:hint="eastAsia" w:ascii="仿宋" w:hAnsi="仿宋" w:eastAsia="仿宋" w:cs="仿宋"/>
          <w:kern w:val="0"/>
          <w:sz w:val="32"/>
          <w:szCs w:val="32"/>
          <w:lang w:eastAsia="zh-CN"/>
        </w:rPr>
        <w:t>电脑</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每台</w:t>
      </w:r>
      <w:r>
        <w:rPr>
          <w:rFonts w:hint="eastAsia" w:ascii="仿宋" w:hAnsi="仿宋" w:eastAsia="仿宋" w:cs="仿宋"/>
          <w:kern w:val="0"/>
          <w:sz w:val="32"/>
          <w:szCs w:val="32"/>
          <w:lang w:val="en-US" w:eastAsia="zh-CN"/>
        </w:rPr>
        <w:t>0.5万元。</w:t>
      </w:r>
    </w:p>
    <w:p>
      <w:pPr>
        <w:widowControl/>
        <w:spacing w:line="360" w:lineRule="auto"/>
        <w:ind w:firstLine="419" w:firstLineChars="131"/>
        <w:jc w:val="left"/>
        <w:rPr>
          <w:rFonts w:ascii="黑体" w:hAnsi="黑体" w:eastAsia="黑体" w:cs="楷体"/>
          <w:bCs/>
          <w:sz w:val="32"/>
          <w:szCs w:val="32"/>
        </w:rPr>
      </w:pPr>
      <w:r>
        <w:rPr>
          <w:rFonts w:hint="eastAsia" w:ascii="黑体" w:hAnsi="黑体" w:eastAsia="黑体" w:cs="楷体"/>
          <w:bCs/>
          <w:sz w:val="32"/>
          <w:szCs w:val="32"/>
        </w:rPr>
        <w:t>七、国有资产情况的说明</w:t>
      </w:r>
    </w:p>
    <w:tbl>
      <w:tblPr>
        <w:tblStyle w:val="6"/>
        <w:tblW w:w="9060" w:type="dxa"/>
        <w:tblInd w:w="-106" w:type="dxa"/>
        <w:tblLayout w:type="fixed"/>
        <w:tblCellMar>
          <w:top w:w="0" w:type="dxa"/>
          <w:left w:w="108" w:type="dxa"/>
          <w:bottom w:w="0" w:type="dxa"/>
          <w:right w:w="108" w:type="dxa"/>
        </w:tblCellMar>
      </w:tblPr>
      <w:tblGrid>
        <w:gridCol w:w="4139"/>
        <w:gridCol w:w="895"/>
        <w:gridCol w:w="4026"/>
      </w:tblGrid>
      <w:tr>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pPr>
              <w:widowControl/>
              <w:jc w:val="center"/>
              <w:rPr>
                <w:rFonts w:hint="eastAsia" w:ascii="仿宋" w:hAnsi="仿宋" w:eastAsia="仿宋" w:cs="仿宋"/>
                <w:b/>
                <w:bCs/>
                <w:kern w:val="0"/>
                <w:sz w:val="28"/>
                <w:szCs w:val="28"/>
              </w:rPr>
            </w:pPr>
          </w:p>
          <w:p>
            <w:pPr>
              <w:widowControl/>
              <w:jc w:val="center"/>
              <w:rPr>
                <w:rFonts w:hint="eastAsia" w:ascii="仿宋" w:hAnsi="仿宋" w:eastAsia="仿宋" w:cs="仿宋"/>
                <w:b/>
                <w:bCs/>
                <w:kern w:val="0"/>
                <w:sz w:val="28"/>
                <w:szCs w:val="28"/>
              </w:rPr>
            </w:pPr>
          </w:p>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部门固定资产占用情况表</w:t>
            </w:r>
          </w:p>
        </w:tc>
      </w:tr>
      <w:tr>
        <w:tblPrEx>
          <w:tblCellMar>
            <w:top w:w="0" w:type="dxa"/>
            <w:left w:w="108" w:type="dxa"/>
            <w:bottom w:w="0" w:type="dxa"/>
            <w:right w:w="108" w:type="dxa"/>
          </w:tblCellMar>
        </w:tblPrEx>
        <w:trPr>
          <w:trHeight w:val="510" w:hRule="atLeast"/>
        </w:trPr>
        <w:tc>
          <w:tcPr>
            <w:tcW w:w="5034" w:type="dxa"/>
            <w:gridSpan w:val="2"/>
            <w:tcBorders>
              <w:top w:val="nil"/>
              <w:left w:val="nil"/>
              <w:bottom w:val="nil"/>
              <w:right w:val="nil"/>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编制部门:成安县农业服务协会</w:t>
            </w:r>
            <w:r>
              <w:rPr>
                <w:rFonts w:hint="eastAsia" w:ascii="仿宋" w:hAnsi="仿宋" w:eastAsia="仿宋" w:cs="仿宋"/>
                <w:kern w:val="0"/>
                <w:sz w:val="28"/>
                <w:szCs w:val="28"/>
              </w:rPr>
              <w:br w:type="textWrapping"/>
            </w:r>
          </w:p>
        </w:tc>
        <w:tc>
          <w:tcPr>
            <w:tcW w:w="4026" w:type="dxa"/>
            <w:tcBorders>
              <w:top w:val="nil"/>
              <w:left w:val="nil"/>
              <w:bottom w:val="nil"/>
              <w:right w:val="nil"/>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截止时间：20</w:t>
            </w:r>
            <w:r>
              <w:rPr>
                <w:rFonts w:ascii="仿宋" w:hAnsi="仿宋" w:eastAsia="仿宋" w:cs="仿宋"/>
                <w:kern w:val="0"/>
                <w:sz w:val="28"/>
                <w:szCs w:val="28"/>
              </w:rPr>
              <w:t>19</w:t>
            </w:r>
            <w:r>
              <w:rPr>
                <w:rFonts w:hint="eastAsia" w:ascii="仿宋" w:hAnsi="仿宋" w:eastAsia="仿宋" w:cs="仿宋"/>
                <w:kern w:val="0"/>
                <w:sz w:val="28"/>
                <w:szCs w:val="28"/>
              </w:rPr>
              <w:t>年12月31日</w:t>
            </w:r>
          </w:p>
        </w:tc>
      </w:tr>
      <w:tr>
        <w:tblPrEx>
          <w:tblCellMar>
            <w:top w:w="0" w:type="dxa"/>
            <w:left w:w="108" w:type="dxa"/>
            <w:bottom w:w="0" w:type="dxa"/>
            <w:right w:w="108" w:type="dxa"/>
          </w:tblCellMar>
        </w:tblPrEx>
        <w:trPr>
          <w:trHeight w:val="645" w:hRule="atLeast"/>
        </w:trPr>
        <w:tc>
          <w:tcPr>
            <w:tcW w:w="41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项目</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数量</w:t>
            </w:r>
          </w:p>
        </w:tc>
        <w:tc>
          <w:tcPr>
            <w:tcW w:w="402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价值（金额单位：万元）</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资产总额</w:t>
            </w:r>
          </w:p>
        </w:tc>
        <w:tc>
          <w:tcPr>
            <w:tcW w:w="895"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402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4.83</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1、房屋（平方米）</w:t>
            </w:r>
          </w:p>
        </w:tc>
        <w:tc>
          <w:tcPr>
            <w:tcW w:w="895"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50</w:t>
            </w:r>
          </w:p>
        </w:tc>
        <w:tc>
          <w:tcPr>
            <w:tcW w:w="402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其中：办公用房（平方米）</w:t>
            </w:r>
          </w:p>
        </w:tc>
        <w:tc>
          <w:tcPr>
            <w:tcW w:w="895"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40</w:t>
            </w:r>
          </w:p>
        </w:tc>
        <w:tc>
          <w:tcPr>
            <w:tcW w:w="402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我单位在政府集中办公</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2、车辆（台、辆）</w:t>
            </w:r>
          </w:p>
        </w:tc>
        <w:tc>
          <w:tcPr>
            <w:tcW w:w="895" w:type="dxa"/>
            <w:tcBorders>
              <w:top w:val="nil"/>
              <w:left w:val="nil"/>
              <w:bottom w:val="single" w:color="auto" w:sz="4" w:space="0"/>
              <w:right w:val="single" w:color="auto" w:sz="4" w:space="0"/>
            </w:tcBorders>
            <w:vAlign w:val="center"/>
          </w:tcPr>
          <w:p>
            <w:pPr>
              <w:widowControl/>
              <w:tabs>
                <w:tab w:val="left" w:pos="270"/>
              </w:tabs>
              <w:jc w:val="left"/>
              <w:rPr>
                <w:rFonts w:ascii="仿宋" w:hAnsi="仿宋" w:eastAsia="仿宋" w:cs="仿宋"/>
                <w:kern w:val="0"/>
                <w:sz w:val="28"/>
                <w:szCs w:val="28"/>
              </w:rPr>
            </w:pPr>
          </w:p>
        </w:tc>
        <w:tc>
          <w:tcPr>
            <w:tcW w:w="402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3、单价在50万元以上的设备</w:t>
            </w:r>
          </w:p>
        </w:tc>
        <w:tc>
          <w:tcPr>
            <w:tcW w:w="895"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p>
        </w:tc>
        <w:tc>
          <w:tcPr>
            <w:tcW w:w="402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8"/>
                <w:szCs w:val="28"/>
              </w:rPr>
            </w:pPr>
            <w:r>
              <w:rPr>
                <w:rFonts w:hint="eastAsia" w:ascii="仿宋" w:hAnsi="仿宋" w:eastAsia="仿宋" w:cs="仿宋"/>
                <w:kern w:val="0"/>
                <w:sz w:val="28"/>
                <w:szCs w:val="28"/>
              </w:rPr>
              <w:t>4、其他固定资产</w:t>
            </w:r>
          </w:p>
        </w:tc>
        <w:tc>
          <w:tcPr>
            <w:tcW w:w="895"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15</w:t>
            </w:r>
          </w:p>
        </w:tc>
        <w:tc>
          <w:tcPr>
            <w:tcW w:w="4026" w:type="dxa"/>
            <w:tcBorders>
              <w:top w:val="nil"/>
              <w:left w:val="nil"/>
              <w:bottom w:val="single" w:color="auto" w:sz="4" w:space="0"/>
              <w:right w:val="single" w:color="auto" w:sz="4" w:space="0"/>
            </w:tcBorders>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4.83</w:t>
            </w:r>
          </w:p>
        </w:tc>
      </w:tr>
    </w:tbl>
    <w:p>
      <w:pPr>
        <w:widowControl/>
        <w:spacing w:line="360" w:lineRule="auto"/>
        <w:jc w:val="left"/>
        <w:rPr>
          <w:rFonts w:ascii="仿宋" w:hAnsi="仿宋" w:eastAsia="仿宋" w:cs="仿宋"/>
          <w:b/>
          <w:kern w:val="0"/>
          <w:sz w:val="32"/>
          <w:szCs w:val="32"/>
        </w:rPr>
      </w:pPr>
    </w:p>
    <w:p>
      <w:pPr>
        <w:widowControl/>
        <w:spacing w:line="360" w:lineRule="auto"/>
        <w:ind w:firstLine="640" w:firstLineChars="200"/>
        <w:jc w:val="left"/>
        <w:rPr>
          <w:rFonts w:ascii="仿宋" w:hAnsi="仿宋" w:eastAsia="仿宋" w:cs="仿宋"/>
          <w:b/>
          <w:kern w:val="0"/>
          <w:sz w:val="32"/>
          <w:szCs w:val="32"/>
        </w:rPr>
      </w:pPr>
      <w:r>
        <w:rPr>
          <w:rFonts w:hint="eastAsia" w:ascii="仿宋" w:hAnsi="仿宋" w:eastAsia="仿宋" w:cs="仿宋"/>
          <w:color w:val="333333"/>
          <w:kern w:val="0"/>
          <w:sz w:val="32"/>
          <w:szCs w:val="32"/>
        </w:rPr>
        <w:t>截止上年</w:t>
      </w:r>
      <w:r>
        <w:rPr>
          <w:rFonts w:hint="eastAsia" w:ascii="仿宋" w:hAnsi="仿宋" w:eastAsia="仿宋" w:cs="仿宋"/>
          <w:kern w:val="0"/>
          <w:sz w:val="32"/>
          <w:szCs w:val="32"/>
        </w:rPr>
        <w:t>末固定资产帐面结余4.83万元。其中：房屋价值0万元，车辆价值0万元，其它资产</w:t>
      </w:r>
      <w:r>
        <w:rPr>
          <w:rFonts w:hint="eastAsia" w:ascii="仿宋" w:hAnsi="仿宋" w:eastAsia="仿宋" w:cs="仿宋"/>
          <w:kern w:val="0"/>
          <w:sz w:val="32"/>
          <w:szCs w:val="32"/>
          <w:lang w:eastAsia="zh-CN"/>
        </w:rPr>
        <w:t>通用设备</w:t>
      </w:r>
      <w:r>
        <w:rPr>
          <w:rFonts w:hint="eastAsia" w:ascii="仿宋" w:hAnsi="仿宋" w:eastAsia="仿宋" w:cs="仿宋"/>
          <w:kern w:val="0"/>
          <w:sz w:val="32"/>
          <w:szCs w:val="32"/>
          <w:lang w:val="en-US" w:eastAsia="zh-CN"/>
        </w:rPr>
        <w:t>2.18万元</w:t>
      </w:r>
      <w:r>
        <w:rPr>
          <w:rFonts w:hint="eastAsia" w:ascii="仿宋" w:hAnsi="仿宋" w:eastAsia="仿宋" w:cs="仿宋"/>
          <w:kern w:val="0"/>
          <w:sz w:val="32"/>
          <w:szCs w:val="32"/>
        </w:rPr>
        <w:t>、办公家具</w:t>
      </w:r>
      <w:r>
        <w:rPr>
          <w:rFonts w:hint="eastAsia" w:ascii="仿宋" w:hAnsi="仿宋" w:eastAsia="仿宋" w:cs="仿宋"/>
          <w:kern w:val="0"/>
          <w:sz w:val="32"/>
          <w:szCs w:val="32"/>
          <w:lang w:val="en-US" w:eastAsia="zh-CN"/>
        </w:rPr>
        <w:t>2.65万元</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合计</w:t>
      </w:r>
      <w:r>
        <w:rPr>
          <w:rFonts w:hint="eastAsia" w:ascii="仿宋" w:hAnsi="仿宋" w:eastAsia="仿宋" w:cs="仿宋"/>
          <w:kern w:val="0"/>
          <w:sz w:val="32"/>
          <w:szCs w:val="32"/>
        </w:rPr>
        <w:t>4.83万元。本年拟</w:t>
      </w:r>
      <w:r>
        <w:rPr>
          <w:rFonts w:hint="eastAsia" w:ascii="仿宋" w:hAnsi="仿宋" w:eastAsia="仿宋" w:cs="仿宋"/>
          <w:kern w:val="0"/>
          <w:sz w:val="32"/>
          <w:szCs w:val="32"/>
          <w:lang w:eastAsia="zh-CN"/>
        </w:rPr>
        <w:t>购置国有资产</w:t>
      </w:r>
      <w:r>
        <w:rPr>
          <w:rFonts w:hint="eastAsia" w:ascii="仿宋" w:hAnsi="仿宋" w:eastAsia="仿宋" w:cs="仿宋"/>
          <w:kern w:val="0"/>
          <w:sz w:val="32"/>
          <w:szCs w:val="32"/>
          <w:lang w:val="en-US" w:eastAsia="zh-CN"/>
        </w:rPr>
        <w:t>0.5万元。</w:t>
      </w:r>
    </w:p>
    <w:p>
      <w:pPr>
        <w:widowControl/>
        <w:spacing w:line="360" w:lineRule="auto"/>
        <w:ind w:firstLine="640" w:firstLineChars="200"/>
        <w:jc w:val="left"/>
        <w:rPr>
          <w:rFonts w:ascii="仿宋" w:hAnsi="仿宋" w:eastAsia="仿宋" w:cs="仿宋"/>
          <w:kern w:val="0"/>
          <w:sz w:val="32"/>
          <w:szCs w:val="32"/>
        </w:rPr>
      </w:pPr>
    </w:p>
    <w:p>
      <w:pPr>
        <w:widowControl/>
        <w:spacing w:line="360" w:lineRule="auto"/>
        <w:ind w:firstLine="736" w:firstLineChars="230"/>
        <w:jc w:val="left"/>
        <w:rPr>
          <w:rFonts w:ascii="黑体" w:hAnsi="黑体" w:eastAsia="黑体" w:cs="楷体"/>
          <w:bCs/>
          <w:sz w:val="32"/>
          <w:szCs w:val="32"/>
        </w:rPr>
      </w:pPr>
      <w:r>
        <w:rPr>
          <w:rFonts w:hint="eastAsia" w:ascii="黑体" w:hAnsi="黑体" w:eastAsia="黑体" w:cs="楷体"/>
          <w:bCs/>
          <w:sz w:val="32"/>
          <w:szCs w:val="32"/>
        </w:rPr>
        <w:t>八、名词解释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 3、年初结转和结余：指以前年度尚未完成，结转到本年仍按照原规定用途继续使用的资金，或项目已完成等产生的结余资金。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楷体"/>
          <w:bCs/>
          <w:sz w:val="32"/>
          <w:szCs w:val="32"/>
        </w:rPr>
        <w:t>九、其他需要说明的事项</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无。</w:t>
      </w:r>
    </w:p>
    <w:p>
      <w:pPr>
        <w:widowControl/>
        <w:spacing w:line="360" w:lineRule="auto"/>
        <w:ind w:firstLine="420" w:firstLineChars="200"/>
        <w:jc w:val="left"/>
      </w:pPr>
    </w:p>
    <w:sectPr>
      <w:pgSz w:w="11907" w:h="16839"/>
      <w:pgMar w:top="1020" w:right="1134" w:bottom="1020" w:left="15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616F"/>
    <w:multiLevelType w:val="singleLevel"/>
    <w:tmpl w:val="8B28616F"/>
    <w:lvl w:ilvl="0" w:tentative="0">
      <w:start w:val="2"/>
      <w:numFmt w:val="chineseCounting"/>
      <w:lvlText w:val="（%1)"/>
      <w:lvlJc w:val="left"/>
      <w:pPr>
        <w:tabs>
          <w:tab w:val="left" w:pos="312"/>
        </w:tabs>
      </w:pPr>
      <w:rPr>
        <w:rFonts w:hint="eastAsia"/>
      </w:rPr>
    </w:lvl>
  </w:abstractNum>
  <w:abstractNum w:abstractNumId="1">
    <w:nsid w:val="58512DE9"/>
    <w:multiLevelType w:val="singleLevel"/>
    <w:tmpl w:val="58512DE9"/>
    <w:lvl w:ilvl="0" w:tentative="0">
      <w:start w:val="1"/>
      <w:numFmt w:val="chineseCounting"/>
      <w:suff w:val="nothing"/>
      <w:lvlText w:val="%1、"/>
      <w:lvlJc w:val="left"/>
    </w:lvl>
  </w:abstractNum>
  <w:abstractNum w:abstractNumId="2">
    <w:nsid w:val="5A066BA9"/>
    <w:multiLevelType w:val="singleLevel"/>
    <w:tmpl w:val="5A066BA9"/>
    <w:lvl w:ilvl="0" w:tentative="0">
      <w:start w:val="1"/>
      <w:numFmt w:val="decimal"/>
      <w:suff w:val="nothing"/>
      <w:lvlText w:val="%1、"/>
      <w:lvlJc w:val="left"/>
    </w:lvl>
  </w:abstractNum>
  <w:abstractNum w:abstractNumId="3">
    <w:nsid w:val="5A07B09C"/>
    <w:multiLevelType w:val="singleLevel"/>
    <w:tmpl w:val="5A07B09C"/>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U3YzJkZjExOTIxODZlZjM5YWNiM2YxODQ5MjcifQ=="/>
  </w:docVars>
  <w:rsids>
    <w:rsidRoot w:val="00E810D6"/>
    <w:rsid w:val="00042E27"/>
    <w:rsid w:val="0008308C"/>
    <w:rsid w:val="000869AF"/>
    <w:rsid w:val="000A4528"/>
    <w:rsid w:val="001307FD"/>
    <w:rsid w:val="00164F6A"/>
    <w:rsid w:val="001E70B5"/>
    <w:rsid w:val="0020337A"/>
    <w:rsid w:val="0022203A"/>
    <w:rsid w:val="00241EDB"/>
    <w:rsid w:val="002515F8"/>
    <w:rsid w:val="002B6418"/>
    <w:rsid w:val="002B7BD8"/>
    <w:rsid w:val="002E3A95"/>
    <w:rsid w:val="002F39CD"/>
    <w:rsid w:val="003D754B"/>
    <w:rsid w:val="003F64CD"/>
    <w:rsid w:val="00464B59"/>
    <w:rsid w:val="004E0692"/>
    <w:rsid w:val="005231EF"/>
    <w:rsid w:val="0055740E"/>
    <w:rsid w:val="00587492"/>
    <w:rsid w:val="005D125B"/>
    <w:rsid w:val="005D136A"/>
    <w:rsid w:val="005D56F9"/>
    <w:rsid w:val="0062621A"/>
    <w:rsid w:val="00685811"/>
    <w:rsid w:val="00686676"/>
    <w:rsid w:val="00696AC4"/>
    <w:rsid w:val="006A1A27"/>
    <w:rsid w:val="006D1C5B"/>
    <w:rsid w:val="007A507B"/>
    <w:rsid w:val="007B32B5"/>
    <w:rsid w:val="007D6BF0"/>
    <w:rsid w:val="008058DC"/>
    <w:rsid w:val="0081639A"/>
    <w:rsid w:val="00881491"/>
    <w:rsid w:val="008A6E83"/>
    <w:rsid w:val="008C7744"/>
    <w:rsid w:val="008E1F6D"/>
    <w:rsid w:val="008F6336"/>
    <w:rsid w:val="00920F37"/>
    <w:rsid w:val="00981D0A"/>
    <w:rsid w:val="009975AD"/>
    <w:rsid w:val="009B685C"/>
    <w:rsid w:val="009E6D21"/>
    <w:rsid w:val="00A07D70"/>
    <w:rsid w:val="00A24C51"/>
    <w:rsid w:val="00A3533B"/>
    <w:rsid w:val="00A424A3"/>
    <w:rsid w:val="00B344D4"/>
    <w:rsid w:val="00B64AF6"/>
    <w:rsid w:val="00B65975"/>
    <w:rsid w:val="00B90E42"/>
    <w:rsid w:val="00BB3FD4"/>
    <w:rsid w:val="00BE0479"/>
    <w:rsid w:val="00C41A1D"/>
    <w:rsid w:val="00D12F66"/>
    <w:rsid w:val="00D149D5"/>
    <w:rsid w:val="00D376C0"/>
    <w:rsid w:val="00D527DC"/>
    <w:rsid w:val="00E07AC0"/>
    <w:rsid w:val="00E30A94"/>
    <w:rsid w:val="00E338BF"/>
    <w:rsid w:val="00E451D7"/>
    <w:rsid w:val="00E67E0E"/>
    <w:rsid w:val="00E71D1D"/>
    <w:rsid w:val="00E810D6"/>
    <w:rsid w:val="00EA4F56"/>
    <w:rsid w:val="00EE110E"/>
    <w:rsid w:val="00F44FBC"/>
    <w:rsid w:val="00F715C6"/>
    <w:rsid w:val="00F948FA"/>
    <w:rsid w:val="00FD318D"/>
    <w:rsid w:val="013B67CD"/>
    <w:rsid w:val="01CA412B"/>
    <w:rsid w:val="03470FB6"/>
    <w:rsid w:val="0378464C"/>
    <w:rsid w:val="037D399A"/>
    <w:rsid w:val="03B213E5"/>
    <w:rsid w:val="05294534"/>
    <w:rsid w:val="05551F42"/>
    <w:rsid w:val="06096D52"/>
    <w:rsid w:val="06550E5D"/>
    <w:rsid w:val="0699139F"/>
    <w:rsid w:val="0726741C"/>
    <w:rsid w:val="08D34D69"/>
    <w:rsid w:val="09E50DB9"/>
    <w:rsid w:val="0BB759F9"/>
    <w:rsid w:val="0BBF12CE"/>
    <w:rsid w:val="0CBF7A43"/>
    <w:rsid w:val="0DD4180B"/>
    <w:rsid w:val="0FAC01D7"/>
    <w:rsid w:val="11CF7D43"/>
    <w:rsid w:val="12D113B6"/>
    <w:rsid w:val="12F80A8F"/>
    <w:rsid w:val="130B706D"/>
    <w:rsid w:val="139106CF"/>
    <w:rsid w:val="13DE0FA8"/>
    <w:rsid w:val="140F7E9A"/>
    <w:rsid w:val="14435AA4"/>
    <w:rsid w:val="14E060B5"/>
    <w:rsid w:val="163506CD"/>
    <w:rsid w:val="17252863"/>
    <w:rsid w:val="175940C0"/>
    <w:rsid w:val="17C16AC9"/>
    <w:rsid w:val="180D78B9"/>
    <w:rsid w:val="18714684"/>
    <w:rsid w:val="1AEF7278"/>
    <w:rsid w:val="1B2A5EA4"/>
    <w:rsid w:val="1C506377"/>
    <w:rsid w:val="1CC97251"/>
    <w:rsid w:val="1CEB0A1C"/>
    <w:rsid w:val="1E8167C1"/>
    <w:rsid w:val="1EA0654E"/>
    <w:rsid w:val="1EAA0AE1"/>
    <w:rsid w:val="21B66276"/>
    <w:rsid w:val="224B772B"/>
    <w:rsid w:val="228819EE"/>
    <w:rsid w:val="23251827"/>
    <w:rsid w:val="2716314B"/>
    <w:rsid w:val="287068C3"/>
    <w:rsid w:val="288A4B30"/>
    <w:rsid w:val="28B0025D"/>
    <w:rsid w:val="28E516DB"/>
    <w:rsid w:val="299267B6"/>
    <w:rsid w:val="2AD57C75"/>
    <w:rsid w:val="2BAA47A7"/>
    <w:rsid w:val="2C38130E"/>
    <w:rsid w:val="2D177B76"/>
    <w:rsid w:val="2DCE40BA"/>
    <w:rsid w:val="2DF6547A"/>
    <w:rsid w:val="2E066AE5"/>
    <w:rsid w:val="2E2777CE"/>
    <w:rsid w:val="2EE04A84"/>
    <w:rsid w:val="31D059F4"/>
    <w:rsid w:val="327E7E05"/>
    <w:rsid w:val="32D055B2"/>
    <w:rsid w:val="332A0BBD"/>
    <w:rsid w:val="3387759D"/>
    <w:rsid w:val="351C5D1D"/>
    <w:rsid w:val="35280D21"/>
    <w:rsid w:val="368E71C5"/>
    <w:rsid w:val="36DF5EE5"/>
    <w:rsid w:val="37874C6A"/>
    <w:rsid w:val="38333DEC"/>
    <w:rsid w:val="38963AA1"/>
    <w:rsid w:val="39461E7C"/>
    <w:rsid w:val="39A75722"/>
    <w:rsid w:val="3B6E7B6E"/>
    <w:rsid w:val="3C712CD5"/>
    <w:rsid w:val="3C803D11"/>
    <w:rsid w:val="3CEC5D53"/>
    <w:rsid w:val="3D3945C8"/>
    <w:rsid w:val="3E8F468B"/>
    <w:rsid w:val="428A7885"/>
    <w:rsid w:val="43C23630"/>
    <w:rsid w:val="441C57E9"/>
    <w:rsid w:val="44240E6E"/>
    <w:rsid w:val="44986D47"/>
    <w:rsid w:val="45145D9B"/>
    <w:rsid w:val="456A5D0D"/>
    <w:rsid w:val="457C0C14"/>
    <w:rsid w:val="45B90BF3"/>
    <w:rsid w:val="460143F1"/>
    <w:rsid w:val="475B18CD"/>
    <w:rsid w:val="4A4F1F05"/>
    <w:rsid w:val="4B7040C7"/>
    <w:rsid w:val="4CA957E7"/>
    <w:rsid w:val="4D9730D4"/>
    <w:rsid w:val="4E4335D2"/>
    <w:rsid w:val="4F8B1B86"/>
    <w:rsid w:val="52BD6B96"/>
    <w:rsid w:val="599F259C"/>
    <w:rsid w:val="59AF56D7"/>
    <w:rsid w:val="5B2B3FCD"/>
    <w:rsid w:val="5BAE356C"/>
    <w:rsid w:val="5CB07A05"/>
    <w:rsid w:val="5E6E7F46"/>
    <w:rsid w:val="5ED17601"/>
    <w:rsid w:val="5EE61F2A"/>
    <w:rsid w:val="5F347470"/>
    <w:rsid w:val="612F2391"/>
    <w:rsid w:val="61897173"/>
    <w:rsid w:val="63F21B1B"/>
    <w:rsid w:val="65493192"/>
    <w:rsid w:val="666C26EF"/>
    <w:rsid w:val="6698572A"/>
    <w:rsid w:val="67170D23"/>
    <w:rsid w:val="68541668"/>
    <w:rsid w:val="688B7C9F"/>
    <w:rsid w:val="689F36B1"/>
    <w:rsid w:val="6AA3758A"/>
    <w:rsid w:val="6B4A03BE"/>
    <w:rsid w:val="6B511389"/>
    <w:rsid w:val="6B5B198D"/>
    <w:rsid w:val="6C3F6730"/>
    <w:rsid w:val="6CC20929"/>
    <w:rsid w:val="6D5763C1"/>
    <w:rsid w:val="6D81148F"/>
    <w:rsid w:val="6E8006EE"/>
    <w:rsid w:val="6ECC4D84"/>
    <w:rsid w:val="70746973"/>
    <w:rsid w:val="70954FFE"/>
    <w:rsid w:val="70BA2DA1"/>
    <w:rsid w:val="70CA1EEB"/>
    <w:rsid w:val="71B87B2B"/>
    <w:rsid w:val="729B4F6A"/>
    <w:rsid w:val="731A1B81"/>
    <w:rsid w:val="733E01F4"/>
    <w:rsid w:val="73914722"/>
    <w:rsid w:val="7424079F"/>
    <w:rsid w:val="74D4598A"/>
    <w:rsid w:val="76FD3FC3"/>
    <w:rsid w:val="7803668D"/>
    <w:rsid w:val="7A4652CE"/>
    <w:rsid w:val="7AA5545A"/>
    <w:rsid w:val="7B541653"/>
    <w:rsid w:val="7BAA5900"/>
    <w:rsid w:val="7C7F0C36"/>
    <w:rsid w:val="7D915007"/>
    <w:rsid w:val="7D9A3104"/>
    <w:rsid w:val="7DB11A76"/>
    <w:rsid w:val="7DB94919"/>
    <w:rsid w:val="7F127A89"/>
    <w:rsid w:val="7F6937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Normal]"/>
    <w:qFormat/>
    <w:uiPriority w:val="6"/>
    <w:rPr>
      <w:rFonts w:ascii="宋体" w:hAnsi="宋体" w:eastAsia="宋体" w:cs="Times New Roman"/>
      <w:color w:val="auto"/>
      <w:position w:val="0"/>
      <w:sz w:val="24"/>
      <w:u w:val="none"/>
      <w:shd w:val="clear" w:color="auto" w:fill="auto"/>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440</Words>
  <Characters>2513</Characters>
  <Lines>20</Lines>
  <Paragraphs>5</Paragraphs>
  <TotalTime>1</TotalTime>
  <ScaleCrop>false</ScaleCrop>
  <LinksUpToDate>false</LinksUpToDate>
  <CharactersWithSpaces>2948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2017-05-19T01:51:00Z</dcterms:created>
  <dc:creator>lenovo</dc:creator>
  <cp:lastModifiedBy>Administrator</cp:lastModifiedBy>
  <cp:lastPrinted>2016-04-01T02:44:00Z</cp:lastPrinted>
  <dcterms:modified xsi:type="dcterms:W3CDTF">2024-05-23T02:07:09Z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BDD8D7E3524B48498F0BE5516E3CD673</vt:lpwstr>
  </property>
</Properties>
</file>