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成安县行政审批局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2019年部门预算公开情况说明</w:t>
      </w:r>
    </w:p>
    <w:p>
      <w:pPr>
        <w:ind w:firstLine="420" w:firstLineChars="200"/>
        <w:jc w:val="center"/>
        <w:rPr>
          <w:rFonts w:ascii="宋体" w:hAnsi="宋体" w:eastAsia="宋体"/>
        </w:rPr>
      </w:pPr>
    </w:p>
    <w:p>
      <w:pPr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《中华人民共和国预算法》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现将成安县</w:t>
      </w:r>
      <w:r>
        <w:rPr>
          <w:rFonts w:hint="eastAsia" w:ascii="仿宋" w:hAnsi="仿宋" w:eastAsia="仿宋" w:cs="仿宋"/>
          <w:sz w:val="32"/>
          <w:szCs w:val="32"/>
        </w:rPr>
        <w:t>行政审批局</w:t>
      </w:r>
      <w:r>
        <w:rPr>
          <w:rFonts w:hint="eastAsia" w:ascii="仿宋" w:hAnsi="仿宋" w:eastAsia="仿宋" w:cs="仿宋"/>
          <w:kern w:val="0"/>
          <w:sz w:val="32"/>
          <w:szCs w:val="32"/>
        </w:rPr>
        <w:t>2019年部门预算公开如下：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部门职责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贯彻执行国家、省、市、县有关“放管服”改革、行政审批制度改革、政务服务管理、公共资源交易管理、社会信用体系建设、群众服务热线等方面的方针政策、法律法规和决策部署，拟订我县相关发展规划和规范性文件，制定县行政审批局各项规章制度和管理办法，并组织实施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规范全县行政审批和政务服务行为，建立和完善相应工作机制；负责对行政许可、政务服务事项进行流程再造、环节优化、压缩时限，并对办理情况进行跟踪督办；协调解决进驻县政务服务中心事项办理中存在的相关问题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（三）负责县本级涉及投资项目、市场服务、公共事务、社会事务、环保城管、规划建设、交通运输、商贸流通、文教卫生、农林水利等领域审批事项的审批工作，并对审批行为承担相应的法律责任。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（四）负责进驻县行政审批局各部门行政审批工作的规范、管理和监督；负责审批业务涉及中介服务机构的对接、沟通、协调工作；负责“中介超市”管理工作。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（五）组织协调全县“放管服”改革工作。指导、督促贯彻落实国家、省、市关于“放管服”改革重要领域、关键环节重大政策措施，承担县推进政府职能转变和“放管服”改革协调小组的日常工作。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指导协调全县行政审批制度改革工作。建立健全县行政审批管理体系；负责协调和指导各乡镇和工业区的行政审批、政务服务管理平台建设工作；推进简政放权，清理和规范各类行政许可等管理事项；协调推进行政审批标准化工作；承担县行政审批制度改革工作领导小组的日常工作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指导协调全县政务服务管理工作。负责优化政务服务供给，降低制度性交易成本，提升政务服务效能；负责建立和完善全县政务服务体系；负责推进审批服务便民化；指导协调县有关部门为公民、法人或其他组织提供规范、高效、优质的政务服务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（八）承担成安县公共资源交易管理委员会日常工作。负责全县统一的公共资源交易平台建设、协调、监督和管理；会同有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责</w:t>
      </w:r>
      <w:r>
        <w:rPr>
          <w:rFonts w:hint="eastAsia" w:ascii="仿宋" w:hAnsi="仿宋" w:eastAsia="仿宋" w:cs="仿宋"/>
          <w:sz w:val="32"/>
          <w:szCs w:val="32"/>
        </w:rPr>
        <w:t>关行政监督部门拟订公共资源交易市场规则和制度，编制公共资源交易项目目录，规范各类公共资源交易活动。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引导和推动全县社会信用体系建设。组织制定发展规划和年度工作要点；推进健全信用法规制度和标准体系；负责本县信用信息数据库、共享平台和网站建设，推动信用信息的汇聚、交换、共享和应用；负责守信联合激励和失信联合惩戒制度建设和工作实施，建立诚信综合监督体系；组织开展失信问题专项治理；加强城市信用建设，培育和发展信用服务市场；承担县社会信用体系建设领导小组的日常工作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统筹推进全县“互联网+政务服务”工作，构建全县一体化政务服务平台。推进政务服务事项网上办理，形成管理机构、实体大厅、网上平台“三位一体”的政务服务管理模式；推进全县电子证照库建设；推进全县政务服务平台规范化、标准化、集约化建设和互联互通、数据共享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对行政审批、公共资源交易及政务服务事项办理情况、办理效能以及办事人员的服务质量进行监督；负责对行政审批、公共资源交易及政务服务事项的投诉举报的承办、转办和督办工作，配合有关部门查处违法、违规、违纪问题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（十二）负责工作人员的教育、培训、管理和绩效考核。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（十三）完成县委、县政府交办的其他任务。</w:t>
      </w:r>
    </w:p>
    <w:p>
      <w:pPr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人员编制和领导职数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县行政审批局机关行政编制14名。股级领导职数5名。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内设机构及职责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部门机构设置情况</w:t>
      </w:r>
    </w:p>
    <w:tbl>
      <w:tblPr>
        <w:tblStyle w:val="6"/>
        <w:tblW w:w="93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555"/>
        <w:gridCol w:w="1519"/>
        <w:gridCol w:w="29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单位性质</w:t>
            </w:r>
          </w:p>
        </w:tc>
        <w:tc>
          <w:tcPr>
            <w:tcW w:w="1519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单位规格</w:t>
            </w:r>
          </w:p>
        </w:tc>
        <w:tc>
          <w:tcPr>
            <w:tcW w:w="2996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财政保障形式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成安县行政审批局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</w:t>
            </w:r>
          </w:p>
        </w:tc>
        <w:tc>
          <w:tcPr>
            <w:tcW w:w="15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正科</w:t>
            </w:r>
          </w:p>
        </w:tc>
        <w:tc>
          <w:tcPr>
            <w:tcW w:w="299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财政拨款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成安县行政审批局，预算编码是223。内设5个内部机构。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办公室。负责组织、协调、推进机关日常工作。负责文电、机要、保密、档案和政务公开工作；负责机关和所属单位财务、国有资产管理、安全保卫和内部审计工作；负责重要文件、综合性报告、领导讲话稿的起草，重大课题的政策研究和综合调研工作；负责重要会议、接待和活动的组织安排；负责局办公会议及内部管理制度的督办落实；负责人大代表建议及政协提案承办工作；负责拟定机关内部管理规章制度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机关人事管理和干部教育培训工作；负责机关及直属单位党建工作，领导和指导各党支部工作，指导和支持工会、团委、妇委会工作；负责党员的教育、管理、服务和发展工作；负责党内民主与监督，落实党风廉政建设日常工作；负责思想政治工作和党务工作人员的队伍建设；负责机关宣传信息工作。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（二）综合股。</w:t>
      </w:r>
      <w:r>
        <w:rPr>
          <w:rFonts w:hint="eastAsia" w:ascii="仿宋" w:hAnsi="仿宋" w:eastAsia="仿宋" w:cs="仿宋"/>
          <w:sz w:val="32"/>
          <w:szCs w:val="32"/>
        </w:rPr>
        <w:t>负责政府投资和企业投资建设项目的立项、用地审批、环境评价、乡村规划许可、人防工程、施工许可、竣工验收等阶段的审批、备案、验收等事项；</w:t>
      </w:r>
      <w:r>
        <w:rPr>
          <w:rFonts w:hint="eastAsia" w:ascii="仿宋" w:hAnsi="仿宋" w:eastAsia="仿宋" w:cs="仿宋"/>
          <w:bCs/>
          <w:sz w:val="32"/>
          <w:szCs w:val="32"/>
        </w:rPr>
        <w:t>负责企业名称预先核准；企业设立、变更、注销登记；企业集团核准登记；内资企业股权出质设立、变更、注销登记；企业有关事项备案；企业申请增补、换发营业执照等；负责市场主体培育工作。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企事业单位、其他组织和个人从事生产、经营活动涉及的食品药品、安全生产等事项的许可、备案及相关资质、资格许可的办理；负责涉及文化广电、新闻出版、卫生计生、农林牧渔等领域审批及相关事项办理；负责涉及环境保护、城市管理、交通运输等领域的审批及相关事项办理；负责人力资源社会保障、教育、体育、民政等领域的审批及相关事项办理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组织对进入审批程序的项目进行实地勘验或组织、协调专家进行评审勘验；负责评审专家库建设；负责汇总整理勘验或专家评审意见并转交至相关审批业务处室；负责全局审批业务涉及中介服务机构的对接、沟通、协调工作；负责“中介超市”管理工作；负责与业务关联部门的衔接、沟通、协调等工作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（三）公共资源交易监管</w:t>
      </w:r>
      <w:r>
        <w:rPr>
          <w:rFonts w:hint="eastAsia" w:ascii="仿宋" w:hAnsi="仿宋" w:eastAsia="仿宋" w:cs="仿宋"/>
          <w:bCs/>
          <w:sz w:val="32"/>
          <w:szCs w:val="32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。承担成安县公共资源交易管理委员会日常工作。负责指导、协调全县公共资源交易平台建设与交易管理工作，提出加强和规范公共资源交易平台管理的意见建议；会同有关部门制定公共资源交易的监管配套制度、交易规则；负责县公共资源交易平台的监督与协调工作；负责对交易目录内的项目进场情况进行监督检查；负责汇总公共资源交易情况，及时向公共资源交易平台通报、发布相关信息；对进场交易情况进行考评；负责组织对有关入驻单位、工作人员的社会评议；受理对公共资源交易活动的投诉并会同有关部门调查处理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（四）法规督查</w:t>
      </w:r>
      <w:r>
        <w:rPr>
          <w:rFonts w:hint="eastAsia" w:ascii="仿宋" w:hAnsi="仿宋" w:eastAsia="仿宋" w:cs="仿宋"/>
          <w:bCs/>
          <w:sz w:val="32"/>
          <w:szCs w:val="32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。负责制定涉及行政审批的各项规章制度和管理办法并组织实施；负责规范行政审批行为，建立和完善相应工作机制；负责机关依法行政工作和行政审批涉及的法律、法规咨询解释、宣传教育和培训工作；负责处理涉及行政审批的行政复议、行政应诉等法律纠纷；负责对审批服务事项的设定依据、受理要件、办理流程进行合法性审查；负责内部监督和审批案卷规范性审查；负责进驻窗口单位及人员的日常管理、考评、考核等工作；负责对行政审批、公共资源交易及政务服务事项办理情况、办理效能以及工作人员的服务态度、服务质量、工作纪律等进行监督；负责受理服务对象行政投诉，接待群众来信来访。负责对行政审批、公共资源交易及政务服务事项的投诉举报的承办、转办和督办工作，配合有关部门查处违法、违规、违纪问题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bCs/>
          <w:sz w:val="32"/>
          <w:szCs w:val="32"/>
        </w:rPr>
        <w:t>统一受理股。负责咨询引导工作；负责非即办类审批事项的统一受理；负责统一制证及证照统一送达工作；负责受理办事申请，一次告知申请材料；负责审验申报材料完整度，核对申请人信息并录入审批系统；负责将接收的资料转交相关审批业务股室；负责各入驻窗口审批事项的统一登记工作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1、收入说明</w:t>
      </w:r>
    </w:p>
    <w:p>
      <w:pPr>
        <w:spacing w:line="560" w:lineRule="exact"/>
        <w:ind w:firstLine="64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2019</w:t>
      </w:r>
      <w:r>
        <w:rPr>
          <w:rFonts w:hint="eastAsia" w:ascii="仿宋" w:hAnsi="仿宋" w:eastAsia="仿宋" w:cs="方正仿宋_GBK"/>
          <w:sz w:val="32"/>
          <w:szCs w:val="32"/>
        </w:rPr>
        <w:t>年预算收入153.6万元，其中：一般公共预算收入153.6万元，国有资本经营收入0万元，事业收入0万元，其他收入0万元。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2、支出说明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2019</w:t>
      </w:r>
      <w:r>
        <w:rPr>
          <w:rFonts w:hint="eastAsia" w:ascii="仿宋" w:hAnsi="仿宋" w:eastAsia="仿宋" w:cs="方正仿宋_GBK"/>
          <w:sz w:val="32"/>
          <w:szCs w:val="32"/>
        </w:rPr>
        <w:t>年支出预算153.6万元，其中基本支出104.6万元，主要是日常公用经费；项目支出49万元，主要为业务活动费用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3、比上年增减变化情况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2019年预算收支安排153.6万元，2018年财政拨款收入130.6万元，总支出130.6万元。其中：基本支出增加23万元，由于审批局增加职能，在调整预算中予以调增。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机关运行经费共计安排104.6万元，主要用于办公区的日常维修、办公用房水电费、邮电费、差旅费、办公用房物业管理费、印刷费等日常运行支出。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1795" w:leftChars="398" w:hanging="960" w:hangingChars="3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财政拨款“三公”经费预算情况</w:t>
      </w:r>
    </w:p>
    <w:p>
      <w:pPr>
        <w:pStyle w:val="10"/>
        <w:autoSpaceDE w:val="0"/>
        <w:autoSpaceDN w:val="0"/>
        <w:adjustRightInd w:val="0"/>
        <w:spacing w:line="560" w:lineRule="exact"/>
        <w:ind w:left="420" w:leftChars="200" w:firstLine="480" w:firstLineChars="150"/>
        <w:jc w:val="left"/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2019年度“三公”预算安排0万元，其中，因公出国（境）费0元，安排公务用车维护费0元，（其中公务用车购置费0元，公务用车运行维护费0万元），公务接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待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费0万元，2019年“三公”经费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因公出国（境）费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与去年持平，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公务用车维护费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与去年持平，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公务接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待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与去年持平。</w:t>
      </w:r>
    </w:p>
    <w:p>
      <w:pPr>
        <w:spacing w:line="560" w:lineRule="exact"/>
        <w:ind w:firstLine="838" w:firstLineChars="26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新宋体" w:hAnsi="新宋体" w:eastAsia="新宋体" w:cs="新宋体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方正仿宋_GBK"/>
          <w:b/>
          <w:bCs/>
          <w:sz w:val="32"/>
          <w:szCs w:val="32"/>
        </w:rPr>
        <w:t>总体绩效目标：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</w:rPr>
        <w:t>深化审批机制改革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深化审批机制改革，要推进工程建设项目审批制度改革；推进商事制度改革，实施企业开办提速、“证照分离”等专项行动；推进公共资源交易改革；全面推行统一受理；提升重点项目代办工作。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0"/>
          <w:szCs w:val="30"/>
        </w:rPr>
        <w:t>深化政务服务改革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深化政务服务改革，要健全完善政务服务体系；加强审批服务标准化建设；加快推动“互联网＋政务服务”；提高群众服务热线水平。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0"/>
          <w:szCs w:val="30"/>
        </w:rPr>
        <w:t>加大“四减”力度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减少审批事项；减少审批环节；减少审批材料；减少审批时限。</w:t>
      </w:r>
    </w:p>
    <w:p>
      <w:pPr>
        <w:widowControl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left="630" w:leftChars="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0"/>
          <w:szCs w:val="30"/>
        </w:rPr>
        <w:t>提升企业群众获得感和满意度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扎实开展“便民利企主题活动”，进一步增强企业群众的获得感和满意度。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（二）分项绩效目标</w:t>
      </w:r>
    </w:p>
    <w:p>
      <w:pPr>
        <w:keepNext/>
        <w:keepLines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8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1.行政审批大楼运行和审批业务工作经费绩效目标：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承办上级交办的各项事项，协调推进机关日常工作。完成机关运转需要的办公、维修、文印等事务管理工作，综合业务完成率达到100%。大楼近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000平米环境卫生、绿植养护及安全防卫完成率达到100%。政府服务热线电话电话办结率、回访满意率均达到</w:t>
      </w:r>
      <w:r>
        <w:rPr>
          <w:rFonts w:hint="eastAsia" w:ascii="仿宋" w:hAnsi="仿宋" w:eastAsia="仿宋"/>
          <w:sz w:val="32"/>
          <w:lang w:val="en-US" w:eastAsia="zh-CN"/>
        </w:rPr>
        <w:t>98</w:t>
      </w:r>
      <w:r>
        <w:rPr>
          <w:rFonts w:hint="eastAsia" w:ascii="仿宋" w:hAnsi="仿宋" w:eastAsia="仿宋"/>
          <w:sz w:val="32"/>
        </w:rPr>
        <w:t>%。审批业务顺利办结,相关审批事项出证率达到100%。现场勘验工作顺利实施出现场率达到100%。提高勘验工作的专业性,第三方专业技术进行评价服务完采纳达到100%。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2.公共资源交易活动职责绩效目标：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评标工作正常有序开展，评标过程标准化，为各级政府单位采购工作提供数据支撑和科学参考,确保招投标结果的科学性、正确性,按规定抽取专家评审，确保全年系统稳定运行，累计故障时间可控范围内；公共资源交易中心门户网站维护，确保网站安全运行，外联单位信息全面可查询，网站全年安全访问。建立完善规则统一、公开透明、服务高效、监督规范的公共资源交易平台体系，实现公共资源交易全部线上留痕率达100%，政府采购公开招标、工程建设项目全流程电子化覆盖率100%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3.推进“互联网＋政务服务”工作职责绩效目标：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保证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一体化政务服务平台与</w:t>
      </w:r>
      <w:r>
        <w:rPr>
          <w:rFonts w:hint="eastAsia" w:ascii="仿宋" w:hAnsi="仿宋" w:eastAsia="仿宋"/>
          <w:sz w:val="32"/>
          <w:lang w:eastAsia="zh-CN"/>
        </w:rPr>
        <w:t>市</w:t>
      </w:r>
      <w:r>
        <w:rPr>
          <w:rFonts w:hint="eastAsia" w:ascii="仿宋" w:hAnsi="仿宋" w:eastAsia="仿宋"/>
          <w:sz w:val="32"/>
        </w:rPr>
        <w:t>平台连通顺畅，满足县级正常业务办理使用，推进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政务服务平台与垂建业务系统对接，承接部分审批职能，实现接口对接、数据调用和结果汇聚等功能。确保系统功能完善率95%以上。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 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4.社会信用体系建设运维职责绩效目标：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提升我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信用门户网站和信用信息共享平台建设水平，完善平台信用信息采集报送共享、公示查询管理、联合奖惩、场景应用、信用监管、数据分析和信息安全等系统，推进信用服务应用“高度集成、一网通办”。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（三）工作保障措施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1.</w:t>
      </w:r>
      <w:r>
        <w:rPr>
          <w:rFonts w:hint="eastAsia" w:ascii="仿宋" w:hAnsi="仿宋" w:eastAsia="仿宋"/>
          <w:sz w:val="32"/>
        </w:rPr>
        <w:t>持续做好审批服务。通过节假日“不打烊”、帮办代办、特事特办、预约服务、延时服务，倡导推进“网上办、指尖办、预约办、邮寄办”，严格测温登记、查验健康码等措施，保障审批服务不断档。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2.</w:t>
      </w:r>
      <w:r>
        <w:rPr>
          <w:rFonts w:hint="eastAsia" w:ascii="仿宋" w:hAnsi="仿宋" w:eastAsia="仿宋"/>
          <w:sz w:val="32"/>
        </w:rPr>
        <w:t>加强审批服务标准化建设。一是大力推进政务服务事项标准化工作，编制完善政务服务事项权责清单；持续推进一次性告知书和审查要点标准化，为企业群众提供规范便捷的办事指引。二是认真组织实施《</w:t>
      </w:r>
      <w:r>
        <w:rPr>
          <w:rFonts w:hint="eastAsia" w:ascii="仿宋" w:hAnsi="仿宋" w:eastAsia="仿宋"/>
          <w:sz w:val="32"/>
          <w:lang w:eastAsia="zh-CN"/>
        </w:rPr>
        <w:t>成安县</w:t>
      </w:r>
      <w:r>
        <w:rPr>
          <w:rFonts w:hint="eastAsia" w:ascii="仿宋" w:hAnsi="仿宋" w:eastAsia="仿宋"/>
          <w:sz w:val="32"/>
        </w:rPr>
        <w:t>政务服务“好差评”评价实施办法》，加强素质提升、服务环境、服务行为、事项公开、绩效考核等方面的管理，持续推进政务服务系统标准规范、科学高效。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3.</w:t>
      </w:r>
      <w:r>
        <w:rPr>
          <w:rFonts w:hint="eastAsia" w:ascii="仿宋" w:hAnsi="仿宋" w:eastAsia="仿宋"/>
          <w:sz w:val="32"/>
        </w:rPr>
        <w:t>持续推进简政放权优化服务。一是结合我省相关工作方案，制定我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涉企经营许可事项告知承诺制的工作方案，推动“证照分离”改革全覆盖落地落实。二是按照国务院工作安排，继续衔接取消一批事项，承接上级下放事项，并结合我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工作实际，研究向</w:t>
      </w:r>
      <w:r>
        <w:rPr>
          <w:rFonts w:hint="eastAsia" w:ascii="仿宋" w:hAnsi="仿宋" w:eastAsia="仿宋"/>
          <w:sz w:val="32"/>
          <w:lang w:eastAsia="zh-CN"/>
        </w:rPr>
        <w:t>乡镇</w:t>
      </w:r>
      <w:r>
        <w:rPr>
          <w:rFonts w:hint="eastAsia" w:ascii="仿宋" w:hAnsi="仿宋" w:eastAsia="仿宋"/>
          <w:sz w:val="32"/>
        </w:rPr>
        <w:t>放一批事项，加大简政放权力度，进一步便民利企。三是继续深化“一件事、一次办”改革，再造办事流程，取消重复材料，压减办理时限，全流程标准化办理，实现一窗受理、一表申请、一次提交、极简审批的集成服务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4.</w:t>
      </w:r>
      <w:r>
        <w:rPr>
          <w:rFonts w:hint="eastAsia" w:ascii="仿宋" w:hAnsi="仿宋" w:eastAsia="仿宋"/>
          <w:sz w:val="32"/>
        </w:rPr>
        <w:t>深化工程建设项目审批制度改革。一是推进工程建设审批管理系统与邯郸政务服务网对接，依托工程建设项目审批管理系统网上办事大厅，推行智能化申报和审批。二是全面落实上级部署，进一步抓好并联审批、联合验收、区域评估应用等工作开展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5.</w:t>
      </w:r>
      <w:r>
        <w:rPr>
          <w:rFonts w:hint="eastAsia" w:ascii="仿宋" w:hAnsi="仿宋" w:eastAsia="仿宋"/>
          <w:sz w:val="32"/>
        </w:rPr>
        <w:t>紧盯公共资源交易工作。一是进一步加强公共资源交易平台建设，在功能适应性方面持续优化升级，推进交易中心电子档案系统和电子保函平台的建设应用，持续提升全流程电子化水平。二是进一步精简交易环节、简化交易流程，取消不必要的人员到场和纸质材料，让数据“多跑路”、群众“少跑腿”，做到交易进场“零门槛”，交易过程“零拖延”，交易环节“零障碍”，交易服务“零距离”。三是严格落实疫情防控期间公共资源交易工作方案，严格做好入场登记，严格标区出入管理，按照“能简则简、能优则优、特事特办、急事急办”的原则，稳妥有序地开展公共资源交易工作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部门职责-工作活动绩效目标指标：</w:t>
      </w:r>
    </w:p>
    <w:p>
      <w:pPr>
        <w:spacing w:line="560" w:lineRule="exact"/>
        <w:ind w:firstLine="560" w:firstLineChars="200"/>
        <w:jc w:val="left"/>
        <w:outlineLvl w:val="0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223 成安县行政审批局单位：万元</w:t>
      </w:r>
    </w:p>
    <w:tbl>
      <w:tblPr>
        <w:tblStyle w:val="6"/>
        <w:tblW w:w="14357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72"/>
        <w:gridCol w:w="2901"/>
        <w:gridCol w:w="2152"/>
        <w:gridCol w:w="2822"/>
        <w:gridCol w:w="1125"/>
        <w:gridCol w:w="1066"/>
        <w:gridCol w:w="849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职责活动名称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年度预算数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内容描述</w:t>
            </w:r>
          </w:p>
        </w:tc>
        <w:tc>
          <w:tcPr>
            <w:tcW w:w="2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绩效目标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评价标准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县级审批规范化建设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加快县级审批局建设，提高行政审批和服务效率，为群众和社会提供优质服务。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县级审批服务达到标准化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场地建设办公面积达四千平米，办公设施；开通100兆光纤，统一配备办公桌椅，中央空调，专业保安保洁人员。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≥80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≥60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＜60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优化办公环境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加快县级审批局建设，加快装修进度，组织人员监督监管。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县级审批局达到标准化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办公环境标准化建设完成率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≥95%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≥85%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≥80%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＜80%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信息化建设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网络建设管理，计算机信息网络建设；组织协调各类信息资源上网和扩充，保障网络和信息安全。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数据资源丰富、数据正版、权威、可靠，用户满意度高。故障及时修复，线路畅通，系统运行稳定。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用户满意度率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≥95%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≥85%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≥75%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＜75%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负责全县行政审批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负责投资项目、市场服务等的审批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完善高效便民行政审批体系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行政审批服务体系完善程度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≥90%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≥80%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≥70%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＜70%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新宋体" w:hAnsi="新宋体" w:eastAsia="新宋体" w:cs="新宋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仿宋" w:hAnsi="仿宋" w:eastAsia="仿宋" w:cs="Times New Roman"/>
          <w:sz w:val="32"/>
          <w:szCs w:val="32"/>
        </w:rPr>
      </w:pPr>
      <w:bookmarkStart w:id="0" w:name="_Toc471398468"/>
      <w:r>
        <w:rPr>
          <w:rFonts w:hint="eastAsia" w:ascii="仿宋" w:hAnsi="仿宋" w:eastAsia="仿宋" w:cs="Times New Roman"/>
          <w:sz w:val="32"/>
          <w:szCs w:val="32"/>
        </w:rPr>
        <w:t>2019</w:t>
      </w:r>
      <w:r>
        <w:rPr>
          <w:rFonts w:hint="eastAsia" w:ascii="仿宋" w:hAnsi="仿宋" w:eastAsia="仿宋" w:cs="方正仿宋_GBK"/>
          <w:sz w:val="32"/>
          <w:szCs w:val="32"/>
        </w:rPr>
        <w:t>年，我单位安排政府采购预算2.6万元。具体内容见下表。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部门政府采购预算</w:t>
      </w:r>
      <w:bookmarkEnd w:id="0"/>
    </w:p>
    <w:tbl>
      <w:tblPr>
        <w:tblStyle w:val="6"/>
        <w:tblW w:w="150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106"/>
        <w:gridCol w:w="910"/>
        <w:gridCol w:w="1447"/>
        <w:gridCol w:w="910"/>
        <w:gridCol w:w="877"/>
        <w:gridCol w:w="970"/>
        <w:gridCol w:w="931"/>
        <w:gridCol w:w="931"/>
        <w:gridCol w:w="931"/>
        <w:gridCol w:w="847"/>
        <w:gridCol w:w="913"/>
        <w:gridCol w:w="913"/>
        <w:gridCol w:w="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9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631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5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政府采购项目来源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采购物品名称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政府采购目录序号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数量单位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单价</w:t>
            </w:r>
          </w:p>
        </w:tc>
        <w:tc>
          <w:tcPr>
            <w:tcW w:w="631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24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预算资金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总计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当年部门预算安排资金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一般公共预算拨款</w:t>
            </w:r>
          </w:p>
        </w:tc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基金预算拨款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财政专户核拨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其他来源收入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47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　计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2.6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2.6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2.6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电脑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0.6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电脑</w:t>
            </w:r>
          </w:p>
        </w:tc>
        <w:tc>
          <w:tcPr>
            <w:tcW w:w="144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台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0.6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0.6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0.6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打印机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打印机</w:t>
            </w:r>
          </w:p>
        </w:tc>
        <w:tc>
          <w:tcPr>
            <w:tcW w:w="144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台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0.25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按照政府采购相关法律法规要求，结合我局实际，2019年我局政府采购事项为2.6万元，本年拟用于政府采购微机等办公设备2.6万元，其中电脑0.6万元，共计1台，打印机8台，共计2万元。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成安县行政审批局部门（含所属单位）上年末固定资产金额为411.85万元，本年度拟购置固定资产主要为计算机设备、打印设备等，已列入政府采购预算。详见上表。</w:t>
      </w:r>
    </w:p>
    <w:tbl>
      <w:tblPr>
        <w:tblStyle w:val="6"/>
        <w:tblW w:w="1501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8"/>
        <w:gridCol w:w="1417"/>
        <w:gridCol w:w="6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编制部门：成安县商业局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00" w:firstLineChars="250"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截止时间：2018年12月31日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6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——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411.85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1、房屋（平方米）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3900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其中：办公用房（平方米）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3900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2、车辆（台、辆）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3、单价在50万元以上的设备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4、其他固定资产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10842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411.85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八、</w:t>
      </w:r>
      <w:r>
        <w:rPr>
          <w:rFonts w:hint="eastAsia" w:ascii="黑体" w:hAnsi="黑体" w:eastAsia="黑体" w:cs="仿宋"/>
          <w:bCs/>
          <w:kern w:val="0"/>
          <w:sz w:val="32"/>
          <w:szCs w:val="32"/>
        </w:rPr>
        <w:t>名词解释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720" w:firstLineChars="3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headerReference r:id="rId3" w:type="default"/>
      <w:pgSz w:w="16839" w:h="11907" w:orient="landscape"/>
      <w:pgMar w:top="1134" w:right="1021" w:bottom="1134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F4F13C"/>
    <w:multiLevelType w:val="singleLevel"/>
    <w:tmpl w:val="95F4F1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hYjc5ZWFkOTZiZDA4NWMwYTAyMjRlMzBlYTViMzgifQ=="/>
  </w:docVars>
  <w:rsids>
    <w:rsidRoot w:val="00E810D6"/>
    <w:rsid w:val="00011263"/>
    <w:rsid w:val="000907B7"/>
    <w:rsid w:val="000A324F"/>
    <w:rsid w:val="0010350A"/>
    <w:rsid w:val="001768FB"/>
    <w:rsid w:val="001A2660"/>
    <w:rsid w:val="00215B59"/>
    <w:rsid w:val="002406B2"/>
    <w:rsid w:val="00282714"/>
    <w:rsid w:val="002E3A95"/>
    <w:rsid w:val="00313031"/>
    <w:rsid w:val="00322AEB"/>
    <w:rsid w:val="0038545C"/>
    <w:rsid w:val="003868FC"/>
    <w:rsid w:val="003D4C5A"/>
    <w:rsid w:val="004128E2"/>
    <w:rsid w:val="00444DE5"/>
    <w:rsid w:val="00456341"/>
    <w:rsid w:val="0048189D"/>
    <w:rsid w:val="004A0CB1"/>
    <w:rsid w:val="004A5A9C"/>
    <w:rsid w:val="004C3F0F"/>
    <w:rsid w:val="00550B7C"/>
    <w:rsid w:val="005D136A"/>
    <w:rsid w:val="00620C8A"/>
    <w:rsid w:val="0062621A"/>
    <w:rsid w:val="00685811"/>
    <w:rsid w:val="00693EC1"/>
    <w:rsid w:val="006B6EED"/>
    <w:rsid w:val="006D1C5B"/>
    <w:rsid w:val="006D6245"/>
    <w:rsid w:val="00784C27"/>
    <w:rsid w:val="007A507B"/>
    <w:rsid w:val="007B03EA"/>
    <w:rsid w:val="007C661E"/>
    <w:rsid w:val="007D6BF0"/>
    <w:rsid w:val="008058DC"/>
    <w:rsid w:val="008151E1"/>
    <w:rsid w:val="00872A92"/>
    <w:rsid w:val="008C7744"/>
    <w:rsid w:val="008E534B"/>
    <w:rsid w:val="00957CCE"/>
    <w:rsid w:val="00965E34"/>
    <w:rsid w:val="00A07D70"/>
    <w:rsid w:val="00A31438"/>
    <w:rsid w:val="00AD476D"/>
    <w:rsid w:val="00B31308"/>
    <w:rsid w:val="00B63B82"/>
    <w:rsid w:val="00B64D9D"/>
    <w:rsid w:val="00C54695"/>
    <w:rsid w:val="00C81E5E"/>
    <w:rsid w:val="00CE356A"/>
    <w:rsid w:val="00CF5C46"/>
    <w:rsid w:val="00D021C2"/>
    <w:rsid w:val="00DC3B1F"/>
    <w:rsid w:val="00E810D6"/>
    <w:rsid w:val="00F0748E"/>
    <w:rsid w:val="00F36369"/>
    <w:rsid w:val="00FA0ED5"/>
    <w:rsid w:val="00FD7F58"/>
    <w:rsid w:val="00FE1BD4"/>
    <w:rsid w:val="013B67CD"/>
    <w:rsid w:val="01CA412B"/>
    <w:rsid w:val="02755720"/>
    <w:rsid w:val="037D399A"/>
    <w:rsid w:val="03B213E5"/>
    <w:rsid w:val="04B26CF0"/>
    <w:rsid w:val="06096D52"/>
    <w:rsid w:val="06550E5D"/>
    <w:rsid w:val="0726741C"/>
    <w:rsid w:val="07CF4628"/>
    <w:rsid w:val="085D674B"/>
    <w:rsid w:val="08D34D69"/>
    <w:rsid w:val="09E50DB9"/>
    <w:rsid w:val="0A772D4D"/>
    <w:rsid w:val="0AAE6451"/>
    <w:rsid w:val="0B877459"/>
    <w:rsid w:val="0BB759F9"/>
    <w:rsid w:val="0BBC3B88"/>
    <w:rsid w:val="0CBF7A43"/>
    <w:rsid w:val="0DD4180B"/>
    <w:rsid w:val="0EC35BB8"/>
    <w:rsid w:val="11C94949"/>
    <w:rsid w:val="13073D0C"/>
    <w:rsid w:val="130B706D"/>
    <w:rsid w:val="139106CF"/>
    <w:rsid w:val="13DE0FA8"/>
    <w:rsid w:val="14EB6265"/>
    <w:rsid w:val="15084A43"/>
    <w:rsid w:val="163506CD"/>
    <w:rsid w:val="1706252E"/>
    <w:rsid w:val="17252863"/>
    <w:rsid w:val="175940C0"/>
    <w:rsid w:val="17C16AC9"/>
    <w:rsid w:val="180D78B9"/>
    <w:rsid w:val="1AEF7278"/>
    <w:rsid w:val="1AFC1951"/>
    <w:rsid w:val="1B2A5EA4"/>
    <w:rsid w:val="1CC97251"/>
    <w:rsid w:val="1CEB0A1C"/>
    <w:rsid w:val="1CEC6347"/>
    <w:rsid w:val="1E8167C1"/>
    <w:rsid w:val="1EAA0AE1"/>
    <w:rsid w:val="20D043CA"/>
    <w:rsid w:val="21B66276"/>
    <w:rsid w:val="228819EE"/>
    <w:rsid w:val="25B242F0"/>
    <w:rsid w:val="25D57E95"/>
    <w:rsid w:val="2716314B"/>
    <w:rsid w:val="288A4B30"/>
    <w:rsid w:val="28E516DB"/>
    <w:rsid w:val="299267B6"/>
    <w:rsid w:val="2A901CA6"/>
    <w:rsid w:val="2AD57C75"/>
    <w:rsid w:val="2BAA47A7"/>
    <w:rsid w:val="2DCE40BA"/>
    <w:rsid w:val="2E066AE5"/>
    <w:rsid w:val="2E2777CE"/>
    <w:rsid w:val="2EE04A84"/>
    <w:rsid w:val="2F352F22"/>
    <w:rsid w:val="30580DAA"/>
    <w:rsid w:val="31D059F4"/>
    <w:rsid w:val="332A0BBD"/>
    <w:rsid w:val="334C2717"/>
    <w:rsid w:val="336841DF"/>
    <w:rsid w:val="3387759D"/>
    <w:rsid w:val="351C5D1D"/>
    <w:rsid w:val="368B62A5"/>
    <w:rsid w:val="36BE0030"/>
    <w:rsid w:val="36DF5EE5"/>
    <w:rsid w:val="38963AA1"/>
    <w:rsid w:val="39341F93"/>
    <w:rsid w:val="39461E7C"/>
    <w:rsid w:val="39A75722"/>
    <w:rsid w:val="3AE84D0F"/>
    <w:rsid w:val="3B6E7B6E"/>
    <w:rsid w:val="3C712CD5"/>
    <w:rsid w:val="3CEC5D53"/>
    <w:rsid w:val="3DD87277"/>
    <w:rsid w:val="3DE43B1B"/>
    <w:rsid w:val="41D2211C"/>
    <w:rsid w:val="441C57E9"/>
    <w:rsid w:val="44240E6E"/>
    <w:rsid w:val="44686DC4"/>
    <w:rsid w:val="44986D47"/>
    <w:rsid w:val="456A5D0D"/>
    <w:rsid w:val="457C0C14"/>
    <w:rsid w:val="45A4421D"/>
    <w:rsid w:val="45B90BF3"/>
    <w:rsid w:val="460127C2"/>
    <w:rsid w:val="460143F1"/>
    <w:rsid w:val="475B18CD"/>
    <w:rsid w:val="4A1A5A38"/>
    <w:rsid w:val="4A4F1F05"/>
    <w:rsid w:val="4A5D4056"/>
    <w:rsid w:val="4B7040C7"/>
    <w:rsid w:val="4C6B0BF2"/>
    <w:rsid w:val="4CA957E7"/>
    <w:rsid w:val="4D3E1CC9"/>
    <w:rsid w:val="4D9730D4"/>
    <w:rsid w:val="4DCA3295"/>
    <w:rsid w:val="4E4335D2"/>
    <w:rsid w:val="507023FC"/>
    <w:rsid w:val="530431CE"/>
    <w:rsid w:val="54101C55"/>
    <w:rsid w:val="546E44D6"/>
    <w:rsid w:val="58263237"/>
    <w:rsid w:val="59AF56D7"/>
    <w:rsid w:val="5A6349D1"/>
    <w:rsid w:val="5B2B3FCD"/>
    <w:rsid w:val="5BAE356C"/>
    <w:rsid w:val="5CB07A05"/>
    <w:rsid w:val="5ED17601"/>
    <w:rsid w:val="5FA41991"/>
    <w:rsid w:val="612F2391"/>
    <w:rsid w:val="617B2374"/>
    <w:rsid w:val="61897173"/>
    <w:rsid w:val="63F21B1B"/>
    <w:rsid w:val="65493192"/>
    <w:rsid w:val="65BD2245"/>
    <w:rsid w:val="666C26EF"/>
    <w:rsid w:val="68701BC4"/>
    <w:rsid w:val="698F6EE1"/>
    <w:rsid w:val="69C9612A"/>
    <w:rsid w:val="6B511389"/>
    <w:rsid w:val="6C9F05E4"/>
    <w:rsid w:val="6D2C4D48"/>
    <w:rsid w:val="6D5763C1"/>
    <w:rsid w:val="6D81148F"/>
    <w:rsid w:val="6E8006EE"/>
    <w:rsid w:val="6ECC4D84"/>
    <w:rsid w:val="6F247B28"/>
    <w:rsid w:val="70BA2DA1"/>
    <w:rsid w:val="71B87B2B"/>
    <w:rsid w:val="729B4F6A"/>
    <w:rsid w:val="733E01F4"/>
    <w:rsid w:val="7424079F"/>
    <w:rsid w:val="74D4598A"/>
    <w:rsid w:val="759F3427"/>
    <w:rsid w:val="75EE34FD"/>
    <w:rsid w:val="76FD3FC3"/>
    <w:rsid w:val="7AA5545A"/>
    <w:rsid w:val="7BA61B63"/>
    <w:rsid w:val="7BAA5900"/>
    <w:rsid w:val="7D441904"/>
    <w:rsid w:val="7D9A3104"/>
    <w:rsid w:val="7DB21100"/>
    <w:rsid w:val="7DB94919"/>
    <w:rsid w:val="7F895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796</Words>
  <Characters>4541</Characters>
  <Lines>37</Lines>
  <Paragraphs>10</Paragraphs>
  <TotalTime>2</TotalTime>
  <ScaleCrop>false</ScaleCrop>
  <LinksUpToDate>false</LinksUpToDate>
  <CharactersWithSpaces>5327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dell</cp:lastModifiedBy>
  <cp:lastPrinted>2016-04-01T02:44:00Z</cp:lastPrinted>
  <dcterms:modified xsi:type="dcterms:W3CDTF">2024-01-18T03:15:25Z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68EB03AA51B44E29A7980114477F315C</vt:lpwstr>
  </property>
</Properties>
</file>