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成安县交通运输局</w:t>
      </w:r>
    </w:p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2019年部门预算公开情况说明</w:t>
      </w:r>
    </w:p>
    <w:p>
      <w:pPr>
        <w:jc w:val="center"/>
        <w:rPr>
          <w:rFonts w:ascii="仿宋_GB2312" w:hAnsi="黑体" w:eastAsia="仿宋_GB2312"/>
          <w:sz w:val="10"/>
          <w:szCs w:val="10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</w:t>
      </w:r>
      <w:r>
        <w:rPr>
          <w:rFonts w:hint="eastAsia" w:ascii="仿宋" w:hAnsi="仿宋" w:eastAsia="仿宋" w:cs="仿宋"/>
          <w:sz w:val="32"/>
          <w:szCs w:val="32"/>
        </w:rPr>
        <w:t>预算法》有关规定和财政部关于印发《地方预决算公开操作规程》的通知，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现将交通运输局2019年部门预算公开如下：</w:t>
      </w:r>
    </w:p>
    <w:p>
      <w:p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一、部门职责及机构设置情况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（一）根据县委，县政府及市交通运输局指示，制定我县交通发展规划。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负责综合运输体系的规划协调工作，负责交通运输枢纽规划，建设和管理，负责县城区公共交通的经营及其场站设施的建设管理，负责城区营运线路的新辟和调整，推进全县城乡公交一体化的实施，指导协调运输企业、个体经营者客运线路运营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（三）负责全县公路运输市场管理。贯彻落实公路运输有关政策、法规、技术标准和运营规范并监督实施。负责 运输市场、运输服务、车辆维修、停车场、搬运装卸、机动车性能检测、机动车驾驶学校和驾驶员培训的行业管理。负责和指导城乡客运及相关设施规划和管理，负责出租汽车行业管理工作。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（四）承担全县公路路政管理，维护公路路产、路权及公路设施，治理公路运输车辆超载。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（五）承担全县城乡公路建设规划。负责辖区内公路及其设施建设、养护和管理。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（六）负责全局人事、劳动管理和工资、社会福利保险等工作，负责局属股、站领导班子建设管理工作。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（七）组织指导交通运输系统干部职工的业务、专业技术培训教育，负责组织职工技能和技术等级申报、考核。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（八）搞好交通运输系统财务管理，加强对直属单位的财务、审计、监督。收集整理交通运输行业数据信息。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（九）指导交通运输系统的精神文明建设，整顿职工的思想工作作风，搞好行风建设。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（十）承担全县公路行业安全生产和应急管理工作。按规定组织协调国家、省、市、县重点物资和紧急客货运输。承担国防交通战备工作。</w:t>
      </w:r>
    </w:p>
    <w:p>
      <w:pPr>
        <w:spacing w:line="360" w:lineRule="auto"/>
        <w:ind w:firstLine="640" w:firstLineChars="200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（十一）承办县委、县政府，市交通运输局交办的其他项。</w:t>
      </w:r>
    </w:p>
    <w:p>
      <w:pPr>
        <w:widowControl/>
        <w:spacing w:line="360" w:lineRule="auto"/>
        <w:ind w:firstLine="630" w:firstLineChars="196"/>
        <w:jc w:val="left"/>
        <w:rPr>
          <w:rFonts w:ascii="楷体" w:hAnsi="楷体" w:eastAsia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kern w:val="0"/>
          <w:sz w:val="32"/>
          <w:szCs w:val="32"/>
        </w:rPr>
        <w:t>人员编制和领导职数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人员编制11名，其中领导职数6个。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机构设置：</w:t>
      </w:r>
    </w:p>
    <w:p>
      <w:pPr>
        <w:jc w:val="center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部门机构设置情况</w:t>
      </w:r>
    </w:p>
    <w:tbl>
      <w:tblPr>
        <w:tblStyle w:val="4"/>
        <w:tblW w:w="86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1134"/>
        <w:gridCol w:w="1276"/>
        <w:gridCol w:w="29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单位规格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经费保障形式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02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成安县交通运输局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行政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局级</w:t>
            </w:r>
          </w:p>
        </w:tc>
        <w:tc>
          <w:tcPr>
            <w:tcW w:w="2902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</w:p>
        </w:tc>
        <w:tc>
          <w:tcPr>
            <w:tcW w:w="2902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</w:p>
        </w:tc>
      </w:tr>
    </w:tbl>
    <w:p>
      <w:pPr>
        <w:widowControl/>
        <w:spacing w:line="360" w:lineRule="auto"/>
        <w:ind w:left="628"/>
        <w:jc w:val="left"/>
        <w:rPr>
          <w:rFonts w:ascii="Calibri" w:hAnsi="Calibri" w:eastAsia="仿宋_GB2312" w:cs="Calibri"/>
          <w:b/>
          <w:kern w:val="0"/>
          <w:sz w:val="32"/>
          <w:szCs w:val="32"/>
        </w:rPr>
      </w:pPr>
      <w:r>
        <w:rPr>
          <w:rFonts w:hint="eastAsia" w:ascii="Calibri" w:hAnsi="Calibri" w:eastAsia="仿宋_GB2312" w:cs="Calibri"/>
          <w:b/>
          <w:kern w:val="0"/>
          <w:sz w:val="32"/>
          <w:szCs w:val="32"/>
        </w:rPr>
        <w:t>内设主要</w:t>
      </w:r>
      <w:r>
        <w:rPr>
          <w:rFonts w:ascii="Calibri" w:hAnsi="Calibri" w:eastAsia="仿宋_GB2312" w:cs="Calibri"/>
          <w:b/>
          <w:kern w:val="0"/>
          <w:sz w:val="32"/>
          <w:szCs w:val="32"/>
        </w:rPr>
        <w:t>机构</w:t>
      </w:r>
      <w:r>
        <w:rPr>
          <w:rFonts w:hint="eastAsia" w:ascii="Calibri" w:hAnsi="Calibri" w:eastAsia="仿宋_GB2312" w:cs="Calibri"/>
          <w:b/>
          <w:kern w:val="0"/>
          <w:sz w:val="32"/>
          <w:szCs w:val="32"/>
        </w:rPr>
        <w:t>及职责</w:t>
      </w:r>
    </w:p>
    <w:p>
      <w:pPr>
        <w:widowControl/>
        <w:spacing w:line="360" w:lineRule="auto"/>
        <w:ind w:left="628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成安县成安县交通运输局，预算编码是348002，内设7个内部机构。</w:t>
      </w:r>
    </w:p>
    <w:p>
      <w:pPr>
        <w:widowControl/>
        <w:numPr>
          <w:ilvl w:val="0"/>
          <w:numId w:val="1"/>
        </w:numPr>
        <w:spacing w:line="360" w:lineRule="auto"/>
        <w:ind w:left="628"/>
        <w:jc w:val="left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办公室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主要负责：</w:t>
      </w:r>
      <w:r>
        <w:rPr>
          <w:rFonts w:hint="eastAsia" w:ascii="仿宋" w:hAnsi="仿宋" w:eastAsia="仿宋" w:cs="仿宋"/>
          <w:sz w:val="32"/>
          <w:szCs w:val="32"/>
        </w:rPr>
        <w:t>负责组织协调局机关工作，机要、保密、提案、来信、来访督查、目标管理，安全保卫和后勤行政等管理工作</w:t>
      </w:r>
    </w:p>
    <w:p>
      <w:pPr>
        <w:widowControl/>
        <w:spacing w:line="360" w:lineRule="auto"/>
        <w:jc w:val="left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 xml:space="preserve">    2、人事股</w:t>
      </w:r>
    </w:p>
    <w:p>
      <w:pPr>
        <w:widowControl/>
        <w:spacing w:line="360" w:lineRule="auto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</w:t>
      </w:r>
      <w:r>
        <w:rPr>
          <w:rFonts w:hint="eastAsia" w:ascii="仿宋" w:hAnsi="仿宋" w:eastAsia="仿宋" w:cs="仿宋"/>
          <w:sz w:val="32"/>
          <w:szCs w:val="32"/>
        </w:rPr>
        <w:t>负责全局人事工作；负责归口管理专业技术干部职称评聘、继续教育、人才交流与引进和培养工作；负责归口管理技术工人技术等级考核，评定和申报等工作；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 xml:space="preserve">    3、财务股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负责：负责全局财务工作；负责交通建设资金的筹集、调度、使用和管理工作；负责局下属单位财务监督、检查及财务管理的指导工作；加强财务管理、纠正违反财经纪律的行为；负责交通系统国有资产管理。</w:t>
      </w:r>
    </w:p>
    <w:p>
      <w:pPr>
        <w:widowControl/>
        <w:spacing w:line="360" w:lineRule="auto"/>
        <w:jc w:val="left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 xml:space="preserve">    4、纪检室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主要负责：交通系统的纪律检查和行政监察工作，抓好党风、党纪、廉政建设，负责交通系统党员和干部职工违反党的纪律及有关规定的案件督查。</w:t>
      </w:r>
    </w:p>
    <w:p>
      <w:pPr>
        <w:widowControl/>
        <w:spacing w:line="360" w:lineRule="auto"/>
        <w:jc w:val="left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 xml:space="preserve">   5、工程股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主要负责：改造工程预算；负责对公路设计文件、施工单位资质审核；监督工程质量；负责落实有关变更设计，审定工程决算等。</w:t>
      </w:r>
    </w:p>
    <w:p>
      <w:pPr>
        <w:widowControl/>
        <w:spacing w:line="360" w:lineRule="auto"/>
        <w:jc w:val="left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 xml:space="preserve">   6、项目办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主要负责：交通基础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</w:t>
      </w:r>
      <w:r>
        <w:rPr>
          <w:rFonts w:hint="eastAsia" w:ascii="仿宋" w:hAnsi="仿宋" w:eastAsia="仿宋" w:cs="仿宋"/>
          <w:sz w:val="32"/>
          <w:szCs w:val="32"/>
        </w:rPr>
        <w:t>施建设，项目管理。</w:t>
      </w:r>
    </w:p>
    <w:p>
      <w:pPr>
        <w:widowControl/>
        <w:spacing w:line="360" w:lineRule="auto"/>
        <w:jc w:val="left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 xml:space="preserve">   7、规划科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主要负责：负责项目规划管理。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二、部门预算安排的总体情况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按照预算管理有关规定，目前我部门预算的编制实行综合预算制度，即全部收入和支出都反映在预算中。</w:t>
      </w:r>
    </w:p>
    <w:p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、收入说明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2019年预算收入7829.44万元，其中：一般公共预算收入7829.44万元，政府性基金收入０万元，国有资本经营收入０万元，事业收入０万元，其他收入０万元。</w:t>
      </w:r>
    </w:p>
    <w:p>
      <w:pPr>
        <w:spacing w:line="560" w:lineRule="exact"/>
        <w:ind w:firstLine="64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、支出说明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2019年支出预算7829.44万元，其中: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基本支出167.33万元，主要包括人员经费167.33万元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；项目支出7662.11万元，主要为农村道路建设和交通运输支出。</w:t>
      </w:r>
    </w:p>
    <w:p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、比上年增减变化情况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2019年预算收支安排7829.44万元，较2018年预算增加了7222.56万元，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主要原因是道路基础设施建设项目增加，因此支出增加。</w:t>
      </w: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三、机关运行经费安排情况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机关运行经费共计安排</w:t>
      </w:r>
      <w:r>
        <w:rPr>
          <w:rFonts w:hint="eastAsia" w:ascii="仿宋" w:hAnsi="仿宋" w:eastAsia="仿宋" w:cs="黑体"/>
          <w:bCs/>
          <w:color w:val="000000" w:themeColor="text1"/>
          <w:sz w:val="32"/>
          <w:szCs w:val="32"/>
        </w:rPr>
        <w:t>302.2</w:t>
      </w:r>
      <w:r>
        <w:rPr>
          <w:rFonts w:hint="eastAsia" w:ascii="仿宋" w:hAnsi="仿宋" w:eastAsia="仿宋" w:cs="黑体"/>
          <w:bCs/>
          <w:sz w:val="32"/>
          <w:szCs w:val="32"/>
        </w:rPr>
        <w:t>万元，由于体制下划的原因，该部分资金全部在项目支出中反映，主要用于办公区的日常维修、办公用房水电费、邮电费、办公用房取暖费、办公用房物业管理费等日常运行支出。</w:t>
      </w: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四、财政拨款“三公”经费预算情况及增减变化原因</w:t>
      </w: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2019年，我单位“三公”经费预算安排0万元，其中因公出国（境）费万元；公务用车购置及运维费万元（其中：公务用车购置费为万元，公务用车运行费0万元)；公务接待费0万元。与去年相比降低了0%。</w:t>
      </w:r>
    </w:p>
    <w:p>
      <w:pPr>
        <w:spacing w:line="56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五、绩效预算信息</w:t>
      </w:r>
    </w:p>
    <w:p>
      <w:pPr>
        <w:spacing w:line="560" w:lineRule="exac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bookmarkStart w:id="0" w:name="_Toc471398463"/>
      <w:r>
        <w:rPr>
          <w:rFonts w:hint="eastAsia" w:ascii="楷体" w:hAnsi="楷体" w:eastAsia="楷体" w:cs="楷体"/>
          <w:b/>
          <w:bCs/>
          <w:sz w:val="32"/>
          <w:szCs w:val="32"/>
        </w:rPr>
        <w:t>总体绩效目标：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我局在县委、县政府和市交通运输局的正确领导下，认真落实各级绩效考核目标要求，切实改进作风，创新工作机制，提升服务效能。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outlineLvl w:val="0"/>
        <w:rPr>
          <w:rFonts w:ascii="楷体_GB2312" w:hAnsi="黑体" w:eastAsia="楷体_GB2312" w:cs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 w:cs="楷体_GB2312"/>
          <w:b/>
          <w:bCs/>
          <w:sz w:val="32"/>
          <w:szCs w:val="32"/>
        </w:rPr>
        <w:t>部门职责及工作活动绩效目标指标：</w:t>
      </w:r>
      <w:bookmarkEnd w:id="0"/>
    </w:p>
    <w:p>
      <w:pPr>
        <w:spacing w:line="560" w:lineRule="exact"/>
        <w:ind w:firstLine="1920" w:firstLineChars="600"/>
        <w:outlineLvl w:val="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2560" w:firstLineChars="8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部门职责-工作活动绩效目标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96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881"/>
        <w:gridCol w:w="2054"/>
        <w:gridCol w:w="2055"/>
        <w:gridCol w:w="978"/>
        <w:gridCol w:w="509"/>
        <w:gridCol w:w="509"/>
        <w:gridCol w:w="508"/>
        <w:gridCol w:w="5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tblHeader/>
          <w:jc w:val="center"/>
        </w:trPr>
        <w:tc>
          <w:tcPr>
            <w:tcW w:w="7585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348</w:t>
            </w:r>
            <w:r>
              <w:rPr>
                <w:rFonts w:hint="eastAsia" w:ascii="方正小标宋_GBK" w:eastAsia="方正小标宋_GBK"/>
                <w:sz w:val="24"/>
              </w:rPr>
              <w:t>成安县交通局</w:t>
            </w:r>
          </w:p>
        </w:tc>
        <w:tc>
          <w:tcPr>
            <w:tcW w:w="20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tblHeader/>
          <w:jc w:val="center"/>
        </w:trPr>
        <w:tc>
          <w:tcPr>
            <w:tcW w:w="16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职责活动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年度预算数</w:t>
            </w:r>
          </w:p>
        </w:tc>
        <w:tc>
          <w:tcPr>
            <w:tcW w:w="205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内容描述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97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</w:t>
            </w:r>
          </w:p>
        </w:tc>
        <w:tc>
          <w:tcPr>
            <w:tcW w:w="20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评价标准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tblHeader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978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优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良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中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16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交通运输基础设施养护、维护</w:t>
            </w:r>
          </w:p>
        </w:tc>
        <w:tc>
          <w:tcPr>
            <w:tcW w:w="88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40</w:t>
            </w:r>
          </w:p>
        </w:tc>
        <w:tc>
          <w:tcPr>
            <w:tcW w:w="2054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组织交通运输基础设施养护、维护，对招投标活动进行监督管理。</w:t>
            </w:r>
          </w:p>
        </w:tc>
        <w:tc>
          <w:tcPr>
            <w:tcW w:w="2055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路基路面大中修；普通国省干线公路大中修，治理隐患；普通国省干线，提升普通国省干线日常养护作业效率；对农村公路养护实施</w:t>
            </w:r>
            <w:r>
              <w:rPr>
                <w:rFonts w:hint="cs" w:ascii="方正书宋_GBK" w:eastAsia="方正书宋_GBK"/>
                <w:cs/>
              </w:rPr>
              <w:t>“</w:t>
            </w:r>
            <w:r>
              <w:rPr>
                <w:rFonts w:hint="eastAsia" w:ascii="方正书宋_GBK" w:eastAsia="方正书宋_GBK"/>
              </w:rPr>
              <w:t>以奖代补</w:t>
            </w:r>
            <w:r>
              <w:rPr>
                <w:rFonts w:hint="cs" w:ascii="方正书宋_GBK" w:eastAsia="方正书宋_GBK"/>
                <w:cs/>
              </w:rPr>
              <w:t>”</w:t>
            </w:r>
            <w:r>
              <w:rPr>
                <w:rFonts w:hint="eastAsia" w:ascii="方正书宋_GBK" w:eastAsia="方正书宋_GBK"/>
              </w:rPr>
              <w:t>；完善更新公路建设管理养护。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98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92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617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普通国省干线公路养护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对普通国省干线公路主体及其附属设施、设备进行保养中修、大修、维护等。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完成全年普通干线公路大中修里程公里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 xml:space="preserve"> 治理隐患里程公里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 xml:space="preserve">绿化里程公里， 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公路技术状况指数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98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92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年度普通干线公路养护工程量完成率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98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92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年度普通干线公路养护投资完成率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98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92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恢复设计功能（恢复率）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98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92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617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农村公路养护以奖代补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通过以奖代补等形式对农村公路保养与维护进行资金补助，引导带动各地加强农村公路养护。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恢复、提升农村公路原有技术指标，维护、完善交通工程、安全设施、服务管理等附属设施，保持良好的技术状况。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年度农村公路养护工程量完成率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98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97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年度农村公路养护投资完成率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98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97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17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公路建设管理养护基础数据采集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通过公路各项指标地理信息、数据采集及桥梁隧道检测、交通量调查等方式，适时采集相关数据并及时更新；管理维护设备及数据采集信息系统。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按时、保质、保量完成数据采集分析，为公路管理提供依据和支持。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公路基础信息数据使用率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98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公路基础信息数据更新率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98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17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公路、水运工程养护监督和管理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对公路、水运工程及其设施养护工程质量安全及招投标活动进行监督和管理。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各项业务顺利开展，按时完成工作。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项目质量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98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工作质量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98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6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交通运输管理</w:t>
            </w:r>
          </w:p>
        </w:tc>
        <w:tc>
          <w:tcPr>
            <w:tcW w:w="88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承担全县综合运输体系的规划协调，指导城乡客运及有关设施规划和管理，对全县公路及其设施的建设和养护进行管理，指导出租汽车行业管理工作。</w:t>
            </w:r>
          </w:p>
        </w:tc>
        <w:tc>
          <w:tcPr>
            <w:tcW w:w="2055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保障道路通畅，完成运输生产任务，确保安全生产，提高服务保障水平。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93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92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17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公路管理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对公路建设、养护、运营及路政、治理超限超载进行管理。审批公路建设项目施工图并进行现场管理，依法行使公路方面行政处罚权，对全县公路超限治理进行监督管理。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 xml:space="preserve"> 缓解繁忙路段交通压力；维护路产路权，治理超限运输，保障通行能力，提高服务水平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超限超载率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93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92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审批完成率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93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92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安全生产维稳控制目标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93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92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617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道路运输管理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全县道路旅客运输、货物运输、从业人员、道路运输相关业务进行行业管理、市场监管及安全检查，依法行使道路运输行政许可、行政处罚强制权，监督检查有关道路运输法律法规的执行情况，对全县货运源头治超工作进行监督检查。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旅客周转量人公里，公路货物周转量吨公里。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安全生产控制目标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93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92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超限超载率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93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92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年营业性客货运周转量目标完成率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17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城市客运管理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43.45</w:t>
            </w:r>
          </w:p>
        </w:tc>
        <w:tc>
          <w:tcPr>
            <w:tcW w:w="2054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对全县客运（含公共汽电车、出租汽车、汽车租赁）进行行业管理。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客运管理业务顺利开展，按时完成工作。并保障行业安全稳与稳定。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乘客满意率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93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17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安全生产维稳控制目标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93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地方成品油价格和税费改革</w:t>
            </w:r>
          </w:p>
        </w:tc>
        <w:tc>
          <w:tcPr>
            <w:tcW w:w="88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油价更好的控制，税费进一步完善</w:t>
            </w:r>
          </w:p>
        </w:tc>
        <w:tc>
          <w:tcPr>
            <w:tcW w:w="2055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使成品油价格和税费得到稳固的改革目标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93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成品油和税费改革措施</w:t>
            </w:r>
          </w:p>
        </w:tc>
        <w:tc>
          <w:tcPr>
            <w:tcW w:w="88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按照上级要求，对地方成品油和税费进行改革</w:t>
            </w:r>
            <w:bookmarkStart w:id="2" w:name="_GoBack"/>
            <w:bookmarkEnd w:id="2"/>
          </w:p>
        </w:tc>
        <w:tc>
          <w:tcPr>
            <w:tcW w:w="2055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使成品油价格和税费得到稳固的改革目标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油价和税费改革得到的效益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93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6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交通政务管理</w:t>
            </w:r>
          </w:p>
        </w:tc>
        <w:tc>
          <w:tcPr>
            <w:tcW w:w="88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0</w:t>
            </w:r>
          </w:p>
        </w:tc>
        <w:tc>
          <w:tcPr>
            <w:tcW w:w="2054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负责交通运输综合交通运输体系建设，综合业务管理和综合事物管理。</w:t>
            </w:r>
          </w:p>
        </w:tc>
        <w:tc>
          <w:tcPr>
            <w:tcW w:w="2055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机动车维修与检测人员考试人次，信息管理系统正常运行，修订公路定额，应急事项处理及时，各项事务运行正常。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93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6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行政运行管理</w:t>
            </w:r>
          </w:p>
        </w:tc>
        <w:tc>
          <w:tcPr>
            <w:tcW w:w="88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2089.66</w:t>
            </w:r>
          </w:p>
        </w:tc>
        <w:tc>
          <w:tcPr>
            <w:tcW w:w="2054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保障全局人员工资正常发放，人员稳定，做好公路养护、行政执法、公路建设等</w:t>
            </w:r>
          </w:p>
        </w:tc>
        <w:tc>
          <w:tcPr>
            <w:tcW w:w="2055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保障交通各项工作正常运行，保持稳定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发放到位率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98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86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74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6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交通运输基础设施建设</w:t>
            </w:r>
          </w:p>
        </w:tc>
        <w:tc>
          <w:tcPr>
            <w:tcW w:w="88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5489</w:t>
            </w:r>
          </w:p>
        </w:tc>
        <w:tc>
          <w:tcPr>
            <w:tcW w:w="2054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按县政府规定权限审批、核准县规划内和年度计划规模内的固定资产投资项目，完成交通基础设施投资；对重点工程建设、工程质量和安全生产进行监管，对招投标活动进行监督管理。</w:t>
            </w:r>
          </w:p>
        </w:tc>
        <w:tc>
          <w:tcPr>
            <w:tcW w:w="2055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完成农村公路投资，保障交通基础设施建设项目质量；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质量合格率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95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93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90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617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普通国省干线公路建设</w:t>
            </w:r>
          </w:p>
        </w:tc>
        <w:tc>
          <w:tcPr>
            <w:tcW w:w="881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安排补助资金，组织实施各项普通国省干线公路建设，完成投资任务。</w:t>
            </w:r>
          </w:p>
        </w:tc>
        <w:tc>
          <w:tcPr>
            <w:tcW w:w="2055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完成全年普通干线公路投资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年度普通干线公路建设项目工程质量合格率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96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69</w:t>
            </w:r>
          </w:p>
        </w:tc>
        <w:tc>
          <w:tcPr>
            <w:tcW w:w="509" w:type="dxa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58</w:t>
            </w:r>
          </w:p>
        </w:tc>
      </w:tr>
    </w:tbl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960" w:firstLineChars="3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六、政府采购预算情况</w:t>
      </w:r>
    </w:p>
    <w:p>
      <w:pPr>
        <w:spacing w:line="560" w:lineRule="exact"/>
        <w:outlineLvl w:val="0"/>
        <w:rPr>
          <w:rFonts w:ascii="宋体" w:hAnsi="宋体" w:eastAsia="宋体" w:cs="Times New Roman"/>
          <w:sz w:val="32"/>
          <w:szCs w:val="32"/>
        </w:rPr>
      </w:pPr>
      <w:bookmarkStart w:id="1" w:name="_Toc471398468"/>
      <w:r>
        <w:rPr>
          <w:rFonts w:ascii="宋体" w:hAnsi="宋体" w:eastAsia="宋体" w:cs="Times New Roman"/>
          <w:sz w:val="32"/>
          <w:szCs w:val="32"/>
        </w:rPr>
        <w:t>2019</w:t>
      </w:r>
      <w:r>
        <w:rPr>
          <w:rFonts w:hint="eastAsia" w:ascii="宋体" w:hAnsi="宋体" w:eastAsia="宋体" w:cs="方正仿宋_GBK"/>
          <w:sz w:val="32"/>
          <w:szCs w:val="32"/>
        </w:rPr>
        <w:t>年，我单位安排政府采购预算59万元。具体内容见下表。</w:t>
      </w:r>
    </w:p>
    <w:p>
      <w:pPr>
        <w:spacing w:line="560" w:lineRule="exact"/>
        <w:ind w:firstLine="3200" w:firstLineChars="1000"/>
        <w:outlineLvl w:val="0"/>
        <w:rPr>
          <w:rFonts w:hint="eastAsia" w:ascii="宋体" w:hAnsi="宋体" w:eastAsia="宋体" w:cs="方正小标宋_GBK"/>
          <w:sz w:val="32"/>
          <w:szCs w:val="32"/>
        </w:rPr>
      </w:pPr>
    </w:p>
    <w:p>
      <w:pPr>
        <w:spacing w:line="560" w:lineRule="exact"/>
        <w:ind w:firstLine="3200" w:firstLineChars="1000"/>
        <w:outlineLvl w:val="0"/>
        <w:rPr>
          <w:rFonts w:hint="eastAsia" w:ascii="宋体" w:hAnsi="宋体" w:eastAsia="宋体" w:cs="方正小标宋_GBK"/>
          <w:sz w:val="32"/>
          <w:szCs w:val="32"/>
        </w:rPr>
      </w:pPr>
    </w:p>
    <w:p>
      <w:pPr>
        <w:spacing w:line="560" w:lineRule="exact"/>
        <w:ind w:firstLine="3200" w:firstLineChars="1000"/>
        <w:outlineLvl w:val="0"/>
        <w:rPr>
          <w:rFonts w:hint="eastAsia" w:ascii="宋体" w:hAnsi="宋体" w:eastAsia="宋体" w:cs="方正小标宋_GBK"/>
          <w:sz w:val="32"/>
          <w:szCs w:val="32"/>
        </w:rPr>
      </w:pPr>
    </w:p>
    <w:p>
      <w:pPr>
        <w:spacing w:line="560" w:lineRule="exact"/>
        <w:ind w:firstLine="3200" w:firstLineChars="1000"/>
        <w:outlineLvl w:val="0"/>
        <w:rPr>
          <w:rFonts w:hint="eastAsia" w:ascii="宋体" w:hAnsi="宋体" w:eastAsia="宋体" w:cs="方正小标宋_GBK"/>
          <w:sz w:val="32"/>
          <w:szCs w:val="32"/>
        </w:rPr>
      </w:pPr>
    </w:p>
    <w:p>
      <w:pPr>
        <w:spacing w:line="560" w:lineRule="exact"/>
        <w:ind w:firstLine="3200" w:firstLineChars="1000"/>
        <w:outlineLvl w:val="0"/>
        <w:rPr>
          <w:rFonts w:hint="eastAsia" w:ascii="宋体" w:hAnsi="宋体" w:eastAsia="宋体" w:cs="方正小标宋_GBK"/>
          <w:sz w:val="32"/>
          <w:szCs w:val="32"/>
        </w:rPr>
      </w:pPr>
    </w:p>
    <w:p>
      <w:pPr>
        <w:spacing w:line="560" w:lineRule="exact"/>
        <w:ind w:firstLine="3200" w:firstLineChars="1000"/>
        <w:outlineLvl w:val="0"/>
        <w:rPr>
          <w:rFonts w:ascii="宋体" w:hAnsi="宋体" w:eastAsia="宋体" w:cs="方正小标宋_GBK"/>
          <w:sz w:val="32"/>
          <w:szCs w:val="32"/>
        </w:rPr>
      </w:pPr>
      <w:r>
        <w:rPr>
          <w:rFonts w:hint="eastAsia" w:ascii="宋体" w:hAnsi="宋体" w:eastAsia="宋体" w:cs="方正小标宋_GBK"/>
          <w:sz w:val="32"/>
          <w:szCs w:val="32"/>
        </w:rPr>
        <w:t>部门政府采购预算</w:t>
      </w:r>
      <w:bookmarkEnd w:id="1"/>
    </w:p>
    <w:p>
      <w:pPr>
        <w:spacing w:line="560" w:lineRule="exact"/>
        <w:jc w:val="center"/>
        <w:outlineLvl w:val="0"/>
        <w:rPr>
          <w:rFonts w:ascii="宋体" w:hAnsi="宋体" w:eastAsia="宋体" w:cs="方正小标宋_GBK"/>
          <w:sz w:val="32"/>
          <w:szCs w:val="32"/>
        </w:rPr>
      </w:pPr>
    </w:p>
    <w:p>
      <w:pPr>
        <w:spacing w:line="560" w:lineRule="exact"/>
        <w:jc w:val="center"/>
        <w:outlineLvl w:val="0"/>
        <w:rPr>
          <w:rFonts w:ascii="宋体" w:hAnsi="宋体" w:eastAsia="宋体" w:cs="方正小标宋_GBK"/>
          <w:sz w:val="32"/>
          <w:szCs w:val="32"/>
        </w:rPr>
      </w:pPr>
    </w:p>
    <w:tbl>
      <w:tblPr>
        <w:tblStyle w:val="4"/>
        <w:tblW w:w="90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2"/>
        <w:gridCol w:w="900"/>
        <w:gridCol w:w="695"/>
        <w:gridCol w:w="696"/>
        <w:gridCol w:w="572"/>
        <w:gridCol w:w="696"/>
        <w:gridCol w:w="727"/>
        <w:gridCol w:w="562"/>
        <w:gridCol w:w="562"/>
        <w:gridCol w:w="511"/>
        <w:gridCol w:w="551"/>
        <w:gridCol w:w="551"/>
        <w:gridCol w:w="5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80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方正小标宋_GBK"/>
                <w:sz w:val="24"/>
                <w:szCs w:val="24"/>
              </w:rPr>
              <w:t>部门（单位）名称</w:t>
            </w:r>
          </w:p>
        </w:tc>
        <w:tc>
          <w:tcPr>
            <w:tcW w:w="3980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方正书宋_GBK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政府采购项目来源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采购物品名称</w:t>
            </w:r>
          </w:p>
        </w:tc>
        <w:tc>
          <w:tcPr>
            <w:tcW w:w="6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政府采购目录序号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数量单位</w:t>
            </w:r>
          </w:p>
        </w:tc>
        <w:tc>
          <w:tcPr>
            <w:tcW w:w="57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单价</w:t>
            </w:r>
          </w:p>
        </w:tc>
        <w:tc>
          <w:tcPr>
            <w:tcW w:w="398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项目名称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预算资金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5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72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72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总计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当年部门预算安排资金</w:t>
            </w:r>
          </w:p>
        </w:tc>
        <w:tc>
          <w:tcPr>
            <w:tcW w:w="5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其他渠道资金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5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72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合计</w:t>
            </w:r>
          </w:p>
        </w:tc>
        <w:tc>
          <w:tcPr>
            <w:tcW w:w="56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一般公共预算拨款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基金预算拨款</w:t>
            </w: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财政专户核拨</w:t>
            </w: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其他来源收入</w:t>
            </w:r>
          </w:p>
        </w:tc>
        <w:tc>
          <w:tcPr>
            <w:tcW w:w="51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　计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59</w:t>
            </w: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21</w:t>
            </w:r>
          </w:p>
        </w:tc>
        <w:tc>
          <w:tcPr>
            <w:tcW w:w="69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59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59</w:t>
            </w:r>
          </w:p>
        </w:tc>
        <w:tc>
          <w:tcPr>
            <w:tcW w:w="5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空气能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套</w:t>
            </w:r>
          </w:p>
        </w:tc>
        <w:tc>
          <w:tcPr>
            <w:tcW w:w="57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1</w:t>
            </w:r>
          </w:p>
        </w:tc>
        <w:tc>
          <w:tcPr>
            <w:tcW w:w="69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50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50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50</w:t>
            </w:r>
          </w:p>
        </w:tc>
        <w:tc>
          <w:tcPr>
            <w:tcW w:w="5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打印机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台</w:t>
            </w:r>
          </w:p>
        </w:tc>
        <w:tc>
          <w:tcPr>
            <w:tcW w:w="57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</w:t>
            </w:r>
          </w:p>
        </w:tc>
        <w:tc>
          <w:tcPr>
            <w:tcW w:w="69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0.3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1.8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1.8</w:t>
            </w:r>
          </w:p>
        </w:tc>
        <w:tc>
          <w:tcPr>
            <w:tcW w:w="5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电脑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台</w:t>
            </w:r>
          </w:p>
        </w:tc>
        <w:tc>
          <w:tcPr>
            <w:tcW w:w="57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12</w:t>
            </w:r>
          </w:p>
        </w:tc>
        <w:tc>
          <w:tcPr>
            <w:tcW w:w="69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0.5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6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6</w:t>
            </w:r>
          </w:p>
        </w:tc>
        <w:tc>
          <w:tcPr>
            <w:tcW w:w="5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空调</w:t>
            </w:r>
          </w:p>
        </w:tc>
        <w:tc>
          <w:tcPr>
            <w:tcW w:w="695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台</w:t>
            </w:r>
          </w:p>
        </w:tc>
        <w:tc>
          <w:tcPr>
            <w:tcW w:w="57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</w:p>
        </w:tc>
        <w:tc>
          <w:tcPr>
            <w:tcW w:w="69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0.6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1.2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1.2</w:t>
            </w:r>
          </w:p>
        </w:tc>
        <w:tc>
          <w:tcPr>
            <w:tcW w:w="5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宋体" w:hAnsi="宋体" w:eastAsia="宋体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七、国有资产信息</w:t>
      </w:r>
    </w:p>
    <w:p>
      <w:pPr>
        <w:spacing w:line="560" w:lineRule="exact"/>
        <w:ind w:firstLine="64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成安县交通运输部门上年末固定资产金额为524.14万元，本年度拟购置固定资产主要为59万元。计算机设备、打印设备、空调、空气能等，已列入政府采购预算。详见下表。</w:t>
      </w:r>
    </w:p>
    <w:tbl>
      <w:tblPr>
        <w:tblStyle w:val="4"/>
        <w:tblW w:w="90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855"/>
        <w:gridCol w:w="4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部门固定资产占用情况表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编制部门：成安县交通运输局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550" w:firstLineChars="2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截止时间：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8年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4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价值（金额单位：万元）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资产总额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——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524.14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、房屋（平方米）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3300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340.43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其中：办公用房（平方米）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3300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340.43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、车辆（台、辆）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7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63.05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、单价在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万元以上的设备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0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、其他固定资产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200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120.66</w:t>
            </w:r>
          </w:p>
        </w:tc>
      </w:tr>
    </w:tbl>
    <w:p>
      <w:pPr>
        <w:autoSpaceDE w:val="0"/>
        <w:autoSpaceDN w:val="0"/>
        <w:adjustRightInd w:val="0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八、名词解释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1、财政拨款收入：指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财政当年拨付的资金。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 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3、年初结转和结余：指以前年度尚未完成，结转到本年仍按照原规定用途继续使用的资金，或项目已完成等产生的结余资金。  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4、基本支出：指单位为了保障其正常运转、完成日常工作任务而发生的人员支出和公用支出。  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5、项目支出：指单位为了特定的工作任务和事业发展目标，在基本支出之外所发生的支出。</w:t>
      </w:r>
    </w:p>
    <w:p>
      <w:pPr>
        <w:tabs>
          <w:tab w:val="left" w:pos="11490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九、其它需要说明的事项</w:t>
      </w:r>
    </w:p>
    <w:p>
      <w:pPr>
        <w:tabs>
          <w:tab w:val="left" w:pos="11490"/>
        </w:tabs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无其它需要说明的事项。</w:t>
      </w:r>
    </w:p>
    <w:p>
      <w:pPr>
        <w:spacing w:line="560" w:lineRule="exact"/>
        <w:ind w:firstLine="645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ind w:firstLine="645"/>
        <w:rPr>
          <w:rFonts w:ascii="仿宋" w:hAnsi="仿宋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" w:hAnsi="仿宋" w:eastAsia="仿宋" w:cs="Times New Roman"/>
        <w:sz w:val="32"/>
        <w:szCs w:val="32"/>
      </w:rPr>
    </w:pPr>
    <w:r>
      <w:rPr>
        <w:rFonts w:ascii="仿宋" w:hAnsi="仿宋" w:eastAsia="仿宋" w:cs="仿宋"/>
        <w:sz w:val="32"/>
        <w:szCs w:val="32"/>
      </w:rPr>
      <w:fldChar w:fldCharType="begin"/>
    </w:r>
    <w:r>
      <w:rPr>
        <w:rFonts w:ascii="仿宋" w:hAnsi="仿宋" w:eastAsia="仿宋" w:cs="仿宋"/>
        <w:sz w:val="32"/>
        <w:szCs w:val="32"/>
      </w:rPr>
      <w:instrText xml:space="preserve">PAGE   \* MERGEFORMAT</w:instrText>
    </w:r>
    <w:r>
      <w:rPr>
        <w:rFonts w:ascii="仿宋" w:hAnsi="仿宋" w:eastAsia="仿宋" w:cs="仿宋"/>
        <w:sz w:val="32"/>
        <w:szCs w:val="32"/>
      </w:rPr>
      <w:fldChar w:fldCharType="separate"/>
    </w:r>
    <w:r>
      <w:rPr>
        <w:rFonts w:ascii="仿宋" w:hAnsi="仿宋" w:eastAsia="仿宋" w:cs="仿宋"/>
        <w:sz w:val="32"/>
        <w:szCs w:val="32"/>
        <w:lang w:val="zh-CN"/>
      </w:rPr>
      <w:t>12</w:t>
    </w:r>
    <w:r>
      <w:rPr>
        <w:rFonts w:ascii="仿宋" w:hAnsi="仿宋" w:eastAsia="仿宋" w:cs="仿宋"/>
        <w:sz w:val="32"/>
        <w:szCs w:val="32"/>
      </w:rPr>
      <w:fldChar w:fldCharType="end"/>
    </w:r>
  </w:p>
  <w:p>
    <w:pPr>
      <w:pStyle w:val="2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CCB38"/>
    <w:multiLevelType w:val="singleLevel"/>
    <w:tmpl w:val="58BCCB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DNlMjE1N2Y2ZWMzZDU0NzU4ZTI4ZDNiMDE1NmRhZWYifQ=="/>
  </w:docVars>
  <w:rsids>
    <w:rsidRoot w:val="00524AAA"/>
    <w:rsid w:val="00032857"/>
    <w:rsid w:val="000A796E"/>
    <w:rsid w:val="00101201"/>
    <w:rsid w:val="00101C7A"/>
    <w:rsid w:val="001030C1"/>
    <w:rsid w:val="00131928"/>
    <w:rsid w:val="001A3CB4"/>
    <w:rsid w:val="001E0232"/>
    <w:rsid w:val="00206B22"/>
    <w:rsid w:val="002307B5"/>
    <w:rsid w:val="0026772F"/>
    <w:rsid w:val="002C0317"/>
    <w:rsid w:val="00325594"/>
    <w:rsid w:val="0037750D"/>
    <w:rsid w:val="003C4C5D"/>
    <w:rsid w:val="003D1126"/>
    <w:rsid w:val="003D1369"/>
    <w:rsid w:val="003D22B1"/>
    <w:rsid w:val="004150B7"/>
    <w:rsid w:val="00453A06"/>
    <w:rsid w:val="004A6FC5"/>
    <w:rsid w:val="00524AAA"/>
    <w:rsid w:val="005412A2"/>
    <w:rsid w:val="005730D6"/>
    <w:rsid w:val="005F4345"/>
    <w:rsid w:val="005F5A4F"/>
    <w:rsid w:val="0064535F"/>
    <w:rsid w:val="006561F5"/>
    <w:rsid w:val="0068144F"/>
    <w:rsid w:val="007245CC"/>
    <w:rsid w:val="00747D9E"/>
    <w:rsid w:val="007775CB"/>
    <w:rsid w:val="007B4EB3"/>
    <w:rsid w:val="007C484E"/>
    <w:rsid w:val="007F0D2E"/>
    <w:rsid w:val="008060CB"/>
    <w:rsid w:val="00825F97"/>
    <w:rsid w:val="008327A0"/>
    <w:rsid w:val="008C39AE"/>
    <w:rsid w:val="00933068"/>
    <w:rsid w:val="00973104"/>
    <w:rsid w:val="00990CB9"/>
    <w:rsid w:val="009B2D48"/>
    <w:rsid w:val="009C264C"/>
    <w:rsid w:val="009F0612"/>
    <w:rsid w:val="009F6B65"/>
    <w:rsid w:val="00A12AE7"/>
    <w:rsid w:val="00A15ADE"/>
    <w:rsid w:val="00A6455D"/>
    <w:rsid w:val="00A95F51"/>
    <w:rsid w:val="00A9676E"/>
    <w:rsid w:val="00AC6968"/>
    <w:rsid w:val="00AE416F"/>
    <w:rsid w:val="00B13EFE"/>
    <w:rsid w:val="00B14C4D"/>
    <w:rsid w:val="00B50088"/>
    <w:rsid w:val="00B500A4"/>
    <w:rsid w:val="00BA40C6"/>
    <w:rsid w:val="00BA6B82"/>
    <w:rsid w:val="00CA555B"/>
    <w:rsid w:val="00CB3E21"/>
    <w:rsid w:val="00CD0F72"/>
    <w:rsid w:val="00CF3890"/>
    <w:rsid w:val="00CF7914"/>
    <w:rsid w:val="00D27A25"/>
    <w:rsid w:val="00D312BA"/>
    <w:rsid w:val="00D50CEF"/>
    <w:rsid w:val="00D5268B"/>
    <w:rsid w:val="00D73351"/>
    <w:rsid w:val="00DE2B0E"/>
    <w:rsid w:val="00DE674D"/>
    <w:rsid w:val="00E000C9"/>
    <w:rsid w:val="00E24B37"/>
    <w:rsid w:val="00E474B2"/>
    <w:rsid w:val="00E87B0C"/>
    <w:rsid w:val="00E91C36"/>
    <w:rsid w:val="00EC6317"/>
    <w:rsid w:val="00EF3D70"/>
    <w:rsid w:val="00F14752"/>
    <w:rsid w:val="00F311AF"/>
    <w:rsid w:val="00F66032"/>
    <w:rsid w:val="00FB5EA2"/>
    <w:rsid w:val="00FC5664"/>
    <w:rsid w:val="00FF3FE2"/>
    <w:rsid w:val="0D357E43"/>
    <w:rsid w:val="0D7A2D8A"/>
    <w:rsid w:val="13421F91"/>
    <w:rsid w:val="184032A0"/>
    <w:rsid w:val="1EB10E92"/>
    <w:rsid w:val="26CE6F6C"/>
    <w:rsid w:val="2777798C"/>
    <w:rsid w:val="2B2A4C38"/>
    <w:rsid w:val="3336020C"/>
    <w:rsid w:val="44021FE9"/>
    <w:rsid w:val="444A6A95"/>
    <w:rsid w:val="494447AB"/>
    <w:rsid w:val="506A55C5"/>
    <w:rsid w:val="50FE5FE4"/>
    <w:rsid w:val="51751B0B"/>
    <w:rsid w:val="57B940A4"/>
    <w:rsid w:val="58120EF7"/>
    <w:rsid w:val="5BAF22D6"/>
    <w:rsid w:val="5EAB2628"/>
    <w:rsid w:val="634E0237"/>
    <w:rsid w:val="67D4423F"/>
    <w:rsid w:val="6C1B62C7"/>
    <w:rsid w:val="76386D63"/>
    <w:rsid w:val="767A20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D2632-62E5-44D7-9218-6D0F2092F4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761</Words>
  <Characters>4343</Characters>
  <Lines>36</Lines>
  <Paragraphs>10</Paragraphs>
  <TotalTime>93</TotalTime>
  <ScaleCrop>false</ScaleCrop>
  <LinksUpToDate>false</LinksUpToDate>
  <CharactersWithSpaces>5094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2017-11-10T09:22:00Z</dcterms:created>
  <dc:creator>旭东</dc:creator>
  <cp:lastModifiedBy>Administrator</cp:lastModifiedBy>
  <dcterms:modified xsi:type="dcterms:W3CDTF">2024-01-18T10:16:22Z</dcterms:modified>
  <dc:title>2017年部门预算公开督导整改要求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503780541F8D4C13B7FA2BE21F2E048A_12</vt:lpwstr>
  </property>
</Properties>
</file>