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cs="Times New Roman"/>
          <w:b/>
          <w:sz w:val="44"/>
          <w:szCs w:val="44"/>
        </w:rPr>
      </w:pPr>
      <w:bookmarkStart w:id="1" w:name="_GoBack"/>
      <w:r>
        <w:rPr>
          <w:rFonts w:hint="eastAsia" w:ascii="宋体" w:hAnsi="宋体" w:cs="Times New Roman"/>
          <w:b/>
          <w:sz w:val="44"/>
          <w:szCs w:val="44"/>
        </w:rPr>
        <w:t>成安县公安局</w:t>
      </w:r>
    </w:p>
    <w:p>
      <w:pPr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ascii="宋体" w:hAnsi="宋体" w:cs="Times New Roman"/>
          <w:b/>
          <w:sz w:val="44"/>
          <w:szCs w:val="44"/>
        </w:rPr>
        <w:t>201</w:t>
      </w:r>
      <w:r>
        <w:rPr>
          <w:rFonts w:hint="eastAsia" w:ascii="宋体" w:hAnsi="宋体" w:cs="Times New Roman"/>
          <w:b/>
          <w:sz w:val="44"/>
          <w:szCs w:val="44"/>
        </w:rPr>
        <w:t>9</w:t>
      </w:r>
      <w:r>
        <w:rPr>
          <w:rFonts w:ascii="宋体" w:hAnsi="宋体" w:cs="Times New Roman"/>
          <w:b/>
          <w:sz w:val="44"/>
          <w:szCs w:val="44"/>
        </w:rPr>
        <w:t>年部门预算信息公开</w:t>
      </w:r>
      <w:r>
        <w:rPr>
          <w:rFonts w:hint="eastAsia" w:ascii="宋体" w:hAnsi="宋体" w:cs="Times New Roman"/>
          <w:b/>
          <w:sz w:val="44"/>
          <w:szCs w:val="44"/>
        </w:rPr>
        <w:t>情况说明</w:t>
      </w:r>
    </w:p>
    <w:bookmarkEnd w:id="1"/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ascii="仿宋" w:hAnsi="仿宋" w:eastAsia="仿宋" w:cs="仿宋"/>
          <w:sz w:val="32"/>
          <w:szCs w:val="32"/>
        </w:rPr>
        <w:t>预算法》有关规定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ascii="仿宋" w:hAnsi="仿宋" w:eastAsia="仿宋" w:cs="仿宋"/>
          <w:sz w:val="32"/>
          <w:szCs w:val="32"/>
        </w:rPr>
        <w:t>财政部关于印发《地方预决算公开操作规程》的通知，现将</w:t>
      </w:r>
      <w:r>
        <w:rPr>
          <w:rFonts w:hint="eastAsia" w:ascii="仿宋" w:hAnsi="仿宋" w:eastAsia="仿宋" w:cs="仿宋"/>
          <w:sz w:val="32"/>
          <w:szCs w:val="32"/>
        </w:rPr>
        <w:t>成安县公安</w:t>
      </w:r>
      <w:r>
        <w:rPr>
          <w:rFonts w:ascii="仿宋" w:hAnsi="仿宋" w:eastAsia="仿宋" w:cs="仿宋"/>
          <w:sz w:val="32"/>
          <w:szCs w:val="32"/>
        </w:rPr>
        <w:t>局201</w:t>
      </w: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ascii="仿宋" w:hAnsi="仿宋" w:eastAsia="仿宋" w:cs="仿宋"/>
          <w:sz w:val="32"/>
          <w:szCs w:val="32"/>
        </w:rPr>
        <w:t>年部门预算公开如下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numPr>
          <w:ilvl w:val="0"/>
          <w:numId w:val="1"/>
        </w:numPr>
        <w:spacing w:line="360" w:lineRule="auto"/>
        <w:ind w:firstLine="640" w:firstLineChars="20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部门职责及机构设置情况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（一）据县委、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政府和上级公安机关的指示，组织、部署全县公安工作，并检查、监督贯彻执行情况。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（二）严密掌握全县敌情、社会治安和刑事犯罪情况，及时预防、制止和侦查违法犯罪活动，为县委、县政府和上级公安机关及时提供重要信息和对策；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（三）规划和指导全县公安机关的思想政治工作，加强公安队伍的正规化建设以及公安宣传、教育训练工作，负责对全局及其人民警察依法履行职责、行使职权和遵守纪律的情况进行监督、检查。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（四）承办由公安机关负责的危害国家安全的案件；负责刑事案件的侦察、预审和组织协调工作。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（五）依法管理社会治安、户籍、居民身份证、出入境工作；组织、实施消防和林业保卫工作，依法进行监督、检查。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（六）按照有关规定，管理全县道路交通安全、车辆和驾驶人员，维护交通秩序。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（七）依法指导和监督全县机关、团体、企事业单位和安全保卫工作、企事业单位保卫组织建设。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（八）组织实施全县范围内的安全警卫工作。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（九）负责县看守所、拘留所的建设和管理工作。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（十）负责全局的机要通信和公共信息网络系统的安全监察工作</w:t>
      </w:r>
    </w:p>
    <w:p>
      <w:pPr>
        <w:spacing w:line="540" w:lineRule="exact"/>
        <w:ind w:firstLine="64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（十一）法律、法规规定的其它职责和承办县委、县政府及上级公安机关交办的其它事项。</w:t>
      </w:r>
    </w:p>
    <w:p>
      <w:pPr>
        <w:pStyle w:val="9"/>
        <w:widowControl/>
        <w:spacing w:line="540" w:lineRule="exact"/>
        <w:ind w:firstLine="643"/>
        <w:jc w:val="left"/>
        <w:rPr>
          <w:rFonts w:ascii="华文楷体" w:hAnsi="华文楷体" w:eastAsia="华文楷体" w:cs="Calibri"/>
          <w:b/>
          <w:kern w:val="0"/>
          <w:sz w:val="32"/>
          <w:szCs w:val="32"/>
        </w:rPr>
      </w:pP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内设</w:t>
      </w:r>
      <w:r>
        <w:rPr>
          <w:rFonts w:ascii="华文楷体" w:hAnsi="华文楷体" w:eastAsia="华文楷体" w:cs="Calibri"/>
          <w:b/>
          <w:kern w:val="0"/>
          <w:sz w:val="32"/>
          <w:szCs w:val="32"/>
        </w:rPr>
        <w:t>机构</w:t>
      </w: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及职责</w:t>
      </w:r>
    </w:p>
    <w:p>
      <w:pPr>
        <w:widowControl/>
        <w:spacing w:line="540" w:lineRule="exac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　　成安县公安局，预算编码是312002，内设37个内部机构。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1、</w:t>
      </w:r>
      <w:r>
        <w:rPr>
          <w:rFonts w:hint="eastAsia" w:ascii="仿宋" w:hAnsi="仿宋" w:eastAsia="仿宋" w:cs="仿宋"/>
          <w:sz w:val="32"/>
          <w:szCs w:val="32"/>
        </w:rPr>
        <w:t>政治处职责：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协助局党委做好公安队伍的思想、组织、纪律作风和精神文明建设；承办警衔管理、录警、理论教育、岗位培训和本局的机构编制、人事劳资、职工档案工作；协助组织人事部门管理、考核、推荐领导干部；对干部任免、调动、离退休、奖惩办理呈报审批手续；负责局机关基层党组织建设和党员队伍的管理以及对外宣传等工作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2、指挥中心职责：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助局领导在处置暴力案件、突发事件和重大治安事件时进行指挥调度；接受社会和重点单位的报警及群众的求援求助；对性质严重和跨区域的案件统一调度、指挥诸警种联合作战；制定处置各类突发事件总体工作预案。协调有关部门及时准确地为领导提供政策，法律依据；对各项业务工作的完成情况进行检查以及草拟文件、组织会议、协调各项工作关系；负责领导指令的具体下达；负责机要、通讯、文秘、调研、信息反馈、档案管理工作和全局情况综合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3、办公室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全局的财务、装备、基建、生活服务等工作。组织发放装备物资、警服、颈线标志、申报、分配、管理公安业务经费及其它专项拨款；负责局机关的财务和国有资产管理，承担日常生活、医疗卫生、伙食供应、接待服务和门卫及机关内部保卫工作。</w:t>
      </w:r>
    </w:p>
    <w:p>
      <w:pPr>
        <w:pStyle w:val="9"/>
        <w:spacing w:line="54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4、警务督察队</w:t>
      </w:r>
    </w:p>
    <w:p>
      <w:pPr>
        <w:pStyle w:val="9"/>
        <w:spacing w:line="540" w:lineRule="exact"/>
        <w:ind w:left="360"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负责收集、管理、反馈全县警务督察情况；起草、制定有关督查工作文件；按照警务督察条例搞好现场督察、并负责“110”受理的群众对公安民警的举报和投诉的查处工作。</w:t>
      </w:r>
    </w:p>
    <w:p>
      <w:pPr>
        <w:widowControl/>
        <w:spacing w:line="540" w:lineRule="exact"/>
        <w:ind w:firstLine="640" w:firstLineChars="200"/>
        <w:jc w:val="left"/>
        <w:rPr>
          <w:rFonts w:ascii="华文楷体" w:hAnsi="华文楷体" w:eastAsia="华文楷体" w:cs="Calibri"/>
          <w:b/>
          <w:kern w:val="0"/>
          <w:sz w:val="32"/>
          <w:szCs w:val="32"/>
        </w:rPr>
      </w:pPr>
      <w:r>
        <w:rPr>
          <w:rFonts w:hint="eastAsia" w:ascii="华文楷体" w:hAnsi="华文楷体" w:eastAsia="华文楷体" w:cs="Calibri"/>
          <w:b/>
          <w:kern w:val="0"/>
          <w:sz w:val="32"/>
          <w:szCs w:val="32"/>
        </w:rPr>
        <w:t>人员编制和领导职数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1</w:t>
      </w:r>
      <w:r>
        <w:rPr>
          <w:rFonts w:hint="eastAsia" w:ascii="仿宋" w:hAnsi="仿宋" w:eastAsia="仿宋" w:cs="Calibri"/>
          <w:b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成安县公安局，人员编制265名，其中领导职数7个。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机构设置：</w:t>
      </w:r>
    </w:p>
    <w:p>
      <w:pPr>
        <w:jc w:val="center"/>
        <w:outlineLvl w:val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部门机构设置情况</w:t>
      </w:r>
    </w:p>
    <w:tbl>
      <w:tblPr>
        <w:tblStyle w:val="7"/>
        <w:tblW w:w="864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3"/>
        <w:gridCol w:w="1539"/>
        <w:gridCol w:w="1560"/>
        <w:gridCol w:w="22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5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单位规格</w:t>
            </w:r>
          </w:p>
        </w:tc>
        <w:tc>
          <w:tcPr>
            <w:tcW w:w="22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23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323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成安县公安局</w:t>
            </w:r>
          </w:p>
        </w:tc>
        <w:tc>
          <w:tcPr>
            <w:tcW w:w="153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行政</w:t>
            </w:r>
          </w:p>
        </w:tc>
        <w:tc>
          <w:tcPr>
            <w:tcW w:w="156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副县级</w:t>
            </w:r>
          </w:p>
        </w:tc>
        <w:tc>
          <w:tcPr>
            <w:tcW w:w="222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宋体" w:hAnsi="宋体"/>
                <w:color w:val="000000"/>
                <w:sz w:val="20"/>
              </w:rPr>
              <w:t>财政拨款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9年预算收入6739.78万元，其中：一般公共预算收入6739.78万元，政府性基金收入0万元，国有资本经营收入0万元，事业收入0万元，其他收入0万元。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9年支出预算6739.78万元，其中基本支出3280.73万元，包括人员经费2852.87万和日常公用经费427.86万元；项目支出3459.05万元，主要是提前下达的专项资金。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9年预算收支安排6739.78万元，与去年相比增加了1110.93万元，其中：基本支出增加941.93万元，项目支出增加169万元。基本支出增加941.93万元，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主要是2019年对机关事业单位养老保险自2014年10月起进行清算，增加部分为单位20%部分养老保险清算资金</w:t>
      </w:r>
      <w:r>
        <w:rPr>
          <w:rFonts w:ascii="仿宋" w:hAnsi="仿宋" w:eastAsia="仿宋" w:cs="Calibri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三、机关运行经费安排情况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机关运行经费共计安排427.86万元，主要用于办公区的日常维修、办公用房水电费、邮电费、办公用房取暖费、办公用房物业管理费等日常运行支出。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四、财政拨款“三公”经费预算情况及增减变化原因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度“三公”预算支出6万元，安排公务用车维护费6万元，（其中公务用车购置费0万元，公务用车运行维护费6万元），公务接待费0万元，因公出（国）境费0元，2019年“三公”经费公务用车维护费比2018年减少了54万，减少了90%，由于公车改革实行车补，油修费用预算安排减少。2019年“三公”经费公务接待费与2018年相持平，2019年“三公”经费因公出（国）境费与2018年相持平。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宋体" w:hAnsi="宋体" w:cs="仿宋"/>
          <w:bCs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五、绩效预算情况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(一)总体绩效目标：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维护国家安全。预防打击危害国家安全和全区社会稳定的案件及事件。维护国家安全和政治稳定。针对境内外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民运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、极端宗教等敌对势力、敌对组织和敌对分子，在民族宗教、社科高校、新闻出版、涉外及其他特殊领域，运用专门力量和手段，开展情报信息、专案侦察和防范保卫工作。组织、协调、指导全区反恐怖工作；搜集、分析、研判全区涉恐情报信息，掌握恐怖活动特点和动向；做好涉恐重点人管控和涉恐情报线索核查；指导、协调有关单位开展反恐怖防范工作；开展全区应急处突拉动演练；不断完善各类反恐应急预案；组织、指导、协调、参与个人极端事件、群体性事件等紧急突发事件的处置和大型活动安保工作。组织开展网络安全保卫工作，监督、检察、指导信息安全登记保护工作；立案侦办涉及网络安全的重特大案件；开展互联网信息巡查处置、舆情引导反制工作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打击防范违法犯罪。指导各类刑事案件、经济犯罪案件、毒品犯罪案件、网络犯罪案件的侦查工作，直接立案侦办重特大案件；指导、办理食品药品安全、环境安全保卫工作。降低案件发案率，提高案件侦破率。督导协调暴力犯罪案件、文物走私案件、多发性侵财案件和其他刑事案件的侦破。组织指挥协调全区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扫黑</w:t>
      </w:r>
      <w:r>
        <w:rPr>
          <w:rFonts w:ascii="仿宋" w:hAnsi="仿宋" w:eastAsia="仿宋" w:cs="Times New Roman"/>
          <w:sz w:val="32"/>
          <w:szCs w:val="32"/>
        </w:rPr>
        <w:t>除恶工作，直接或组织侦办黑社会性质组织案件和恶势力团伙案件；组织指挥协调全区涉及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伪基站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、非法调查类等非接触性新型犯罪工作，直接或组织侦办新型犯罪案件。侦破全区重大经济犯罪案、毒品违法犯罪案、网络违法犯罪案、食品药品安全犯罪案、环境安全犯罪案的侦查工作，直接立案侦办重特大案件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社会面防控。维护社会稳定，提高群众安全感和满意度。加强社会治安防控建设，有效预防和减少可防性案件发生，打击犯罪。对常住、暂住、重点人口和出租房屋进行治安管理；全区居民提供身份证、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户口簿</w:t>
      </w:r>
      <w:r>
        <w:rPr>
          <w:rFonts w:ascii="仿宋" w:hAnsi="仿宋" w:eastAsia="仿宋" w:cs="Times New Roman"/>
          <w:sz w:val="32"/>
          <w:szCs w:val="32"/>
        </w:rPr>
        <w:t>、准迁证、迁移证等特种证件生产制作以及发放、存储等管理工作。派出所规范化建设、负责护城河常态化建设，对全区内部单位、行业场所、金融、保安、枪械、危爆物品等进行管理，全区治安案件查处，掌握全区治安形势。对区域集会、游行、示威实施审批；开展全区防暴处突拉动演练；不断完善各类防暴处突应急预案；组织、指导、协调、参与重大突发事件处置和大型活动安保工作。出入境管理工作，管理全区公民非公务活动出境和来我县境外人员，依法组织侦办和查处涉外案（事）件；管理全区出入境证件的管理、制作工作。</w:t>
      </w:r>
    </w:p>
    <w:p>
      <w:pPr>
        <w:ind w:firstLine="640" w:firstLineChars="200"/>
        <w:jc w:val="left"/>
        <w:rPr>
          <w:rFonts w:ascii="方正楷体_GBK" w:eastAsia="方正楷体_GBK" w:cs="Times New Roman"/>
          <w:b/>
          <w:bCs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sz w:val="32"/>
          <w:szCs w:val="32"/>
        </w:rPr>
        <w:t>（二）分项绩效目标：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、根据县委、县政府和上级公安机关的指示，组织、部署、协调全县公安工作，并检查、监督贯彻执行情况。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、严密掌握全县敌情、社会治安和刑事犯罪活动情况，搞好预测、分析，为县委、县政府和上级公安机关及时提供重要信息、对策。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、规划和指导全县公安系统的思想政治工作，加强公安队伍的正规化建设以及公安宣传、教育训练工作，负责对本级公安机关及其人民警察依法履行职责、行使职权和遵守纪律的情况进行监督、检查。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、承办由公安机关负责的危害国家安全的案件；负责刑事案件的侦察、预审和组织协调工作。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、依法管理社会治安、户籍、居民身份证、出入境工作；组织实施消防和林业保卫工作，依法进行监督、检查。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、按照有关规定，管理全县道路交通安全、车辆和驾驶人员，维护交通秩序。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、依法指导和监督全县机关、团体、企事业单位的安全保卫工作、企事业单位保卫组织的建设。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、组织实施全县范围内的安全警卫工作。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、负责全县看守所、拘留所的建设和管理工作。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、负责全县公安系统的机要通信和计算机信息系统的安全监察工作。</w:t>
      </w:r>
    </w:p>
    <w:p>
      <w:pPr>
        <w:ind w:firstLine="56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、法律规定的其它职责和承办县委、县政府及上级公安机关交办的其它事项。</w:t>
      </w:r>
    </w:p>
    <w:p>
      <w:pPr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方正楷体_GBK" w:eastAsia="方正楷体_GBK" w:cs="方正楷体_GBK"/>
          <w:b/>
          <w:bCs/>
          <w:sz w:val="32"/>
          <w:szCs w:val="32"/>
        </w:rPr>
        <w:t>（三）工作保障措施：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、大力强化立体防控体系建设，人民群众安全感进一步提升。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、大力强化严打整治斗争，打击犯罪的能力进一步提升。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、大力强化群体性事件处置，维稳能力进一步提升。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、大力强化公安信访工作，源头管控能力进一步提升。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、大力强化公共安全管理工作，防范事故能力进一步提升。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、圆满完成了各项重大安保任务，驾驭社会治安局势能力进一步提升。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、大力推进基础设施和基础信息化建设。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、大力推进警务实战化建设，公安战斗力进一步提升。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、大力推进执法规范化建设，公安机关执法公信力进一步提升。</w:t>
      </w:r>
    </w:p>
    <w:p>
      <w:pPr>
        <w:ind w:firstLine="56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、大力推进队伍正规化建设，警队素质面貌进一步提升。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spacing w:line="540" w:lineRule="exac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tbl>
      <w:tblPr>
        <w:tblStyle w:val="7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74"/>
        <w:gridCol w:w="567"/>
        <w:gridCol w:w="870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312</w:t>
            </w:r>
            <w:r>
              <w:rPr>
                <w:rFonts w:hint="eastAsia" w:ascii="方正小标宋_GBK" w:eastAsia="方正小标宋_GBK"/>
                <w:sz w:val="24"/>
              </w:rPr>
              <w:t>成安县公安局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内容描述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绩效目标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绩效指标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outlineLvl w:val="0"/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优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良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维护国家安全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预防打击危害国家安全和县级社会稳定的案件及事件。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维护国家安全和政治稳定。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国内安全保卫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2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针对境内外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民运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、极端宗教等敌对势力、敌对组织和敌对分子，在民族宗教、社科高校、新闻出版、涉外及其他特殊领域，运用专门力量和手段，开展情报信息、专案侦察和防范保卫工作。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及时发现情报、线索，有效防范影响政治安全的重大敏感事件，阻止境内外敌对势力在网上进行集中的反动宣传、建立政治舞台和活动阵地。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发现（核查）线索和情报信息增长率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100%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重大案件（事件）破案率（化解率）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60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重点人、重点阵地控制率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围绕重点目标建情率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打击防范违法犯罪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100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各类刑事案件、经济犯罪案件、毒品犯罪案件、网络犯罪案件的侦查工作，指导、办理食品药品安全、环境安全保卫工作。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降低案件发案率，提高案件侦破率。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大要案侦查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50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协调暴力犯罪案件、文物走私案件、多发性侵财案件和其他刑事案件的侦破。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有效控制、降低大要案发案率，严厉打击刑事犯罪，保护人民生命安全，维护社会长治久安。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涉爆案件破案率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逃犯缉捕率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破多发性侵财犯罪案、暴力犯罪案、持枪犯罪案和贩卖枪支案件破案率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</w:t>
            </w:r>
            <w:r>
              <w:rPr>
                <w:rFonts w:ascii="方正书宋_GBK" w:eastAsia="方正书宋_GBK"/>
              </w:rPr>
              <w:t>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涉文物案件破案率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有组织犯罪侦查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组织指挥协调县级</w:t>
            </w:r>
            <w:r>
              <w:rPr>
                <w:rFonts w:hint="eastAsia" w:ascii="方正书宋_GBK" w:eastAsia="方正书宋_GBK"/>
                <w:lang w:eastAsia="zh-CN"/>
              </w:rPr>
              <w:t>扫黑</w:t>
            </w:r>
            <w:r>
              <w:rPr>
                <w:rFonts w:hint="eastAsia" w:ascii="方正书宋_GBK" w:eastAsia="方正书宋_GBK"/>
              </w:rPr>
              <w:t>除恶工作，侦办黑社会性质组织案件和恶势力团伙案件；组织指挥协调县级涉及</w:t>
            </w:r>
            <w:r>
              <w:rPr>
                <w:rFonts w:hint="cs" w:ascii="方正书宋_GBK" w:eastAsia="方正书宋_GBK"/>
              </w:rPr>
              <w:t>“</w:t>
            </w:r>
            <w:r>
              <w:rPr>
                <w:rFonts w:hint="eastAsia" w:ascii="方正书宋_GBK" w:eastAsia="方正书宋_GBK"/>
              </w:rPr>
              <w:t>伪基站</w:t>
            </w:r>
            <w:r>
              <w:rPr>
                <w:rFonts w:hint="cs" w:ascii="方正书宋_GBK" w:eastAsia="方正书宋_GBK"/>
              </w:rPr>
              <w:t>”</w:t>
            </w:r>
            <w:r>
              <w:rPr>
                <w:rFonts w:hint="eastAsia" w:ascii="方正书宋_GBK" w:eastAsia="方正书宋_GBK"/>
              </w:rPr>
              <w:t>、非法调查类等非接触性新型犯罪工作，侦办新型犯罪案件。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有效打击黑社会性质团伙及新型犯罪，严厉打击刑事犯罪，保护人民群众生命和财产安全，维护社会政策秩序。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新型犯罪案件的打击处理率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黑恶案件的打击处理率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80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道路交通管理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根据《中华人民共和国道路交通安全法》有关规定，对国省道、高速公路、县乡道路实行统一科学管理，确保道路交通安全畅通、高效便捷。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保障道路交通安全、畅通、有序，为人民生活和社会安定服务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道路交通秩序管理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10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实施新型城镇化建设畅通工程，加大城市道路监控系统和道路安全设施建设，推进公路巡警建设，执行暑期及两会安保任务。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维护全县良好的道路交通秩序，缓解城市交通拥堵，提高道路通行能力；加强公路巡警建设，提升道路交通秩序管理水平。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常发拥堵路段数降低率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交通拥堵持续时间减低率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交通拥堵路段里程缓解率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羁押监管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指导县级公安监管场所业务工作及在押人员的监管教育、安全防范工作，查处安全事故；指导监所硬件设施建设；指导县级公安监管部门做好教育感化深挖犯罪工作。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全县公安监所管理和安全防范水平不断提升；全县监所按照相关标准做好硬件设施建设、被监管人员生活、卫生、医疗保障工作；做好监所信息化建设；不断提高监所卫生医疗水平；积极开展深挖犯罪工作，破获各类案件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　　羁押监管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县级公安监管场所业务工作及在押人员的监管教育、安全防范工作，查处安全事故；指导监所硬件设施建设；指导县级公安监管部门做好教育感化深挖犯罪工作。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提升全县公安监所管理和安全防范水平。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与全省平均水平相比程度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≥</w:t>
            </w:r>
            <w:r>
              <w:rPr>
                <w:rFonts w:ascii="方正书宋_GBK" w:eastAsia="方正书宋_GBK"/>
              </w:rPr>
              <w:t>70</w:t>
            </w:r>
            <w:r>
              <w:rPr>
                <w:rFonts w:hint="eastAsia" w:ascii="方正书宋_GBK" w:eastAsia="方正书宋_GBK"/>
              </w:rPr>
              <w:t>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≤</w:t>
            </w:r>
            <w:r>
              <w:rPr>
                <w:rFonts w:ascii="方正书宋_GBK" w:eastAsia="方正书宋_GBK"/>
              </w:rPr>
              <w:t>60</w:t>
            </w:r>
            <w:r>
              <w:rPr>
                <w:rFonts w:hint="eastAsia" w:ascii="方正书宋_GBK" w:eastAsia="方正书宋_GBK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安全事故发生降低率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85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宋体" w:hAnsi="宋体" w:cs="Times New Roman"/>
          <w:sz w:val="32"/>
          <w:szCs w:val="32"/>
        </w:rPr>
      </w:pPr>
      <w:bookmarkStart w:id="0" w:name="_Toc471398468"/>
      <w:r>
        <w:rPr>
          <w:rFonts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</w:rPr>
        <w:t>9年，我单位安排政府采购预算2412万元。具体内容见下表。</w:t>
      </w:r>
    </w:p>
    <w:p>
      <w:pPr>
        <w:spacing w:line="560" w:lineRule="exact"/>
        <w:jc w:val="center"/>
        <w:outlineLvl w:val="0"/>
        <w:rPr>
          <w:rFonts w:ascii="宋体" w:hAnsi="宋体" w:cs="方正小标宋_GBK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方正小标宋_GBK"/>
          <w:sz w:val="32"/>
          <w:szCs w:val="32"/>
        </w:rPr>
        <w:t>部门政府采购预算</w:t>
      </w:r>
      <w:bookmarkEnd w:id="0"/>
    </w:p>
    <w:tbl>
      <w:tblPr>
        <w:tblStyle w:val="7"/>
        <w:tblW w:w="150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1"/>
        <w:gridCol w:w="834"/>
        <w:gridCol w:w="1861"/>
        <w:gridCol w:w="771"/>
        <w:gridCol w:w="910"/>
        <w:gridCol w:w="910"/>
        <w:gridCol w:w="934"/>
        <w:gridCol w:w="931"/>
        <w:gridCol w:w="931"/>
        <w:gridCol w:w="931"/>
        <w:gridCol w:w="847"/>
        <w:gridCol w:w="913"/>
        <w:gridCol w:w="913"/>
        <w:gridCol w:w="8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方正小标宋_GBK"/>
                <w:sz w:val="24"/>
                <w:szCs w:val="24"/>
              </w:rPr>
              <w:t>部门（单位）名称</w:t>
            </w:r>
          </w:p>
        </w:tc>
        <w:tc>
          <w:tcPr>
            <w:tcW w:w="632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3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政府采购项目来源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采购物品名称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政府采购目录序号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数量单位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数量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单价</w:t>
            </w:r>
          </w:p>
        </w:tc>
        <w:tc>
          <w:tcPr>
            <w:tcW w:w="6322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247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项目名称</w:t>
            </w:r>
          </w:p>
        </w:tc>
        <w:tc>
          <w:tcPr>
            <w:tcW w:w="8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预算资金</w:t>
            </w: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总计</w:t>
            </w:r>
          </w:p>
        </w:tc>
        <w:tc>
          <w:tcPr>
            <w:tcW w:w="453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当年部门预算安排资金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47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合计</w:t>
            </w:r>
          </w:p>
        </w:tc>
        <w:tc>
          <w:tcPr>
            <w:tcW w:w="931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一般公共预算拨款</w:t>
            </w:r>
          </w:p>
        </w:tc>
        <w:tc>
          <w:tcPr>
            <w:tcW w:w="84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基金预算拨款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财政专户核拨</w:t>
            </w:r>
          </w:p>
        </w:tc>
        <w:tc>
          <w:tcPr>
            <w:tcW w:w="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其他来源收入</w:t>
            </w:r>
          </w:p>
        </w:tc>
        <w:tc>
          <w:tcPr>
            <w:tcW w:w="85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方正书宋_GBK"/>
                <w:bCs/>
              </w:rPr>
              <w:t>合　计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2412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李家町派出所办公楼及附属改造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125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长巷派出所办公楼改造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柏寺营派出所办公楼改造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91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91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91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商城派出所办公楼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道东堡派出所办公楼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北乡义派出所办公楼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辛义派出所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工业区派出所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新建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公安局综合楼九层装修工程序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310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350兆数字集群（基站）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350兆数字集群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A020102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220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350兆数字对讲机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350兆数字对讲机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A020102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68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电视电话会议系统升级改造</w:t>
            </w:r>
          </w:p>
        </w:tc>
        <w:tc>
          <w:tcPr>
            <w:tcW w:w="8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电视电话会议系统升级改造</w:t>
            </w:r>
          </w:p>
        </w:tc>
        <w:tc>
          <w:tcPr>
            <w:tcW w:w="77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A020102</w:t>
            </w: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93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30</w:t>
            </w:r>
          </w:p>
        </w:tc>
        <w:tc>
          <w:tcPr>
            <w:tcW w:w="84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Calibri"/>
          <w:b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局实际，2018年我局政府采购事项为2094万元，本年拟用于政府采购李家町派出所办公楼及附属改造125万元；长巷派出所办公楼改造68万元；柏寺营派出所改造91万元；商城派出所新建300万；道东堡派出所新建300万；北乡义派出所新建300万；辛义派出所新建300万；工业区派出所新建300万；350兆数字集群220万。</w:t>
      </w:r>
    </w:p>
    <w:p>
      <w:pPr>
        <w:autoSpaceDE w:val="0"/>
        <w:autoSpaceDN w:val="0"/>
        <w:adjustRightInd w:val="0"/>
        <w:spacing w:line="560" w:lineRule="exact"/>
        <w:ind w:left="198" w:firstLine="600" w:firstLineChars="200"/>
        <w:jc w:val="left"/>
        <w:rPr>
          <w:rFonts w:ascii="黑体" w:hAnsi="黑体" w:eastAsia="黑体" w:cs="Times New Roman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七、国有资产信息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截止年末固定资产金额为10815.1870万元，本年度拟购置固定资产主要为计算机设备、打印设备、视频设备、专用设备等2412万元，已列入政府采购预算。详见下表。</w:t>
      </w:r>
    </w:p>
    <w:tbl>
      <w:tblPr>
        <w:tblStyle w:val="7"/>
        <w:tblW w:w="1511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4"/>
        <w:gridCol w:w="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7" w:hRule="atLeast"/>
        </w:trPr>
        <w:tc>
          <w:tcPr>
            <w:tcW w:w="14214" w:type="dxa"/>
            <w:tcBorders>
              <w:top w:val="nil"/>
              <w:left w:val="nil"/>
              <w:bottom w:val="nil"/>
              <w:right w:val="nil"/>
            </w:tcBorders>
          </w:tcPr>
          <w:p/>
          <w:tbl>
            <w:tblPr>
              <w:tblStyle w:val="7"/>
              <w:tblW w:w="139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18"/>
              <w:gridCol w:w="2268"/>
              <w:gridCol w:w="581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39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rPr>
                      <w:rFonts w:ascii="黑体" w:hAnsi="黑体" w:eastAsia="黑体" w:cs="宋体"/>
                      <w:bCs/>
                      <w:kern w:val="0"/>
                      <w:sz w:val="32"/>
                      <w:szCs w:val="32"/>
                    </w:rPr>
                  </w:pPr>
                </w:p>
                <w:p>
                  <w:pPr>
                    <w:widowControl/>
                    <w:ind w:firstLine="5120" w:firstLineChars="1600"/>
                    <w:rPr>
                      <w:rFonts w:ascii="黑体" w:hAnsi="黑体" w:eastAsia="黑体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kern w:val="0"/>
                      <w:sz w:val="32"/>
                      <w:szCs w:val="32"/>
                    </w:rPr>
                    <w:t>部门固定资产占用情况表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编制部门：成安县公安局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ind w:firstLine="550" w:firstLineChars="250"/>
                    <w:jc w:val="left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截止时间：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201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8年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12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月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31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项目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58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b/>
                      <w:bCs/>
                      <w:kern w:val="0"/>
                      <w:sz w:val="22"/>
                    </w:rPr>
                    <w:t>价值（金额单位：万元）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资产总额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——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宋体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10815.1870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1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、房屋（平方米）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17000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4040.2571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其中：办公用房（平方米）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5200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4040.2571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2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、车辆（台、辆）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582.9370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3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、单价在</w:t>
                  </w: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50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万元以上的设备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2420" w:firstLineChars="1100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925.47</w:t>
                  </w:r>
                </w:p>
                <w:p>
                  <w:pPr>
                    <w:widowControl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59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ascii="仿宋" w:hAnsi="仿宋" w:eastAsia="仿宋" w:cs="宋体"/>
                      <w:kern w:val="0"/>
                      <w:sz w:val="22"/>
                    </w:rPr>
                    <w:t>4</w:t>
                  </w:r>
                  <w:r>
                    <w:rPr>
                      <w:rFonts w:hint="eastAsia" w:ascii="仿宋" w:hAnsi="仿宋" w:eastAsia="仿宋" w:cs="宋体"/>
                      <w:kern w:val="0"/>
                      <w:sz w:val="22"/>
                    </w:rPr>
                    <w:t>、其他固定资产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2560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" w:hAnsi="仿宋" w:eastAsia="仿宋" w:cs="Times New Roman"/>
                      <w:kern w:val="0"/>
                      <w:sz w:val="22"/>
                    </w:rPr>
                  </w:pPr>
                  <w:r>
                    <w:rPr>
                      <w:rFonts w:hint="eastAsia" w:ascii="仿宋" w:hAnsi="仿宋" w:eastAsia="仿宋" w:cs="Times New Roman"/>
                      <w:kern w:val="0"/>
                      <w:sz w:val="22"/>
                    </w:rPr>
                    <w:t>5266.5229</w:t>
                  </w:r>
                </w:p>
              </w:tc>
            </w:tr>
          </w:tbl>
          <w:p>
            <w:pPr>
              <w:widowControl/>
              <w:ind w:firstLine="2064" w:firstLineChars="645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ind w:firstLine="4784" w:firstLineChars="1495"/>
              <w:rPr>
                <w:rFonts w:ascii="仿宋" w:hAnsi="仿宋" w:eastAsia="仿宋" w:cs="Times New Roman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ind w:firstLine="640" w:firstLineChars="200"/>
        <w:jc w:val="left"/>
        <w:rPr>
          <w:rFonts w:eastAsia="仿宋_GB2312" w:cs="Calibri"/>
          <w:b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八、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名词解释</w:t>
      </w: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1、财政拨款收入：指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0" w:firstLineChars="200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“三公”经费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、年初结转和结余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4、基本支出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：指单位为了保障其正常运转、完成日常工作任务而发生的人员支出和公用支出。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 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5、项目支出：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无其他需要说明的事项。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headerReference r:id="rId3" w:type="default"/>
      <w:pgSz w:w="16839" w:h="11907" w:orient="landscape"/>
      <w:pgMar w:top="1134" w:right="1021" w:bottom="1134" w:left="1021" w:header="851" w:footer="992" w:gutter="0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12DE9"/>
    <w:multiLevelType w:val="singleLevel"/>
    <w:tmpl w:val="58512DE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jVkM2Q3OGI3NjgyMmRhNzc4Mzg1ZjJiNjZhOGYifQ=="/>
  </w:docVars>
  <w:rsids>
    <w:rsidRoot w:val="00870E00"/>
    <w:rsid w:val="00015660"/>
    <w:rsid w:val="00051B2C"/>
    <w:rsid w:val="0007491F"/>
    <w:rsid w:val="00083A97"/>
    <w:rsid w:val="00096F98"/>
    <w:rsid w:val="000B5D2D"/>
    <w:rsid w:val="00100CCD"/>
    <w:rsid w:val="0014291B"/>
    <w:rsid w:val="001C79EE"/>
    <w:rsid w:val="002A2590"/>
    <w:rsid w:val="002E4339"/>
    <w:rsid w:val="00330B7A"/>
    <w:rsid w:val="00332BE9"/>
    <w:rsid w:val="00336425"/>
    <w:rsid w:val="00384EEF"/>
    <w:rsid w:val="003A6EA0"/>
    <w:rsid w:val="003B6F30"/>
    <w:rsid w:val="003D65ED"/>
    <w:rsid w:val="0045001B"/>
    <w:rsid w:val="00471F86"/>
    <w:rsid w:val="004C2D66"/>
    <w:rsid w:val="005547BF"/>
    <w:rsid w:val="00581DB1"/>
    <w:rsid w:val="005B2969"/>
    <w:rsid w:val="005B7612"/>
    <w:rsid w:val="00602AD6"/>
    <w:rsid w:val="00614165"/>
    <w:rsid w:val="00690255"/>
    <w:rsid w:val="006A4C42"/>
    <w:rsid w:val="00733259"/>
    <w:rsid w:val="007D2129"/>
    <w:rsid w:val="007E1941"/>
    <w:rsid w:val="00800DE0"/>
    <w:rsid w:val="00823E19"/>
    <w:rsid w:val="00870E00"/>
    <w:rsid w:val="00881061"/>
    <w:rsid w:val="008A4543"/>
    <w:rsid w:val="00984EA7"/>
    <w:rsid w:val="00A51A13"/>
    <w:rsid w:val="00AA6A4E"/>
    <w:rsid w:val="00AA7727"/>
    <w:rsid w:val="00AB1B75"/>
    <w:rsid w:val="00AD0029"/>
    <w:rsid w:val="00AD1B0C"/>
    <w:rsid w:val="00B7607A"/>
    <w:rsid w:val="00B77A99"/>
    <w:rsid w:val="00C20AE1"/>
    <w:rsid w:val="00CA50D3"/>
    <w:rsid w:val="00D017D9"/>
    <w:rsid w:val="00D1444C"/>
    <w:rsid w:val="00D60963"/>
    <w:rsid w:val="00DC5373"/>
    <w:rsid w:val="00DE47A8"/>
    <w:rsid w:val="00DF55D6"/>
    <w:rsid w:val="00E22F7A"/>
    <w:rsid w:val="00E3179D"/>
    <w:rsid w:val="00E75BD8"/>
    <w:rsid w:val="00EE23CD"/>
    <w:rsid w:val="00F15F21"/>
    <w:rsid w:val="00F25A59"/>
    <w:rsid w:val="00F515A1"/>
    <w:rsid w:val="00F71735"/>
    <w:rsid w:val="0EE95543"/>
    <w:rsid w:val="17901A18"/>
    <w:rsid w:val="2A143C6A"/>
    <w:rsid w:val="3ADF3AE5"/>
    <w:rsid w:val="3E00136D"/>
    <w:rsid w:val="4086312A"/>
    <w:rsid w:val="58152C75"/>
    <w:rsid w:val="60EE2509"/>
    <w:rsid w:val="6C2102B0"/>
    <w:rsid w:val="74CD47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ascii="Times New Roman" w:hAnsi="Times New Roman" w:cs="Times New Roma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9788-2FD9-4257-A217-0ADF234EE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6105</Words>
  <Characters>6629</Characters>
  <Lines>51</Lines>
  <Paragraphs>14</Paragraphs>
  <TotalTime>81</TotalTime>
  <ScaleCrop>false</ScaleCrop>
  <LinksUpToDate>false</LinksUpToDate>
  <CharactersWithSpaces>6649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2019-04-02T02:04:00Z</dcterms:created>
  <dc:creator>lenovo</dc:creator>
  <cp:lastModifiedBy>Administrator</cp:lastModifiedBy>
  <cp:lastPrinted>2016-04-01T02:44:00Z</cp:lastPrinted>
  <dcterms:modified xsi:type="dcterms:W3CDTF">2024-09-14T07:20:48Z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E27BD028E9D74FEFA4146D4D4822A6FC</vt:lpwstr>
  </property>
</Properties>
</file>