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p>
    <w:p>
      <w:pPr>
        <w:jc w:val="center"/>
        <w:rPr>
          <w:rFonts w:ascii="宋体" w:hAnsi="宋体" w:eastAsia="宋体" w:cs="宋体"/>
          <w:b/>
          <w:sz w:val="44"/>
          <w:szCs w:val="44"/>
        </w:rPr>
      </w:pPr>
      <w:r>
        <w:rPr>
          <w:rFonts w:hint="eastAsia" w:ascii="宋体" w:hAnsi="宋体" w:eastAsia="宋体" w:cs="宋体"/>
          <w:b/>
          <w:sz w:val="44"/>
          <w:szCs w:val="44"/>
        </w:rPr>
        <w:t>中国共产党成安县委员会党校</w:t>
      </w:r>
    </w:p>
    <w:p>
      <w:pPr>
        <w:jc w:val="center"/>
        <w:rPr>
          <w:rFonts w:ascii="宋体" w:hAnsi="宋体" w:eastAsia="宋体" w:cs="宋体"/>
          <w:sz w:val="44"/>
          <w:szCs w:val="44"/>
        </w:rPr>
      </w:pPr>
      <w:r>
        <w:rPr>
          <w:rFonts w:hint="eastAsia" w:ascii="宋体" w:hAnsi="宋体" w:eastAsia="宋体" w:cs="宋体"/>
          <w:b/>
          <w:sz w:val="44"/>
          <w:szCs w:val="44"/>
        </w:rPr>
        <w:t>2019年部门预算公开情况说明</w:t>
      </w:r>
    </w:p>
    <w:p>
      <w:pPr>
        <w:ind w:firstLine="640" w:firstLineChars="200"/>
        <w:rPr>
          <w:rFonts w:ascii="仿宋" w:hAnsi="仿宋" w:eastAsia="仿宋" w:cs="黑体"/>
          <w:sz w:val="32"/>
          <w:szCs w:val="32"/>
        </w:rPr>
      </w:pPr>
      <w:r>
        <w:rPr>
          <w:rFonts w:ascii="仿宋" w:hAnsi="仿宋" w:eastAsia="仿宋" w:cs="仿宋_GB2312"/>
          <w:sz w:val="32"/>
          <w:szCs w:val="32"/>
        </w:rPr>
        <w:t>按照《预算法》有关规定</w:t>
      </w:r>
      <w:r>
        <w:rPr>
          <w:rFonts w:hint="eastAsia" w:ascii="仿宋" w:hAnsi="仿宋" w:eastAsia="仿宋" w:cs="仿宋_GB2312"/>
          <w:sz w:val="32"/>
          <w:szCs w:val="32"/>
        </w:rPr>
        <w:t>和</w:t>
      </w:r>
      <w:r>
        <w:rPr>
          <w:rFonts w:ascii="仿宋" w:hAnsi="仿宋" w:eastAsia="仿宋" w:cs="仿宋_GB2312"/>
          <w:sz w:val="32"/>
          <w:szCs w:val="32"/>
        </w:rPr>
        <w:t>财政部关于印发《地方预决算公开操作规程》的通知，</w:t>
      </w:r>
      <w:r>
        <w:rPr>
          <w:rFonts w:ascii="仿宋" w:hAnsi="仿宋" w:eastAsia="仿宋" w:cs="仿宋_GB2312"/>
          <w:kern w:val="0"/>
          <w:sz w:val="32"/>
          <w:szCs w:val="32"/>
        </w:rPr>
        <w:t>现将</w:t>
      </w:r>
      <w:r>
        <w:rPr>
          <w:rFonts w:hint="eastAsia" w:ascii="仿宋" w:hAnsi="仿宋" w:eastAsia="仿宋" w:cs="仿宋_GB2312"/>
          <w:kern w:val="0"/>
          <w:sz w:val="32"/>
          <w:szCs w:val="32"/>
        </w:rPr>
        <w:t>成安县人大</w:t>
      </w:r>
      <w:r>
        <w:rPr>
          <w:rFonts w:ascii="仿宋" w:hAnsi="仿宋" w:eastAsia="仿宋" w:cs="仿宋_GB2312"/>
          <w:kern w:val="0"/>
          <w:sz w:val="32"/>
          <w:szCs w:val="32"/>
        </w:rPr>
        <w:t>2019年部门预算公开如下</w:t>
      </w:r>
      <w:r>
        <w:rPr>
          <w:rFonts w:hint="eastAsia" w:ascii="仿宋" w:hAnsi="仿宋" w:eastAsia="仿宋" w:cs="仿宋_GB2312"/>
          <w:kern w:val="0"/>
          <w:sz w:val="32"/>
          <w:szCs w:val="32"/>
        </w:rPr>
        <w:t>：</w:t>
      </w:r>
    </w:p>
    <w:p>
      <w:pPr>
        <w:pStyle w:val="5"/>
        <w:widowControl/>
        <w:spacing w:before="100" w:after="100" w:line="360" w:lineRule="auto"/>
        <w:ind w:firstLine="640" w:firstLineChars="200"/>
        <w:jc w:val="left"/>
      </w:pPr>
      <w:r>
        <w:rPr>
          <w:rFonts w:hint="eastAsia" w:ascii="黑体" w:hAnsi="黑体" w:eastAsia="黑体" w:cs="黑体"/>
          <w:bCs/>
          <w:sz w:val="32"/>
          <w:szCs w:val="32"/>
        </w:rPr>
        <w:t>一、部门职责及机构设置情况</w:t>
      </w:r>
    </w:p>
    <w:p>
      <w:pPr>
        <w:pStyle w:val="5"/>
        <w:widowControl/>
        <w:spacing w:before="100" w:after="100" w:line="360" w:lineRule="auto"/>
        <w:ind w:firstLine="627"/>
        <w:jc w:val="left"/>
        <w:rPr>
          <w:rFonts w:ascii="楷体" w:hAnsi="楷体" w:eastAsia="楷体" w:cs="楷体"/>
          <w:b/>
          <w:sz w:val="32"/>
          <w:szCs w:val="32"/>
        </w:rPr>
      </w:pPr>
      <w:r>
        <w:rPr>
          <w:rFonts w:hint="eastAsia" w:ascii="楷体" w:hAnsi="楷体" w:eastAsia="楷体" w:cs="楷体"/>
          <w:b/>
          <w:sz w:val="32"/>
          <w:szCs w:val="32"/>
        </w:rPr>
        <w:t>部门职责</w:t>
      </w:r>
    </w:p>
    <w:p>
      <w:pPr>
        <w:widowControl/>
        <w:spacing w:line="360" w:lineRule="auto"/>
        <w:ind w:firstLine="627" w:firstLineChars="196"/>
        <w:jc w:val="left"/>
        <w:rPr>
          <w:rFonts w:ascii="仿宋" w:hAnsi="仿宋" w:eastAsia="仿宋" w:cs="仿宋"/>
          <w:sz w:val="32"/>
          <w:szCs w:val="32"/>
        </w:rPr>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人员编制17名，其中领导职数4个。</w:t>
      </w:r>
    </w:p>
    <w:p>
      <w:pPr>
        <w:widowControl/>
        <w:spacing w:line="360" w:lineRule="auto"/>
        <w:ind w:firstLine="640" w:firstLineChars="200"/>
        <w:jc w:val="left"/>
        <w:rPr>
          <w:rFonts w:ascii="仿宋" w:hAnsi="仿宋" w:eastAsia="仿宋" w:cs="仿宋"/>
          <w:kern w:val="0"/>
          <w:sz w:val="32"/>
          <w:szCs w:val="32"/>
          <w:shd w:val="clear" w:color="FFFFFF" w:fill="D9D9D9"/>
        </w:rPr>
      </w:pPr>
    </w:p>
    <w:p>
      <w:pPr>
        <w:pStyle w:val="5"/>
        <w:widowControl/>
        <w:spacing w:line="360" w:lineRule="auto"/>
        <w:ind w:firstLine="643" w:firstLineChars="200"/>
        <w:jc w:val="left"/>
        <w:rPr>
          <w:rFonts w:ascii="楷体" w:hAnsi="楷体" w:eastAsia="楷体" w:cs="楷体"/>
          <w:b/>
          <w:sz w:val="32"/>
          <w:szCs w:val="32"/>
        </w:rPr>
      </w:pPr>
      <w:r>
        <w:rPr>
          <w:rFonts w:hint="eastAsia" w:ascii="楷体" w:hAnsi="楷体" w:eastAsia="楷体" w:cs="楷体"/>
          <w:b/>
          <w:sz w:val="32"/>
          <w:szCs w:val="32"/>
        </w:rPr>
        <w:t>机构设置：</w:t>
      </w:r>
    </w:p>
    <w:p>
      <w:pPr>
        <w:pStyle w:val="5"/>
        <w:widowControl/>
        <w:spacing w:line="360" w:lineRule="auto"/>
        <w:ind w:firstLine="642"/>
        <w:jc w:val="center"/>
        <w:rPr>
          <w:rFonts w:ascii="仿宋" w:hAnsi="仿宋" w:eastAsia="仿宋" w:cs="仿宋"/>
          <w:b/>
          <w:sz w:val="32"/>
          <w:szCs w:val="32"/>
        </w:rPr>
      </w:pPr>
      <w:r>
        <w:rPr>
          <w:rFonts w:hint="eastAsia" w:ascii="仿宋" w:hAnsi="仿宋" w:eastAsia="仿宋" w:cs="仿宋"/>
          <w:b/>
          <w:sz w:val="32"/>
          <w:szCs w:val="32"/>
        </w:rPr>
        <w:t>部门机构设置情况</w:t>
      </w:r>
    </w:p>
    <w:tbl>
      <w:tblPr>
        <w:tblStyle w:val="8"/>
        <w:tblW w:w="13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1"/>
        <w:gridCol w:w="1646"/>
        <w:gridCol w:w="1894"/>
        <w:gridCol w:w="4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5081"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单位名称</w:t>
            </w:r>
          </w:p>
        </w:tc>
        <w:tc>
          <w:tcPr>
            <w:tcW w:w="1646"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单位性质</w:t>
            </w:r>
          </w:p>
        </w:tc>
        <w:tc>
          <w:tcPr>
            <w:tcW w:w="1894" w:type="dxa"/>
          </w:tcPr>
          <w:p>
            <w:pPr>
              <w:pStyle w:val="5"/>
              <w:widowControl/>
              <w:jc w:val="center"/>
              <w:rPr>
                <w:rFonts w:ascii="仿宋" w:hAnsi="仿宋" w:eastAsia="仿宋" w:cs="仿宋"/>
                <w:sz w:val="32"/>
                <w:szCs w:val="32"/>
              </w:rPr>
            </w:pPr>
            <w:r>
              <w:rPr>
                <w:rFonts w:hint="eastAsia" w:ascii="仿宋" w:hAnsi="仿宋" w:eastAsia="仿宋" w:cs="仿宋"/>
                <w:sz w:val="32"/>
                <w:szCs w:val="32"/>
              </w:rPr>
              <w:t>单位规格</w:t>
            </w:r>
          </w:p>
        </w:tc>
        <w:tc>
          <w:tcPr>
            <w:tcW w:w="4539" w:type="dxa"/>
          </w:tcPr>
          <w:p>
            <w:pPr>
              <w:pStyle w:val="5"/>
              <w:widowControl/>
              <w:jc w:val="center"/>
              <w:rPr>
                <w:rFonts w:ascii="仿宋" w:hAnsi="仿宋" w:eastAsia="仿宋" w:cs="仿宋"/>
                <w:sz w:val="32"/>
                <w:szCs w:val="32"/>
              </w:rPr>
            </w:pPr>
            <w:r>
              <w:rPr>
                <w:rFonts w:hint="eastAsia" w:ascii="仿宋" w:hAnsi="仿宋" w:eastAsia="仿宋" w:cs="仿宋"/>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5081" w:type="dxa"/>
          </w:tcPr>
          <w:p>
            <w:pPr>
              <w:pStyle w:val="5"/>
              <w:widowControl/>
              <w:jc w:val="center"/>
              <w:rPr>
                <w:rFonts w:ascii="仿宋" w:hAnsi="仿宋" w:eastAsia="仿宋" w:cs="仿宋"/>
                <w:sz w:val="32"/>
                <w:szCs w:val="32"/>
              </w:rPr>
            </w:pPr>
            <w:r>
              <w:rPr>
                <w:rFonts w:hint="eastAsia" w:ascii="仿宋" w:hAnsi="仿宋" w:eastAsia="仿宋" w:cs="仿宋"/>
                <w:sz w:val="32"/>
                <w:szCs w:val="32"/>
              </w:rPr>
              <w:t>中国共产党成安县委员会党校机关</w:t>
            </w:r>
          </w:p>
        </w:tc>
        <w:tc>
          <w:tcPr>
            <w:tcW w:w="1646" w:type="dxa"/>
          </w:tcPr>
          <w:p>
            <w:pPr>
              <w:pStyle w:val="5"/>
              <w:widowControl/>
              <w:jc w:val="center"/>
              <w:rPr>
                <w:rFonts w:ascii="仿宋" w:hAnsi="仿宋" w:eastAsia="仿宋" w:cs="仿宋"/>
                <w:sz w:val="32"/>
                <w:szCs w:val="32"/>
              </w:rPr>
            </w:pPr>
            <w:r>
              <w:rPr>
                <w:rFonts w:hint="eastAsia" w:ascii="仿宋" w:hAnsi="仿宋" w:eastAsia="仿宋" w:cs="仿宋"/>
                <w:sz w:val="32"/>
                <w:szCs w:val="32"/>
              </w:rPr>
              <w:t>事业</w:t>
            </w:r>
          </w:p>
        </w:tc>
        <w:tc>
          <w:tcPr>
            <w:tcW w:w="1894" w:type="dxa"/>
          </w:tcPr>
          <w:p>
            <w:pPr>
              <w:pStyle w:val="5"/>
              <w:widowControl/>
              <w:jc w:val="center"/>
              <w:rPr>
                <w:rFonts w:ascii="仿宋" w:hAnsi="仿宋" w:eastAsia="仿宋" w:cs="仿宋"/>
                <w:sz w:val="32"/>
                <w:szCs w:val="32"/>
              </w:rPr>
            </w:pPr>
            <w:r>
              <w:rPr>
                <w:rFonts w:hint="eastAsia" w:ascii="仿宋" w:hAnsi="仿宋" w:eastAsia="仿宋" w:cs="仿宋"/>
                <w:sz w:val="32"/>
                <w:szCs w:val="32"/>
              </w:rPr>
              <w:t>正科级</w:t>
            </w:r>
          </w:p>
        </w:tc>
        <w:tc>
          <w:tcPr>
            <w:tcW w:w="4539" w:type="dxa"/>
          </w:tcPr>
          <w:p>
            <w:pPr>
              <w:pStyle w:val="5"/>
              <w:widowControl/>
              <w:jc w:val="center"/>
              <w:rPr>
                <w:rFonts w:ascii="仿宋" w:hAnsi="仿宋" w:eastAsia="仿宋" w:cs="仿宋"/>
                <w:sz w:val="32"/>
                <w:szCs w:val="32"/>
              </w:rPr>
            </w:pPr>
            <w:r>
              <w:rPr>
                <w:rFonts w:hint="eastAsia" w:ascii="仿宋" w:hAnsi="仿宋" w:eastAsia="仿宋" w:cs="仿宋"/>
                <w:sz w:val="32"/>
                <w:szCs w:val="32"/>
              </w:rPr>
              <w:t>财政拨款</w:t>
            </w:r>
          </w:p>
        </w:tc>
      </w:tr>
    </w:tbl>
    <w:p>
      <w:pPr>
        <w:pStyle w:val="5"/>
        <w:widowControl/>
        <w:ind w:firstLine="640" w:firstLineChars="200"/>
        <w:jc w:val="left"/>
      </w:pPr>
      <w:r>
        <w:rPr>
          <w:rFonts w:hint="eastAsia" w:ascii="仿宋" w:hAnsi="仿宋" w:eastAsia="仿宋" w:cs="仿宋"/>
          <w:sz w:val="32"/>
          <w:szCs w:val="32"/>
        </w:rPr>
        <w:t>根据上述职责，中国共产党成安县委员会党校机关内设3个科室。</w:t>
      </w:r>
    </w:p>
    <w:p>
      <w:pPr>
        <w:pStyle w:val="5"/>
        <w:widowControl/>
        <w:ind w:firstLine="640"/>
        <w:jc w:val="left"/>
      </w:pPr>
      <w:r>
        <w:rPr>
          <w:rFonts w:hint="eastAsia" w:ascii="楷体" w:hAnsi="楷体" w:eastAsia="楷体" w:cs="楷体"/>
          <w:b/>
          <w:sz w:val="32"/>
          <w:szCs w:val="32"/>
        </w:rPr>
        <w:t>办公室（</w:t>
      </w:r>
      <w:r>
        <w:rPr>
          <w:rFonts w:hint="eastAsia" w:ascii="楷体" w:hAnsi="楷体" w:eastAsia="楷体" w:cs="楷体"/>
          <w:b/>
          <w:bCs/>
          <w:sz w:val="32"/>
          <w:szCs w:val="32"/>
        </w:rPr>
        <w:t>中国共产党成安县委员会党校</w:t>
      </w:r>
      <w:r>
        <w:rPr>
          <w:rFonts w:hint="eastAsia" w:ascii="楷体" w:hAnsi="楷体" w:eastAsia="楷体" w:cs="楷体"/>
          <w:b/>
          <w:sz w:val="32"/>
          <w:szCs w:val="32"/>
        </w:rPr>
        <w:t>办公室）</w:t>
      </w:r>
    </w:p>
    <w:p>
      <w:pPr>
        <w:widowControl/>
        <w:spacing w:line="360" w:lineRule="auto"/>
        <w:jc w:val="left"/>
        <w:rPr>
          <w:rFonts w:ascii="仿宋" w:hAnsi="仿宋" w:eastAsia="仿宋" w:cs="仿宋"/>
          <w:bCs/>
          <w:kern w:val="0"/>
          <w:sz w:val="32"/>
          <w:szCs w:val="32"/>
        </w:rPr>
      </w:pPr>
      <w:r>
        <w:rPr>
          <w:rFonts w:hint="eastAsia" w:ascii="仿宋" w:hAnsi="仿宋" w:eastAsia="仿宋" w:cs="仿宋"/>
          <w:sz w:val="32"/>
          <w:szCs w:val="32"/>
        </w:rPr>
        <w:t>有计划地轮训和培训全县各级党政领导干部和理论骨干，负责对学员在党校学习期间的表现进行考核。</w:t>
      </w:r>
    </w:p>
    <w:p>
      <w:pPr>
        <w:pStyle w:val="5"/>
        <w:widowControl/>
        <w:ind w:firstLine="640"/>
        <w:jc w:val="left"/>
        <w:rPr>
          <w:rFonts w:ascii="楷体" w:hAnsi="楷体" w:eastAsia="楷体" w:cs="楷体"/>
        </w:rPr>
      </w:pPr>
      <w:r>
        <w:rPr>
          <w:rFonts w:hint="eastAsia" w:ascii="楷体" w:hAnsi="楷体" w:eastAsia="楷体" w:cs="楷体"/>
          <w:b/>
          <w:sz w:val="32"/>
          <w:szCs w:val="32"/>
        </w:rPr>
        <w:t>教研室：</w:t>
      </w:r>
    </w:p>
    <w:p>
      <w:pPr>
        <w:widowControl/>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pStyle w:val="5"/>
        <w:widowControl/>
        <w:spacing w:line="360" w:lineRule="auto"/>
        <w:ind w:firstLine="630"/>
        <w:jc w:val="left"/>
        <w:rPr>
          <w:b/>
        </w:rPr>
      </w:pPr>
      <w:r>
        <w:rPr>
          <w:rFonts w:hint="eastAsia" w:ascii="仿宋" w:hAnsi="仿宋" w:eastAsia="仿宋" w:cs="仿宋"/>
          <w:b/>
          <w:sz w:val="32"/>
          <w:szCs w:val="32"/>
        </w:rPr>
        <w:t>总务处：</w:t>
      </w:r>
    </w:p>
    <w:p>
      <w:pPr>
        <w:pStyle w:val="5"/>
        <w:widowControl/>
        <w:spacing w:line="360" w:lineRule="auto"/>
        <w:ind w:firstLine="640"/>
        <w:jc w:val="left"/>
      </w:pPr>
      <w:r>
        <w:rPr>
          <w:rFonts w:hint="eastAsia" w:ascii="仿宋" w:hAnsi="仿宋" w:eastAsia="仿宋" w:cs="仿宋"/>
          <w:sz w:val="32"/>
          <w:szCs w:val="32"/>
        </w:rPr>
        <w:t>主要负责财务工作</w:t>
      </w:r>
    </w:p>
    <w:p>
      <w:pPr>
        <w:pStyle w:val="5"/>
        <w:widowControl/>
        <w:spacing w:line="360" w:lineRule="auto"/>
        <w:ind w:firstLine="640" w:firstLineChars="200"/>
        <w:jc w:val="left"/>
        <w:rPr>
          <w:rFonts w:ascii="仿宋" w:hAnsi="仿宋" w:eastAsia="仿宋" w:cs="仿宋"/>
          <w:b/>
          <w:sz w:val="32"/>
          <w:szCs w:val="32"/>
        </w:rPr>
      </w:pPr>
      <w:r>
        <w:rPr>
          <w:rFonts w:hint="eastAsia" w:ascii="黑体" w:hAnsi="黑体" w:eastAsia="黑体" w:cs="黑体"/>
          <w:bCs/>
          <w:sz w:val="32"/>
          <w:szCs w:val="32"/>
        </w:rPr>
        <w:t>二、部门预算安排的总体情况</w:t>
      </w:r>
    </w:p>
    <w:p>
      <w:pPr>
        <w:ind w:firstLine="640"/>
        <w:rPr>
          <w:rFonts w:ascii="仿宋" w:hAnsi="仿宋" w:eastAsia="仿宋" w:cs="仿宋"/>
          <w:b/>
          <w:bCs/>
          <w:sz w:val="32"/>
          <w:szCs w:val="32"/>
        </w:rPr>
      </w:pPr>
      <w:r>
        <w:rPr>
          <w:rFonts w:hint="eastAsia" w:ascii="仿宋" w:hAnsi="仿宋" w:eastAsia="仿宋" w:cs="仿宋"/>
          <w:sz w:val="32"/>
          <w:szCs w:val="32"/>
        </w:rPr>
        <w:t>按照预算管理有关规定，目前部门预算的编制实行综合预算制度，即全部收入和支出都反映的预算中。所属事业单位的收支包含在部门预算中。</w:t>
      </w:r>
    </w:p>
    <w:p>
      <w:pPr>
        <w:pStyle w:val="5"/>
        <w:widowControl/>
        <w:spacing w:line="360" w:lineRule="auto"/>
        <w:ind w:firstLine="630" w:firstLineChars="196"/>
        <w:jc w:val="left"/>
        <w:rPr>
          <w:rFonts w:ascii="仿宋" w:hAnsi="仿宋" w:eastAsia="仿宋" w:cs="仿宋"/>
          <w:b/>
          <w:sz w:val="32"/>
          <w:szCs w:val="32"/>
        </w:rPr>
      </w:pPr>
      <w:r>
        <w:rPr>
          <w:rFonts w:hint="eastAsia" w:ascii="楷体" w:hAnsi="楷体" w:eastAsia="楷体" w:cs="楷体"/>
          <w:b/>
          <w:sz w:val="32"/>
          <w:szCs w:val="32"/>
        </w:rPr>
        <w:t>1、收入说明</w:t>
      </w:r>
    </w:p>
    <w:p>
      <w:pPr>
        <w:pStyle w:val="5"/>
        <w:widowControl/>
        <w:spacing w:line="360" w:lineRule="auto"/>
        <w:ind w:firstLine="640"/>
        <w:jc w:val="left"/>
        <w:rPr>
          <w:rFonts w:ascii="仿宋" w:hAnsi="仿宋" w:eastAsia="仿宋" w:cs="仿宋"/>
          <w:sz w:val="32"/>
          <w:szCs w:val="32"/>
        </w:rPr>
      </w:pPr>
      <w:r>
        <w:rPr>
          <w:rFonts w:hint="eastAsia" w:ascii="仿宋" w:hAnsi="仿宋" w:eastAsia="仿宋" w:cs="仿宋"/>
          <w:sz w:val="32"/>
          <w:szCs w:val="32"/>
        </w:rPr>
        <w:t>2019年预算收入274.65万元，其中：一般公共预算收入274.65万元，政府性基金收入0万元，国有资本经营收入0万元，事业收入0万元，其他收入0万元。</w:t>
      </w:r>
    </w:p>
    <w:p>
      <w:pPr>
        <w:pStyle w:val="5"/>
        <w:widowControl/>
        <w:spacing w:line="360" w:lineRule="auto"/>
        <w:ind w:firstLine="643" w:firstLineChars="200"/>
        <w:jc w:val="left"/>
        <w:rPr>
          <w:rFonts w:ascii="仿宋" w:hAnsi="仿宋" w:eastAsia="仿宋" w:cs="仿宋"/>
          <w:sz w:val="32"/>
          <w:szCs w:val="32"/>
        </w:rPr>
      </w:pPr>
      <w:r>
        <w:rPr>
          <w:rFonts w:hint="eastAsia" w:ascii="楷体" w:hAnsi="楷体" w:eastAsia="楷体" w:cs="楷体"/>
          <w:b/>
          <w:sz w:val="32"/>
          <w:szCs w:val="32"/>
        </w:rPr>
        <w:t>2、支出说明</w:t>
      </w:r>
    </w:p>
    <w:p>
      <w:pPr>
        <w:pStyle w:val="5"/>
        <w:widowControl/>
        <w:spacing w:line="360" w:lineRule="auto"/>
        <w:jc w:val="left"/>
        <w:rPr>
          <w:rFonts w:ascii="仿宋" w:hAnsi="仿宋" w:eastAsia="仿宋" w:cs="仿宋"/>
          <w:sz w:val="32"/>
          <w:szCs w:val="32"/>
        </w:rPr>
      </w:pPr>
      <w:r>
        <w:rPr>
          <w:rFonts w:hint="eastAsia" w:ascii="仿宋" w:hAnsi="仿宋" w:eastAsia="仿宋" w:cs="仿宋"/>
          <w:sz w:val="32"/>
          <w:szCs w:val="32"/>
        </w:rPr>
        <w:t>2019年支出预算274.65万元，其中：基本支出274.65万元，包括人员经费支出261.13万元，</w:t>
      </w:r>
      <w:r>
        <w:rPr>
          <w:rFonts w:ascii="Calibri" w:hAnsi="Calibri" w:eastAsia="仿宋_GB2312" w:cs="Calibri"/>
          <w:kern w:val="0"/>
          <w:sz w:val="32"/>
          <w:szCs w:val="32"/>
        </w:rPr>
        <w:t>对个人和家庭的补助支出</w:t>
      </w:r>
      <w:r>
        <w:rPr>
          <w:rFonts w:hint="eastAsia" w:ascii="Calibri" w:hAnsi="Calibri" w:eastAsia="仿宋_GB2312" w:cs="Calibri"/>
          <w:kern w:val="0"/>
          <w:sz w:val="32"/>
          <w:szCs w:val="32"/>
        </w:rPr>
        <w:t>4.62</w:t>
      </w:r>
      <w:r>
        <w:rPr>
          <w:rFonts w:ascii="Calibri" w:hAnsi="Calibri" w:eastAsia="仿宋_GB2312" w:cs="Calibri"/>
          <w:kern w:val="0"/>
          <w:sz w:val="32"/>
          <w:szCs w:val="32"/>
        </w:rPr>
        <w:t>万元</w:t>
      </w:r>
      <w:r>
        <w:rPr>
          <w:rFonts w:hint="eastAsia" w:ascii="Calibri" w:hAnsi="Calibri" w:eastAsia="仿宋_GB2312" w:cs="Calibri"/>
          <w:kern w:val="0"/>
          <w:sz w:val="32"/>
          <w:szCs w:val="32"/>
        </w:rPr>
        <w:t>，</w:t>
      </w:r>
      <w:r>
        <w:rPr>
          <w:rFonts w:hint="eastAsia" w:ascii="仿宋" w:hAnsi="仿宋" w:eastAsia="仿宋" w:cs="仿宋"/>
          <w:sz w:val="32"/>
          <w:szCs w:val="32"/>
        </w:rPr>
        <w:t>日常公用经费8.9万元。</w:t>
      </w:r>
    </w:p>
    <w:p>
      <w:pPr>
        <w:rPr>
          <w:rFonts w:ascii="楷体" w:hAnsi="楷体" w:eastAsia="楷体" w:cs="楷体"/>
          <w:b/>
          <w:bCs/>
          <w:sz w:val="32"/>
          <w:szCs w:val="32"/>
        </w:rPr>
      </w:pPr>
      <w:r>
        <w:rPr>
          <w:rFonts w:hint="eastAsia" w:ascii="楷体" w:hAnsi="楷体" w:eastAsia="楷体" w:cs="楷体"/>
          <w:b/>
          <w:bCs/>
          <w:sz w:val="32"/>
          <w:szCs w:val="32"/>
        </w:rPr>
        <w:t xml:space="preserve">     3、比上年增减情况</w:t>
      </w:r>
    </w:p>
    <w:p>
      <w:pPr>
        <w:spacing w:line="560" w:lineRule="exact"/>
        <w:ind w:firstLine="640"/>
        <w:rPr>
          <w:rFonts w:ascii="仿宋" w:hAnsi="仿宋" w:eastAsia="仿宋" w:cs="Times New Roman"/>
          <w:sz w:val="32"/>
          <w:szCs w:val="32"/>
        </w:rPr>
      </w:pPr>
      <w:r>
        <w:rPr>
          <w:rFonts w:hint="eastAsia" w:ascii="仿宋" w:hAnsi="仿宋" w:eastAsia="仿宋" w:cs="仿宋"/>
          <w:sz w:val="32"/>
          <w:szCs w:val="32"/>
        </w:rPr>
        <w:t xml:space="preserve"> 2019年预算收支安排274.65万元，较2018年增加70.07万元，其中：基本支出增加70.07万元，</w:t>
      </w:r>
      <w:r>
        <w:rPr>
          <w:rFonts w:hint="eastAsia" w:ascii="仿宋" w:hAnsi="仿宋" w:eastAsia="仿宋" w:cs="仿宋_GB2312"/>
          <w:kern w:val="0"/>
          <w:sz w:val="32"/>
          <w:szCs w:val="32"/>
        </w:rPr>
        <w:t>主要是2019年对机关事业单位养老保险自2014年10月起进行清算，增加部分为单位20%部分养老保险清算资金</w:t>
      </w:r>
      <w:r>
        <w:rPr>
          <w:rFonts w:ascii="仿宋" w:hAnsi="仿宋" w:eastAsia="仿宋" w:cs="Calibri"/>
          <w:kern w:val="0"/>
          <w:sz w:val="32"/>
          <w:szCs w:val="32"/>
        </w:rPr>
        <w:t>。</w:t>
      </w:r>
    </w:p>
    <w:p>
      <w:pPr>
        <w:pStyle w:val="5"/>
        <w:widowControl/>
        <w:spacing w:line="360" w:lineRule="auto"/>
        <w:ind w:firstLine="640" w:firstLineChars="200"/>
        <w:jc w:val="left"/>
        <w:rPr>
          <w:rFonts w:ascii="黑体" w:hAnsi="黑体" w:eastAsia="黑体" w:cs="Times New Roman"/>
          <w:sz w:val="32"/>
          <w:szCs w:val="32"/>
        </w:rPr>
      </w:pPr>
      <w:r>
        <w:rPr>
          <w:rFonts w:hint="eastAsia" w:ascii="黑体" w:hAnsi="黑体" w:eastAsia="黑体" w:cs="黑体"/>
          <w:sz w:val="32"/>
          <w:szCs w:val="32"/>
        </w:rPr>
        <w:t>三、机关运行经费安排情况</w:t>
      </w:r>
    </w:p>
    <w:p>
      <w:pPr>
        <w:pStyle w:val="5"/>
        <w:widowControl/>
        <w:spacing w:before="100" w:after="100"/>
        <w:ind w:firstLine="640"/>
        <w:jc w:val="left"/>
        <w:rPr>
          <w:rFonts w:ascii="仿宋" w:hAnsi="仿宋" w:eastAsia="仿宋" w:cs="仿宋"/>
          <w:sz w:val="32"/>
          <w:szCs w:val="32"/>
        </w:rPr>
      </w:pPr>
      <w:r>
        <w:rPr>
          <w:rFonts w:hint="eastAsia" w:ascii="仿宋" w:hAnsi="仿宋" w:eastAsia="仿宋" w:cs="仿宋"/>
          <w:sz w:val="32"/>
          <w:szCs w:val="32"/>
        </w:rPr>
        <w:t>2019年，我单位安排机关运行费8.9万元，主要用于办公费、差旅费、维修（护）费、公车运行费、印刷费、电话费、培训费、公务接待费、公务交通补贴等日常运行支出。</w:t>
      </w:r>
    </w:p>
    <w:p>
      <w:pPr>
        <w:autoSpaceDE w:val="0"/>
        <w:autoSpaceDN w:val="0"/>
        <w:adjustRightInd w:val="0"/>
        <w:ind w:firstLine="64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2019年，我单位“三公”经费预算安排1.4万元，其中因公出国（境）费0万元；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2018年相比持平；</w:t>
      </w:r>
      <w:r>
        <w:rPr>
          <w:rFonts w:hint="eastAsia" w:ascii="仿宋" w:hAnsi="仿宋" w:eastAsia="仿宋" w:cs="仿宋"/>
          <w:sz w:val="32"/>
          <w:szCs w:val="32"/>
        </w:rPr>
        <w:t>公务用车购置及运维费1.4万元（其中：公务用车购置费为0万元，公务用车运行费1.4万元)；与2018年减少3%，主要原因是</w:t>
      </w:r>
      <w:r>
        <w:rPr>
          <w:rFonts w:hint="eastAsia" w:ascii="仿宋" w:hAnsi="仿宋" w:eastAsia="仿宋" w:cs="仿宋"/>
          <w:kern w:val="0"/>
          <w:sz w:val="32"/>
          <w:szCs w:val="32"/>
        </w:rPr>
        <w:t>车改以后单位实施节约制度，油修费预算减少</w:t>
      </w:r>
      <w:r>
        <w:rPr>
          <w:rFonts w:hint="eastAsia" w:ascii="仿宋" w:hAnsi="仿宋" w:eastAsia="仿宋" w:cs="仿宋"/>
          <w:kern w:val="0"/>
          <w:sz w:val="32"/>
          <w:szCs w:val="32"/>
          <w:lang w:eastAsia="zh-CN"/>
        </w:rPr>
        <w:t>；</w:t>
      </w:r>
      <w:r>
        <w:rPr>
          <w:rFonts w:hint="eastAsia" w:ascii="仿宋" w:hAnsi="仿宋" w:eastAsia="仿宋" w:cs="仿宋"/>
          <w:sz w:val="32"/>
          <w:szCs w:val="32"/>
        </w:rPr>
        <w:t>公务接待费0元。</w:t>
      </w:r>
      <w:r>
        <w:rPr>
          <w:rFonts w:hint="eastAsia" w:ascii="仿宋" w:hAnsi="仿宋" w:eastAsia="仿宋" w:cs="仿宋"/>
          <w:sz w:val="32"/>
          <w:szCs w:val="32"/>
          <w:lang w:eastAsia="zh-CN"/>
        </w:rPr>
        <w:t>与</w:t>
      </w:r>
      <w:r>
        <w:rPr>
          <w:rFonts w:hint="eastAsia" w:ascii="仿宋" w:hAnsi="仿宋" w:eastAsia="仿宋" w:cs="仿宋"/>
          <w:sz w:val="32"/>
          <w:szCs w:val="32"/>
          <w:lang w:val="en-US" w:eastAsia="zh-CN"/>
        </w:rPr>
        <w:t>2018年相比持平。</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黑体"/>
          <w:sz w:val="32"/>
          <w:szCs w:val="32"/>
        </w:rPr>
        <w:t>五、绩效预算信息</w:t>
      </w:r>
    </w:p>
    <w:p>
      <w:pPr>
        <w:ind w:firstLine="643" w:firstLineChars="200"/>
        <w:jc w:val="left"/>
        <w:rPr>
          <w:rFonts w:ascii="楷体" w:hAnsi="楷体" w:eastAsia="楷体" w:cs="楷体"/>
          <w:b/>
          <w:sz w:val="32"/>
          <w:szCs w:val="32"/>
        </w:rPr>
      </w:pPr>
      <w:r>
        <w:rPr>
          <w:rFonts w:hint="eastAsia" w:ascii="楷体" w:hAnsi="楷体" w:eastAsia="楷体" w:cs="楷体"/>
          <w:b/>
          <w:sz w:val="32"/>
          <w:szCs w:val="32"/>
          <w:lang w:eastAsia="zh-CN"/>
        </w:rPr>
        <w:t>（一）</w:t>
      </w:r>
      <w:r>
        <w:rPr>
          <w:rFonts w:hint="eastAsia" w:ascii="楷体" w:hAnsi="楷体" w:eastAsia="楷体" w:cs="楷体"/>
          <w:b/>
          <w:sz w:val="32"/>
          <w:szCs w:val="32"/>
        </w:rPr>
        <w:t>总体绩效目标：</w:t>
      </w:r>
    </w:p>
    <w:p>
      <w:pPr>
        <w:ind w:firstLine="560"/>
        <w:rPr>
          <w:rFonts w:ascii="仿宋" w:hAnsi="仿宋" w:eastAsia="仿宋" w:cs="仿宋"/>
          <w:sz w:val="32"/>
          <w:szCs w:val="32"/>
        </w:rPr>
      </w:pPr>
      <w:r>
        <w:rPr>
          <w:rFonts w:hint="eastAsia" w:ascii="仿宋" w:hAnsi="仿宋" w:eastAsia="仿宋" w:cs="仿宋"/>
          <w:sz w:val="32"/>
          <w:szCs w:val="32"/>
        </w:rPr>
        <w:t>根据县委、县政府有关要求，有计划地轮训和培训全县各级党政领导干部和理论骨干，负责对学员在党校学习期间的表现进行考核。根据县委组织部的干训计划，培训、轮训领导干部和理论骨干；受县委、县政府及有关职能部门委托，举办各种专题培训、研讨班。</w:t>
      </w:r>
    </w:p>
    <w:p>
      <w:pPr>
        <w:ind w:firstLine="630" w:firstLineChars="196"/>
        <w:jc w:val="left"/>
        <w:rPr>
          <w:rFonts w:ascii="楷体" w:hAnsi="楷体" w:eastAsia="楷体" w:cs="楷体"/>
          <w:b/>
          <w:sz w:val="32"/>
          <w:szCs w:val="32"/>
        </w:rPr>
      </w:pPr>
      <w:r>
        <w:rPr>
          <w:rFonts w:hint="eastAsia" w:ascii="楷体" w:hAnsi="楷体" w:eastAsia="楷体" w:cs="楷体"/>
          <w:b/>
          <w:sz w:val="32"/>
          <w:szCs w:val="32"/>
          <w:lang w:eastAsia="zh-CN"/>
        </w:rPr>
        <w:t>（二）</w:t>
      </w:r>
      <w:r>
        <w:rPr>
          <w:rFonts w:hint="eastAsia" w:ascii="楷体" w:hAnsi="楷体" w:eastAsia="楷体" w:cs="楷体"/>
          <w:b/>
          <w:sz w:val="32"/>
          <w:szCs w:val="32"/>
        </w:rPr>
        <w:t>职责分</w:t>
      </w:r>
      <w:r>
        <w:rPr>
          <w:rFonts w:hint="eastAsia" w:ascii="楷体" w:hAnsi="楷体" w:eastAsia="楷体" w:cs="楷体"/>
          <w:b/>
          <w:sz w:val="32"/>
          <w:szCs w:val="32"/>
          <w:lang w:eastAsia="zh-CN"/>
        </w:rPr>
        <w:t>项</w:t>
      </w:r>
      <w:r>
        <w:rPr>
          <w:rFonts w:hint="eastAsia" w:ascii="楷体" w:hAnsi="楷体" w:eastAsia="楷体" w:cs="楷体"/>
          <w:b/>
          <w:sz w:val="32"/>
          <w:szCs w:val="32"/>
        </w:rPr>
        <w:t>绩效目标：</w:t>
      </w:r>
    </w:p>
    <w:p>
      <w:pPr>
        <w:ind w:firstLine="560"/>
        <w:rPr>
          <w:rFonts w:ascii="仿宋" w:hAnsi="仿宋" w:eastAsia="仿宋" w:cs="仿宋"/>
          <w:sz w:val="32"/>
          <w:szCs w:val="32"/>
        </w:rPr>
      </w:pPr>
      <w:r>
        <w:rPr>
          <w:rFonts w:hint="eastAsia" w:ascii="仿宋" w:hAnsi="仿宋" w:eastAsia="仿宋" w:cs="仿宋"/>
          <w:sz w:val="32"/>
          <w:szCs w:val="32"/>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p>
      <w:pPr>
        <w:ind w:firstLine="560"/>
        <w:rPr>
          <w:rFonts w:ascii="仿宋" w:hAnsi="仿宋" w:eastAsia="仿宋" w:cs="仿宋"/>
          <w:sz w:val="32"/>
          <w:szCs w:val="32"/>
        </w:rPr>
      </w:pPr>
      <w:r>
        <w:rPr>
          <w:rFonts w:hint="eastAsia" w:ascii="仿宋" w:hAnsi="仿宋" w:eastAsia="仿宋" w:cs="仿宋"/>
          <w:sz w:val="32"/>
          <w:szCs w:val="32"/>
        </w:rPr>
        <w:t>通过外请专家、学者授课，开拓学员思路；通过开展现场教学、情景模拟教学、案例教学、特色教学，有效提高培训质量，提高学员解决实际问题的能力。</w:t>
      </w:r>
    </w:p>
    <w:p>
      <w:pPr>
        <w:ind w:firstLine="630" w:firstLineChars="196"/>
        <w:jc w:val="left"/>
        <w:rPr>
          <w:rFonts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实现年度发展规划</w:t>
      </w:r>
      <w:r>
        <w:rPr>
          <w:rFonts w:hint="eastAsia" w:ascii="楷体" w:hAnsi="楷体" w:eastAsia="楷体" w:cs="楷体"/>
          <w:b/>
          <w:bCs/>
          <w:sz w:val="32"/>
          <w:szCs w:val="32"/>
          <w:lang w:eastAsia="zh-CN"/>
        </w:rPr>
        <w:t>工作</w:t>
      </w:r>
      <w:r>
        <w:rPr>
          <w:rFonts w:hint="eastAsia" w:ascii="楷体" w:hAnsi="楷体" w:eastAsia="楷体" w:cs="楷体"/>
          <w:b/>
          <w:bCs/>
          <w:sz w:val="32"/>
          <w:szCs w:val="32"/>
        </w:rPr>
        <w:t>保障措施</w:t>
      </w:r>
    </w:p>
    <w:p>
      <w:pPr>
        <w:ind w:firstLine="56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bCs/>
          <w:sz w:val="32"/>
          <w:szCs w:val="32"/>
        </w:rPr>
        <w:t>培训教育</w:t>
      </w:r>
      <w:r>
        <w:rPr>
          <w:rFonts w:hint="eastAsia" w:ascii="仿宋" w:hAnsi="仿宋" w:eastAsia="仿宋" w:cs="仿宋"/>
          <w:sz w:val="32"/>
          <w:szCs w:val="32"/>
        </w:rPr>
        <w:t>：</w:t>
      </w:r>
    </w:p>
    <w:p>
      <w:pPr>
        <w:ind w:firstLine="560"/>
        <w:rPr>
          <w:rFonts w:ascii="仿宋" w:hAnsi="仿宋" w:eastAsia="仿宋" w:cs="仿宋"/>
          <w:sz w:val="32"/>
          <w:szCs w:val="32"/>
        </w:rPr>
      </w:pPr>
      <w:r>
        <w:rPr>
          <w:rFonts w:hint="eastAsia" w:ascii="仿宋" w:hAnsi="仿宋" w:eastAsia="仿宋" w:cs="仿宋"/>
          <w:sz w:val="32"/>
          <w:szCs w:val="32"/>
        </w:rPr>
        <w:t>积极按规定完成各项工作的申报，及时向各相关部门报送报告资料。</w:t>
      </w:r>
    </w:p>
    <w:p>
      <w:pPr>
        <w:numPr>
          <w:ilvl w:val="0"/>
          <w:numId w:val="1"/>
        </w:numPr>
        <w:ind w:firstLine="560"/>
        <w:rPr>
          <w:rFonts w:ascii="仿宋" w:hAnsi="仿宋" w:eastAsia="仿宋" w:cs="仿宋"/>
          <w:sz w:val="32"/>
          <w:szCs w:val="32"/>
        </w:rPr>
      </w:pPr>
      <w:r>
        <w:rPr>
          <w:rFonts w:hint="eastAsia" w:ascii="仿宋" w:hAnsi="仿宋" w:eastAsia="仿宋" w:cs="仿宋"/>
          <w:bCs/>
          <w:sz w:val="32"/>
          <w:szCs w:val="32"/>
        </w:rPr>
        <w:t>组织培训班</w:t>
      </w:r>
      <w:r>
        <w:rPr>
          <w:rFonts w:hint="eastAsia" w:ascii="仿宋" w:hAnsi="仿宋" w:eastAsia="仿宋" w:cs="仿宋"/>
          <w:sz w:val="32"/>
          <w:szCs w:val="32"/>
        </w:rPr>
        <w:t>：</w:t>
      </w:r>
    </w:p>
    <w:p>
      <w:pPr>
        <w:rPr>
          <w:rFonts w:ascii="仿宋" w:hAnsi="仿宋" w:eastAsia="仿宋" w:cs="仿宋"/>
          <w:sz w:val="32"/>
          <w:szCs w:val="32"/>
        </w:rPr>
      </w:pPr>
      <w:r>
        <w:rPr>
          <w:rFonts w:hint="eastAsia" w:ascii="仿宋" w:hAnsi="仿宋" w:eastAsia="仿宋" w:cs="仿宋"/>
          <w:sz w:val="32"/>
          <w:szCs w:val="32"/>
        </w:rPr>
        <w:t>根据县委组织部的干训计划，培训、轮训领导干部和理论骨干；受县委、县政府及有关职能部门委托，举办各种专题培训、研讨班。</w:t>
      </w: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p>
    <w:p>
      <w:pPr>
        <w:jc w:val="center"/>
        <w:outlineLvl w:val="0"/>
        <w:rPr>
          <w:rFonts w:ascii="方正小标宋_GBK" w:eastAsia="方正小标宋_GBK"/>
          <w:sz w:val="32"/>
        </w:rPr>
      </w:pPr>
      <w:r>
        <w:rPr>
          <w:rFonts w:hint="eastAsia" w:ascii="方正小标宋_GBK" w:eastAsia="方正小标宋_GBK"/>
          <w:sz w:val="32"/>
        </w:rPr>
        <w:t>部门职责-工作活动绩效目标</w:t>
      </w:r>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2"/>
        <w:gridCol w:w="1455"/>
        <w:gridCol w:w="3165"/>
        <w:gridCol w:w="3307"/>
        <w:gridCol w:w="1328"/>
        <w:gridCol w:w="915"/>
        <w:gridCol w:w="648"/>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897"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left"/>
              <w:rPr>
                <w:rFonts w:ascii="方正小标宋_GBK" w:eastAsia="方正小标宋_GBK"/>
                <w:sz w:val="24"/>
              </w:rPr>
            </w:pPr>
            <w:r>
              <w:rPr>
                <w:rFonts w:hint="eastAsia" w:ascii="仿宋" w:hAnsi="仿宋" w:eastAsia="仿宋" w:cs="仿宋"/>
                <w:sz w:val="24"/>
              </w:rPr>
              <w:t>281中国共产党成安县委员会党校</w:t>
            </w:r>
          </w:p>
        </w:tc>
        <w:tc>
          <w:tcPr>
            <w:tcW w:w="3037"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ind w:firstLine="480" w:firstLineChars="200"/>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642"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职责活动</w:t>
            </w:r>
          </w:p>
        </w:tc>
        <w:tc>
          <w:tcPr>
            <w:tcW w:w="1455"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年度预算数</w:t>
            </w:r>
          </w:p>
        </w:tc>
        <w:tc>
          <w:tcPr>
            <w:tcW w:w="3165"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内容描述</w:t>
            </w:r>
          </w:p>
        </w:tc>
        <w:tc>
          <w:tcPr>
            <w:tcW w:w="3307" w:type="dxa"/>
            <w:vMerge w:val="restart"/>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绩效目标</w:t>
            </w:r>
          </w:p>
        </w:tc>
        <w:tc>
          <w:tcPr>
            <w:tcW w:w="1328" w:type="dxa"/>
            <w:vMerge w:val="restart"/>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绩效指标</w:t>
            </w:r>
          </w:p>
        </w:tc>
        <w:tc>
          <w:tcPr>
            <w:tcW w:w="3037" w:type="dxa"/>
            <w:gridSpan w:val="4"/>
            <w:shd w:val="clear" w:color="auto" w:fill="auto"/>
            <w:vAlign w:val="center"/>
          </w:tcPr>
          <w:p>
            <w:pPr>
              <w:spacing w:line="300" w:lineRule="exact"/>
              <w:ind w:firstLine="482" w:firstLineChars="200"/>
              <w:jc w:val="center"/>
              <w:rPr>
                <w:rFonts w:ascii="仿宋" w:hAnsi="仿宋" w:eastAsia="仿宋" w:cs="仿宋"/>
                <w:b/>
                <w:sz w:val="24"/>
              </w:rPr>
            </w:pPr>
            <w:r>
              <w:rPr>
                <w:rFonts w:hint="eastAsia" w:ascii="仿宋" w:hAnsi="仿宋" w:eastAsia="仿宋" w:cs="仿宋"/>
                <w:b/>
                <w:sz w:val="24"/>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642" w:type="dxa"/>
            <w:vMerge w:val="continue"/>
            <w:shd w:val="clear" w:color="auto" w:fill="auto"/>
            <w:vAlign w:val="center"/>
          </w:tcPr>
          <w:p>
            <w:pPr>
              <w:spacing w:line="300" w:lineRule="exact"/>
              <w:ind w:firstLine="480" w:firstLineChars="200"/>
              <w:jc w:val="center"/>
              <w:outlineLvl w:val="0"/>
              <w:rPr>
                <w:rFonts w:ascii="仿宋" w:hAnsi="仿宋" w:eastAsia="仿宋" w:cs="仿宋"/>
                <w:sz w:val="24"/>
              </w:rPr>
            </w:pPr>
          </w:p>
        </w:tc>
        <w:tc>
          <w:tcPr>
            <w:tcW w:w="1455"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3165"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3307"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1328" w:type="dxa"/>
            <w:vMerge w:val="continue"/>
            <w:shd w:val="clear" w:color="auto" w:fill="auto"/>
            <w:vAlign w:val="center"/>
          </w:tcPr>
          <w:p>
            <w:pPr>
              <w:spacing w:line="300" w:lineRule="exact"/>
              <w:ind w:firstLine="480" w:firstLineChars="200"/>
              <w:jc w:val="left"/>
              <w:outlineLvl w:val="0"/>
              <w:rPr>
                <w:rFonts w:ascii="仿宋" w:hAnsi="仿宋" w:eastAsia="仿宋" w:cs="仿宋"/>
                <w:sz w:val="24"/>
              </w:rPr>
            </w:pPr>
          </w:p>
        </w:tc>
        <w:tc>
          <w:tcPr>
            <w:tcW w:w="915" w:type="dxa"/>
            <w:shd w:val="clear" w:color="auto" w:fill="auto"/>
            <w:vAlign w:val="center"/>
          </w:tcPr>
          <w:p>
            <w:pPr>
              <w:spacing w:line="300" w:lineRule="exact"/>
              <w:jc w:val="left"/>
              <w:rPr>
                <w:rFonts w:ascii="仿宋" w:hAnsi="仿宋" w:eastAsia="仿宋" w:cs="仿宋"/>
                <w:b/>
                <w:sz w:val="24"/>
              </w:rPr>
            </w:pPr>
            <w:r>
              <w:rPr>
                <w:rFonts w:hint="eastAsia" w:ascii="仿宋" w:hAnsi="仿宋" w:eastAsia="仿宋" w:cs="仿宋"/>
                <w:b/>
                <w:sz w:val="24"/>
              </w:rPr>
              <w:t>优</w:t>
            </w:r>
          </w:p>
        </w:tc>
        <w:tc>
          <w:tcPr>
            <w:tcW w:w="648"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良</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中</w:t>
            </w:r>
          </w:p>
        </w:tc>
        <w:tc>
          <w:tcPr>
            <w:tcW w:w="737" w:type="dxa"/>
            <w:shd w:val="clear" w:color="auto" w:fill="auto"/>
            <w:vAlign w:val="center"/>
          </w:tcPr>
          <w:p>
            <w:pPr>
              <w:spacing w:line="300" w:lineRule="exact"/>
              <w:rPr>
                <w:rFonts w:ascii="仿宋" w:hAnsi="仿宋" w:eastAsia="仿宋" w:cs="仿宋"/>
                <w:b/>
                <w:sz w:val="24"/>
              </w:rPr>
            </w:pPr>
            <w:r>
              <w:rPr>
                <w:rFonts w:hint="eastAsia" w:ascii="仿宋" w:hAnsi="仿宋" w:eastAsia="仿宋" w:cs="仿宋"/>
                <w:b/>
                <w:sz w:val="24"/>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45" w:hRule="atLeast"/>
          <w:jc w:val="center"/>
        </w:trPr>
        <w:tc>
          <w:tcPr>
            <w:tcW w:w="1642" w:type="dxa"/>
            <w:shd w:val="clear" w:color="auto" w:fill="auto"/>
            <w:vAlign w:val="center"/>
          </w:tcPr>
          <w:p>
            <w:pPr>
              <w:spacing w:line="300" w:lineRule="exact"/>
              <w:jc w:val="center"/>
              <w:rPr>
                <w:rFonts w:ascii="仿宋" w:hAnsi="仿宋" w:eastAsia="仿宋" w:cs="仿宋"/>
                <w:b/>
                <w:sz w:val="24"/>
              </w:rPr>
            </w:pPr>
            <w:r>
              <w:rPr>
                <w:rFonts w:hint="eastAsia" w:ascii="仿宋" w:hAnsi="仿宋" w:eastAsia="仿宋" w:cs="仿宋"/>
                <w:b/>
                <w:sz w:val="24"/>
              </w:rPr>
              <w:t>培训教育</w:t>
            </w:r>
          </w:p>
        </w:tc>
        <w:tc>
          <w:tcPr>
            <w:tcW w:w="1455"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165</w:t>
            </w:r>
          </w:p>
        </w:tc>
        <w:tc>
          <w:tcPr>
            <w:tcW w:w="3165"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根据县委、县政府有关要求，有计划地轮训和培训全县各级党政领导干部和理论骨干，负责对学员在党校学习期间的表现进行考核</w:t>
            </w:r>
          </w:p>
        </w:tc>
        <w:tc>
          <w:tcPr>
            <w:tcW w:w="3307"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通过不断提高教学水平、完善教学设施、优化教学布局、丰富教学手段，围绕党和国家工作大局，按照实事求是、与时俱进、艰苦奋斗、执政为民的要求，培养忠诚于中国特色社会主义事业、德才兼备的党员领导干部和理论干部，有效提高干部的政策理论水平、思想觉悟和执政能力。</w:t>
            </w:r>
          </w:p>
        </w:tc>
        <w:tc>
          <w:tcPr>
            <w:tcW w:w="1328"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培训任务完成率100%</w:t>
            </w:r>
          </w:p>
        </w:tc>
        <w:tc>
          <w:tcPr>
            <w:tcW w:w="915"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100</w:t>
            </w:r>
            <w:r>
              <w:rPr>
                <w:rFonts w:hint="eastAsia" w:ascii="仿宋" w:hAnsi="仿宋" w:eastAsia="仿宋" w:cs="仿宋"/>
                <w:sz w:val="24"/>
                <w:lang w:val="en-US" w:eastAsia="zh-CN"/>
              </w:rPr>
              <w:t>%</w:t>
            </w:r>
          </w:p>
        </w:tc>
        <w:tc>
          <w:tcPr>
            <w:tcW w:w="648"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90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60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145" w:hRule="atLeast"/>
          <w:jc w:val="center"/>
        </w:trPr>
        <w:tc>
          <w:tcPr>
            <w:tcW w:w="1642" w:type="dxa"/>
            <w:shd w:val="clear" w:color="auto" w:fill="auto"/>
            <w:vAlign w:val="center"/>
          </w:tcPr>
          <w:p>
            <w:pPr>
              <w:spacing w:line="300" w:lineRule="exact"/>
              <w:ind w:firstLine="241" w:firstLineChars="100"/>
              <w:jc w:val="left"/>
              <w:rPr>
                <w:rFonts w:ascii="仿宋" w:hAnsi="仿宋" w:eastAsia="仿宋" w:cs="仿宋"/>
                <w:b/>
                <w:sz w:val="24"/>
              </w:rPr>
            </w:pPr>
            <w:r>
              <w:rPr>
                <w:rFonts w:hint="eastAsia" w:ascii="仿宋" w:hAnsi="仿宋" w:eastAsia="仿宋" w:cs="仿宋"/>
                <w:b/>
                <w:sz w:val="24"/>
              </w:rPr>
              <w:t>组织培训班</w:t>
            </w:r>
          </w:p>
        </w:tc>
        <w:tc>
          <w:tcPr>
            <w:tcW w:w="1455" w:type="dxa"/>
            <w:shd w:val="clear" w:color="auto" w:fill="auto"/>
            <w:vAlign w:val="center"/>
          </w:tcPr>
          <w:p>
            <w:pPr>
              <w:spacing w:line="300" w:lineRule="exact"/>
              <w:ind w:firstLine="480" w:firstLineChars="200"/>
              <w:jc w:val="left"/>
              <w:rPr>
                <w:rFonts w:ascii="仿宋" w:hAnsi="仿宋" w:eastAsia="仿宋" w:cs="仿宋"/>
                <w:sz w:val="24"/>
              </w:rPr>
            </w:pPr>
            <w:r>
              <w:rPr>
                <w:rFonts w:hint="eastAsia" w:ascii="仿宋" w:hAnsi="仿宋" w:eastAsia="仿宋" w:cs="仿宋"/>
                <w:sz w:val="24"/>
              </w:rPr>
              <w:t>37.58</w:t>
            </w:r>
          </w:p>
        </w:tc>
        <w:tc>
          <w:tcPr>
            <w:tcW w:w="3165"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根据县委组织部的干训计划，培训、轮训领导干部和理论骨干；受县委、县政府及有关职能部门委托，举办各种专题培训、研讨班。</w:t>
            </w:r>
          </w:p>
        </w:tc>
        <w:tc>
          <w:tcPr>
            <w:tcW w:w="3307"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通过外请专家、学者授课，开拓学员思路；通过开展现场教学、情景模拟教学、案例教学、特色教学，有效提高培训质量，提高学员解决实际问题的能力</w:t>
            </w:r>
          </w:p>
        </w:tc>
        <w:tc>
          <w:tcPr>
            <w:tcW w:w="1328" w:type="dxa"/>
            <w:shd w:val="clear" w:color="auto" w:fill="auto"/>
            <w:vAlign w:val="center"/>
          </w:tcPr>
          <w:p>
            <w:pPr>
              <w:spacing w:line="300" w:lineRule="exact"/>
              <w:jc w:val="left"/>
              <w:rPr>
                <w:rFonts w:ascii="仿宋" w:hAnsi="仿宋" w:eastAsia="仿宋" w:cs="仿宋"/>
                <w:sz w:val="24"/>
              </w:rPr>
            </w:pPr>
            <w:r>
              <w:rPr>
                <w:rFonts w:hint="eastAsia" w:ascii="仿宋" w:hAnsi="仿宋" w:eastAsia="仿宋" w:cs="仿宋"/>
                <w:sz w:val="24"/>
              </w:rPr>
              <w:t>学员教学满意率90%</w:t>
            </w:r>
          </w:p>
        </w:tc>
        <w:tc>
          <w:tcPr>
            <w:tcW w:w="915"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100</w:t>
            </w:r>
            <w:r>
              <w:rPr>
                <w:rFonts w:hint="eastAsia" w:ascii="仿宋" w:hAnsi="仿宋" w:eastAsia="仿宋" w:cs="仿宋"/>
                <w:sz w:val="24"/>
                <w:lang w:val="en-US" w:eastAsia="zh-CN"/>
              </w:rPr>
              <w:t>%</w:t>
            </w:r>
          </w:p>
        </w:tc>
        <w:tc>
          <w:tcPr>
            <w:tcW w:w="648"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90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rPr>
              <w:t>60</w:t>
            </w:r>
            <w:r>
              <w:rPr>
                <w:rFonts w:hint="eastAsia" w:ascii="仿宋" w:hAnsi="仿宋" w:eastAsia="仿宋" w:cs="仿宋"/>
                <w:sz w:val="24"/>
                <w:lang w:val="en-US" w:eastAsia="zh-CN"/>
              </w:rPr>
              <w:t>%</w:t>
            </w:r>
          </w:p>
        </w:tc>
        <w:tc>
          <w:tcPr>
            <w:tcW w:w="737" w:type="dxa"/>
            <w:shd w:val="clear" w:color="auto" w:fill="auto"/>
            <w:vAlign w:val="center"/>
          </w:tcPr>
          <w:p>
            <w:pPr>
              <w:spacing w:line="300" w:lineRule="exact"/>
              <w:rPr>
                <w:rFonts w:ascii="仿宋" w:hAnsi="仿宋" w:eastAsia="仿宋" w:cs="仿宋"/>
                <w:sz w:val="24"/>
              </w:rPr>
            </w:pPr>
            <w:r>
              <w:rPr>
                <w:rFonts w:hint="eastAsia" w:ascii="仿宋" w:hAnsi="仿宋" w:eastAsia="仿宋" w:cs="仿宋"/>
                <w:sz w:val="24"/>
                <w:lang w:eastAsia="zh-CN"/>
              </w:rPr>
              <w:t>≤</w:t>
            </w:r>
            <w:r>
              <w:rPr>
                <w:rFonts w:hint="eastAsia" w:ascii="仿宋" w:hAnsi="仿宋" w:eastAsia="仿宋" w:cs="仿宋"/>
                <w:sz w:val="24"/>
                <w:lang w:val="en-US" w:eastAsia="zh-CN"/>
              </w:rPr>
              <w:t>60%</w:t>
            </w:r>
            <w:bookmarkStart w:id="0" w:name="_GoBack"/>
            <w:bookmarkEnd w:id="0"/>
          </w:p>
        </w:tc>
      </w:tr>
    </w:tbl>
    <w:p>
      <w:pPr>
        <w:widowControl/>
        <w:spacing w:line="360" w:lineRule="auto"/>
        <w:ind w:firstLine="640" w:firstLineChars="200"/>
        <w:jc w:val="left"/>
        <w:rPr>
          <w:rFonts w:ascii="黑体" w:hAnsi="黑体" w:eastAsia="黑体" w:cs="黑体"/>
          <w:b/>
          <w:kern w:val="0"/>
          <w:sz w:val="32"/>
          <w:szCs w:val="32"/>
        </w:rPr>
      </w:pPr>
      <w:r>
        <w:rPr>
          <w:rFonts w:hint="eastAsia" w:ascii="黑体" w:hAnsi="黑体" w:eastAsia="黑体" w:cs="黑体"/>
          <w:kern w:val="0"/>
          <w:sz w:val="32"/>
          <w:szCs w:val="32"/>
        </w:rPr>
        <w:t>六、</w:t>
      </w:r>
      <w:r>
        <w:rPr>
          <w:rFonts w:hint="eastAsia" w:ascii="黑体" w:hAnsi="黑体" w:eastAsia="黑体" w:cs="黑体"/>
          <w:b/>
          <w:kern w:val="0"/>
          <w:sz w:val="32"/>
          <w:szCs w:val="32"/>
        </w:rPr>
        <w:t>政府采购预算情况</w:t>
      </w:r>
    </w:p>
    <w:p>
      <w:pPr>
        <w:widowControl/>
        <w:spacing w:line="360" w:lineRule="auto"/>
        <w:ind w:firstLine="640" w:firstLineChars="200"/>
        <w:jc w:val="left"/>
        <w:rPr>
          <w:rFonts w:ascii="仿宋_GB2312" w:hAnsi="微软雅黑" w:eastAsia="仿宋_GB2312" w:cs="仿宋_GB2312"/>
          <w:kern w:val="0"/>
          <w:sz w:val="32"/>
          <w:szCs w:val="32"/>
        </w:rPr>
      </w:pPr>
      <w:r>
        <w:rPr>
          <w:rFonts w:ascii="仿宋_GB2312" w:hAnsi="微软雅黑" w:eastAsia="仿宋_GB2312" w:cs="仿宋_GB2312"/>
          <w:kern w:val="0"/>
          <w:sz w:val="32"/>
          <w:szCs w:val="32"/>
        </w:rPr>
        <w:t>政府采购指国家机关、事业单位和社会团体组织，使用财政性资金，购买集中采购目录以内的或者采购限额标准以上的货物、工程或服务的行为。政府采购应遵循公开透明、公平竞争、公正和诚实信用的原则。凡使用纳入预算管理的资金采购符合《河北省政府采购集中采购目录和限额标准》（冀财采[2015]11号）要求的货物、工程或服务的项目，采购人均应编入政府采购预算</w:t>
      </w:r>
      <w:r>
        <w:rPr>
          <w:rFonts w:hint="eastAsia" w:ascii="仿宋_GB2312" w:hAnsi="微软雅黑" w:eastAsia="仿宋_GB2312" w:cs="仿宋_GB2312"/>
          <w:kern w:val="0"/>
          <w:sz w:val="32"/>
          <w:szCs w:val="32"/>
        </w:rPr>
        <w:t>，结合我校实际。2019年我校政府采购事项为0.2万元。</w:t>
      </w:r>
    </w:p>
    <w:p>
      <w:pPr>
        <w:spacing w:line="560" w:lineRule="exact"/>
        <w:jc w:val="center"/>
        <w:outlineLvl w:val="0"/>
        <w:rPr>
          <w:rFonts w:hint="eastAsia" w:ascii="宋体" w:hAnsi="宋体" w:cs="方正小标宋_GBK"/>
          <w:sz w:val="32"/>
          <w:szCs w:val="32"/>
        </w:rPr>
      </w:pPr>
    </w:p>
    <w:p>
      <w:pPr>
        <w:spacing w:line="560" w:lineRule="exact"/>
        <w:jc w:val="center"/>
        <w:outlineLvl w:val="0"/>
        <w:rPr>
          <w:rFonts w:hint="eastAsia" w:ascii="宋体" w:hAnsi="宋体" w:cs="方正小标宋_GBK"/>
          <w:sz w:val="32"/>
          <w:szCs w:val="32"/>
        </w:rPr>
      </w:pPr>
    </w:p>
    <w:p>
      <w:pPr>
        <w:spacing w:line="560" w:lineRule="exact"/>
        <w:jc w:val="center"/>
        <w:outlineLvl w:val="0"/>
        <w:rPr>
          <w:rFonts w:hint="eastAsia" w:ascii="宋体" w:hAnsi="宋体" w:cs="方正小标宋_GBK"/>
          <w:sz w:val="32"/>
          <w:szCs w:val="32"/>
        </w:rPr>
      </w:pPr>
    </w:p>
    <w:p>
      <w:pPr>
        <w:spacing w:line="560" w:lineRule="exact"/>
        <w:jc w:val="center"/>
        <w:outlineLvl w:val="0"/>
        <w:rPr>
          <w:rFonts w:hint="eastAsia" w:ascii="宋体" w:hAnsi="宋体" w:cs="方正小标宋_GBK"/>
          <w:sz w:val="32"/>
          <w:szCs w:val="32"/>
        </w:rPr>
      </w:pPr>
    </w:p>
    <w:p>
      <w:pPr>
        <w:spacing w:line="560" w:lineRule="exact"/>
        <w:jc w:val="center"/>
        <w:outlineLvl w:val="0"/>
        <w:rPr>
          <w:rFonts w:hint="eastAsia" w:ascii="宋体" w:hAnsi="宋体" w:cs="方正小标宋_GBK"/>
          <w:sz w:val="32"/>
          <w:szCs w:val="32"/>
        </w:rPr>
      </w:pPr>
    </w:p>
    <w:p>
      <w:pPr>
        <w:spacing w:line="560" w:lineRule="exact"/>
        <w:jc w:val="center"/>
        <w:outlineLvl w:val="0"/>
        <w:rPr>
          <w:rFonts w:hint="eastAsia" w:ascii="宋体" w:hAnsi="宋体" w:cs="方正小标宋_GBK"/>
          <w:sz w:val="32"/>
          <w:szCs w:val="32"/>
        </w:rPr>
      </w:pPr>
    </w:p>
    <w:p>
      <w:pPr>
        <w:spacing w:line="560" w:lineRule="exact"/>
        <w:jc w:val="center"/>
        <w:outlineLvl w:val="0"/>
        <w:rPr>
          <w:rFonts w:hint="eastAsia" w:ascii="宋体" w:hAnsi="宋体" w:cs="方正小标宋_GBK"/>
          <w:sz w:val="32"/>
          <w:szCs w:val="32"/>
        </w:rPr>
      </w:pPr>
    </w:p>
    <w:p>
      <w:pPr>
        <w:spacing w:line="560" w:lineRule="exact"/>
        <w:jc w:val="center"/>
        <w:outlineLvl w:val="0"/>
        <w:rPr>
          <w:rFonts w:hint="eastAsia" w:ascii="宋体" w:hAnsi="宋体" w:cs="方正小标宋_GBK"/>
          <w:sz w:val="32"/>
          <w:szCs w:val="32"/>
        </w:rPr>
      </w:pPr>
    </w:p>
    <w:p>
      <w:pPr>
        <w:spacing w:line="560" w:lineRule="exact"/>
        <w:jc w:val="center"/>
        <w:outlineLvl w:val="0"/>
        <w:rPr>
          <w:rFonts w:hint="eastAsia" w:ascii="宋体" w:hAnsi="宋体" w:cs="方正小标宋_GBK"/>
          <w:sz w:val="32"/>
          <w:szCs w:val="32"/>
        </w:rPr>
      </w:pPr>
    </w:p>
    <w:p>
      <w:pPr>
        <w:spacing w:line="560" w:lineRule="exact"/>
        <w:jc w:val="center"/>
        <w:outlineLvl w:val="0"/>
        <w:rPr>
          <w:rFonts w:ascii="宋体" w:hAnsi="宋体"/>
          <w:sz w:val="32"/>
          <w:szCs w:val="32"/>
        </w:rPr>
      </w:pPr>
      <w:r>
        <w:rPr>
          <w:rFonts w:hint="eastAsia" w:ascii="宋体" w:hAnsi="宋体" w:cs="方正小标宋_GBK"/>
          <w:sz w:val="32"/>
          <w:szCs w:val="32"/>
        </w:rPr>
        <w:t>部门政府采购预算</w:t>
      </w:r>
    </w:p>
    <w:tbl>
      <w:tblPr>
        <w:tblStyle w:val="7"/>
        <w:tblW w:w="906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94"/>
        <w:gridCol w:w="667"/>
        <w:gridCol w:w="549"/>
        <w:gridCol w:w="873"/>
        <w:gridCol w:w="549"/>
        <w:gridCol w:w="549"/>
        <w:gridCol w:w="564"/>
        <w:gridCol w:w="562"/>
        <w:gridCol w:w="562"/>
        <w:gridCol w:w="562"/>
        <w:gridCol w:w="511"/>
        <w:gridCol w:w="551"/>
        <w:gridCol w:w="551"/>
        <w:gridCol w:w="5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5245" w:type="dxa"/>
            <w:gridSpan w:val="7"/>
            <w:tcBorders>
              <w:top w:val="single" w:color="FFFFFF" w:sz="6" w:space="0"/>
              <w:left w:val="single" w:color="FFFFFF" w:sz="6" w:space="0"/>
              <w:right w:val="single" w:color="FFFFFF" w:sz="6" w:space="0"/>
            </w:tcBorders>
            <w:vAlign w:val="center"/>
          </w:tcPr>
          <w:p>
            <w:pPr>
              <w:spacing w:line="560" w:lineRule="exact"/>
              <w:jc w:val="left"/>
              <w:rPr>
                <w:rFonts w:ascii="宋体" w:hAnsi="宋体"/>
                <w:sz w:val="24"/>
              </w:rPr>
            </w:pPr>
            <w:r>
              <w:rPr>
                <w:rFonts w:hint="eastAsia" w:ascii="宋体" w:hAnsi="宋体" w:cs="方正小标宋_GBK"/>
                <w:sz w:val="24"/>
              </w:rPr>
              <w:t>部门（单位）名称:</w:t>
            </w:r>
            <w:r>
              <w:rPr>
                <w:rFonts w:hint="eastAsia" w:ascii="宋体" w:hAnsi="宋体" w:eastAsia="宋体" w:cs="宋体"/>
                <w:kern w:val="0"/>
                <w:sz w:val="22"/>
                <w:szCs w:val="22"/>
              </w:rPr>
              <w:t>281中共成安县委党校</w:t>
            </w:r>
          </w:p>
        </w:tc>
        <w:tc>
          <w:tcPr>
            <w:tcW w:w="3815" w:type="dxa"/>
            <w:gridSpan w:val="7"/>
            <w:tcBorders>
              <w:top w:val="single" w:color="FFFFFF" w:sz="6" w:space="0"/>
              <w:left w:val="single" w:color="FFFFFF" w:sz="6" w:space="0"/>
              <w:right w:val="single" w:color="FFFFFF" w:sz="6" w:space="0"/>
            </w:tcBorders>
            <w:vAlign w:val="center"/>
          </w:tcPr>
          <w:p>
            <w:pPr>
              <w:spacing w:line="560" w:lineRule="exact"/>
              <w:jc w:val="right"/>
              <w:rPr>
                <w:rFonts w:ascii="宋体" w:hAnsi="宋体"/>
                <w:sz w:val="24"/>
              </w:rPr>
            </w:pPr>
            <w:r>
              <w:rPr>
                <w:rFonts w:hint="eastAsia" w:ascii="宋体" w:hAnsi="宋体"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161" w:type="dxa"/>
            <w:gridSpan w:val="2"/>
            <w:vAlign w:val="center"/>
          </w:tcPr>
          <w:p>
            <w:pPr>
              <w:spacing w:line="560" w:lineRule="exact"/>
              <w:jc w:val="center"/>
              <w:rPr>
                <w:rFonts w:ascii="宋体" w:hAnsi="宋体"/>
                <w:b/>
                <w:bCs/>
              </w:rPr>
            </w:pPr>
            <w:r>
              <w:rPr>
                <w:rFonts w:hint="eastAsia" w:ascii="宋体" w:hAnsi="宋体" w:cs="方正书宋_GBK"/>
                <w:b/>
                <w:bCs/>
              </w:rPr>
              <w:t>政府采购项目来源</w:t>
            </w:r>
          </w:p>
        </w:tc>
        <w:tc>
          <w:tcPr>
            <w:tcW w:w="549" w:type="dxa"/>
            <w:vMerge w:val="restart"/>
            <w:vAlign w:val="center"/>
          </w:tcPr>
          <w:p>
            <w:pPr>
              <w:spacing w:line="260" w:lineRule="exact"/>
              <w:jc w:val="center"/>
              <w:rPr>
                <w:rFonts w:ascii="宋体" w:hAnsi="宋体"/>
                <w:b/>
                <w:bCs/>
              </w:rPr>
            </w:pPr>
            <w:r>
              <w:rPr>
                <w:rFonts w:hint="eastAsia" w:ascii="宋体" w:hAnsi="宋体" w:cs="方正书宋_GBK"/>
                <w:b/>
                <w:bCs/>
              </w:rPr>
              <w:t>采购物品名称</w:t>
            </w:r>
          </w:p>
        </w:tc>
        <w:tc>
          <w:tcPr>
            <w:tcW w:w="873" w:type="dxa"/>
            <w:vMerge w:val="restart"/>
            <w:vAlign w:val="center"/>
          </w:tcPr>
          <w:p>
            <w:pPr>
              <w:spacing w:line="260" w:lineRule="exact"/>
              <w:jc w:val="center"/>
              <w:rPr>
                <w:rFonts w:ascii="宋体" w:hAnsi="宋体"/>
                <w:b/>
                <w:bCs/>
              </w:rPr>
            </w:pPr>
            <w:r>
              <w:rPr>
                <w:rFonts w:hint="eastAsia" w:ascii="宋体" w:hAnsi="宋体" w:cs="方正书宋_GBK"/>
                <w:b/>
                <w:bCs/>
              </w:rPr>
              <w:t>政府采购目录序号</w:t>
            </w:r>
          </w:p>
        </w:tc>
        <w:tc>
          <w:tcPr>
            <w:tcW w:w="549" w:type="dxa"/>
            <w:vMerge w:val="restart"/>
            <w:vAlign w:val="center"/>
          </w:tcPr>
          <w:p>
            <w:pPr>
              <w:spacing w:line="260" w:lineRule="exact"/>
              <w:jc w:val="center"/>
              <w:rPr>
                <w:rFonts w:ascii="宋体" w:hAnsi="宋体"/>
                <w:b/>
                <w:bCs/>
              </w:rPr>
            </w:pPr>
            <w:r>
              <w:rPr>
                <w:rFonts w:hint="eastAsia" w:ascii="宋体" w:hAnsi="宋体" w:cs="方正书宋_GBK"/>
                <w:b/>
                <w:bCs/>
              </w:rPr>
              <w:t>数量单位</w:t>
            </w:r>
          </w:p>
        </w:tc>
        <w:tc>
          <w:tcPr>
            <w:tcW w:w="549" w:type="dxa"/>
            <w:vMerge w:val="restart"/>
            <w:vAlign w:val="center"/>
          </w:tcPr>
          <w:p>
            <w:pPr>
              <w:spacing w:line="260" w:lineRule="exact"/>
              <w:jc w:val="center"/>
              <w:rPr>
                <w:rFonts w:ascii="宋体" w:hAnsi="宋体"/>
                <w:b/>
                <w:bCs/>
              </w:rPr>
            </w:pPr>
            <w:r>
              <w:rPr>
                <w:rFonts w:hint="eastAsia" w:ascii="宋体" w:hAnsi="宋体" w:cs="方正书宋_GBK"/>
                <w:b/>
                <w:bCs/>
              </w:rPr>
              <w:t>数量</w:t>
            </w:r>
          </w:p>
        </w:tc>
        <w:tc>
          <w:tcPr>
            <w:tcW w:w="564" w:type="dxa"/>
            <w:vMerge w:val="restart"/>
            <w:vAlign w:val="center"/>
          </w:tcPr>
          <w:p>
            <w:pPr>
              <w:spacing w:line="260" w:lineRule="exact"/>
              <w:jc w:val="center"/>
              <w:rPr>
                <w:rFonts w:ascii="宋体" w:hAnsi="宋体"/>
                <w:b/>
                <w:bCs/>
              </w:rPr>
            </w:pPr>
            <w:r>
              <w:rPr>
                <w:rFonts w:hint="eastAsia" w:ascii="宋体" w:hAnsi="宋体" w:cs="方正书宋_GBK"/>
                <w:b/>
                <w:bCs/>
              </w:rPr>
              <w:t>单价</w:t>
            </w:r>
          </w:p>
        </w:tc>
        <w:tc>
          <w:tcPr>
            <w:tcW w:w="3815" w:type="dxa"/>
            <w:gridSpan w:val="7"/>
            <w:vAlign w:val="center"/>
          </w:tcPr>
          <w:p>
            <w:pPr>
              <w:spacing w:line="260" w:lineRule="exact"/>
              <w:jc w:val="center"/>
              <w:rPr>
                <w:rFonts w:ascii="宋体" w:hAnsi="宋体"/>
                <w:b/>
                <w:bCs/>
              </w:rPr>
            </w:pPr>
            <w:r>
              <w:rPr>
                <w:rFonts w:hint="eastAsia" w:ascii="宋体" w:hAnsi="宋体"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494" w:type="dxa"/>
            <w:vMerge w:val="restart"/>
            <w:vAlign w:val="center"/>
          </w:tcPr>
          <w:p>
            <w:pPr>
              <w:spacing w:line="560" w:lineRule="exact"/>
              <w:jc w:val="center"/>
              <w:rPr>
                <w:rFonts w:ascii="宋体" w:hAnsi="宋体"/>
                <w:b/>
                <w:bCs/>
              </w:rPr>
            </w:pPr>
            <w:r>
              <w:rPr>
                <w:rFonts w:hint="eastAsia" w:ascii="宋体" w:hAnsi="宋体" w:cs="方正书宋_GBK"/>
                <w:b/>
                <w:bCs/>
              </w:rPr>
              <w:t>项目名称</w:t>
            </w:r>
          </w:p>
        </w:tc>
        <w:tc>
          <w:tcPr>
            <w:tcW w:w="667" w:type="dxa"/>
            <w:vMerge w:val="restart"/>
            <w:vAlign w:val="center"/>
          </w:tcPr>
          <w:p>
            <w:pPr>
              <w:spacing w:line="560" w:lineRule="exact"/>
              <w:jc w:val="center"/>
              <w:rPr>
                <w:rFonts w:ascii="宋体" w:hAnsi="宋体"/>
                <w:b/>
                <w:bCs/>
              </w:rPr>
            </w:pPr>
            <w:r>
              <w:rPr>
                <w:rFonts w:hint="eastAsia" w:ascii="宋体" w:hAnsi="宋体" w:cs="方正书宋_GBK"/>
                <w:b/>
                <w:bCs/>
              </w:rPr>
              <w:t>预算资金</w:t>
            </w:r>
          </w:p>
        </w:tc>
        <w:tc>
          <w:tcPr>
            <w:tcW w:w="549" w:type="dxa"/>
            <w:vMerge w:val="continue"/>
            <w:vAlign w:val="center"/>
          </w:tcPr>
          <w:p>
            <w:pPr>
              <w:spacing w:line="260" w:lineRule="exact"/>
              <w:jc w:val="left"/>
              <w:outlineLvl w:val="0"/>
              <w:rPr>
                <w:rFonts w:ascii="宋体" w:hAnsi="宋体"/>
              </w:rPr>
            </w:pPr>
          </w:p>
        </w:tc>
        <w:tc>
          <w:tcPr>
            <w:tcW w:w="873"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64" w:type="dxa"/>
            <w:vMerge w:val="continue"/>
            <w:vAlign w:val="center"/>
          </w:tcPr>
          <w:p>
            <w:pPr>
              <w:spacing w:line="260" w:lineRule="exact"/>
              <w:jc w:val="left"/>
              <w:outlineLvl w:val="0"/>
              <w:rPr>
                <w:rFonts w:ascii="宋体" w:hAnsi="宋体"/>
              </w:rPr>
            </w:pPr>
          </w:p>
        </w:tc>
        <w:tc>
          <w:tcPr>
            <w:tcW w:w="562" w:type="dxa"/>
            <w:vMerge w:val="restart"/>
            <w:vAlign w:val="center"/>
          </w:tcPr>
          <w:p>
            <w:pPr>
              <w:spacing w:line="260" w:lineRule="exact"/>
              <w:jc w:val="center"/>
              <w:rPr>
                <w:rFonts w:ascii="宋体" w:hAnsi="宋体"/>
                <w:b/>
                <w:bCs/>
              </w:rPr>
            </w:pPr>
            <w:r>
              <w:rPr>
                <w:rFonts w:hint="eastAsia" w:ascii="宋体" w:hAnsi="宋体" w:cs="方正书宋_GBK"/>
                <w:b/>
                <w:bCs/>
              </w:rPr>
              <w:t>总计</w:t>
            </w:r>
          </w:p>
        </w:tc>
        <w:tc>
          <w:tcPr>
            <w:tcW w:w="2737" w:type="dxa"/>
            <w:gridSpan w:val="5"/>
            <w:vAlign w:val="center"/>
          </w:tcPr>
          <w:p>
            <w:pPr>
              <w:spacing w:line="260" w:lineRule="exact"/>
              <w:jc w:val="center"/>
              <w:rPr>
                <w:rFonts w:ascii="宋体" w:hAnsi="宋体"/>
                <w:b/>
                <w:bCs/>
              </w:rPr>
            </w:pPr>
            <w:r>
              <w:rPr>
                <w:rFonts w:hint="eastAsia" w:ascii="宋体" w:hAnsi="宋体" w:cs="方正书宋_GBK"/>
                <w:b/>
                <w:bCs/>
              </w:rPr>
              <w:t>当年部门预算安排资金</w:t>
            </w:r>
          </w:p>
        </w:tc>
        <w:tc>
          <w:tcPr>
            <w:tcW w:w="516" w:type="dxa"/>
            <w:vMerge w:val="restart"/>
            <w:vAlign w:val="center"/>
          </w:tcPr>
          <w:p>
            <w:pPr>
              <w:spacing w:line="360" w:lineRule="exact"/>
              <w:jc w:val="center"/>
              <w:rPr>
                <w:rFonts w:ascii="宋体" w:hAnsi="宋体"/>
                <w:b/>
                <w:bCs/>
              </w:rPr>
            </w:pPr>
            <w:r>
              <w:rPr>
                <w:rFonts w:hint="eastAsia" w:ascii="宋体" w:hAnsi="宋体"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1494" w:type="dxa"/>
            <w:vMerge w:val="continue"/>
            <w:vAlign w:val="center"/>
          </w:tcPr>
          <w:p>
            <w:pPr>
              <w:spacing w:line="560" w:lineRule="exact"/>
              <w:jc w:val="left"/>
              <w:outlineLvl w:val="0"/>
              <w:rPr>
                <w:rFonts w:ascii="宋体" w:hAnsi="宋体"/>
              </w:rPr>
            </w:pPr>
          </w:p>
        </w:tc>
        <w:tc>
          <w:tcPr>
            <w:tcW w:w="667" w:type="dxa"/>
            <w:vMerge w:val="continue"/>
            <w:vAlign w:val="center"/>
          </w:tcPr>
          <w:p>
            <w:pPr>
              <w:spacing w:line="5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873"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49" w:type="dxa"/>
            <w:vMerge w:val="continue"/>
            <w:vAlign w:val="center"/>
          </w:tcPr>
          <w:p>
            <w:pPr>
              <w:spacing w:line="260" w:lineRule="exact"/>
              <w:jc w:val="left"/>
              <w:outlineLvl w:val="0"/>
              <w:rPr>
                <w:rFonts w:ascii="宋体" w:hAnsi="宋体"/>
              </w:rPr>
            </w:pPr>
          </w:p>
        </w:tc>
        <w:tc>
          <w:tcPr>
            <w:tcW w:w="564" w:type="dxa"/>
            <w:vMerge w:val="continue"/>
            <w:vAlign w:val="center"/>
          </w:tcPr>
          <w:p>
            <w:pPr>
              <w:spacing w:line="260" w:lineRule="exact"/>
              <w:jc w:val="left"/>
              <w:outlineLvl w:val="0"/>
              <w:rPr>
                <w:rFonts w:ascii="宋体" w:hAnsi="宋体"/>
              </w:rPr>
            </w:pPr>
          </w:p>
        </w:tc>
        <w:tc>
          <w:tcPr>
            <w:tcW w:w="562" w:type="dxa"/>
            <w:vMerge w:val="continue"/>
            <w:vAlign w:val="center"/>
          </w:tcPr>
          <w:p>
            <w:pPr>
              <w:spacing w:line="260" w:lineRule="exact"/>
              <w:jc w:val="left"/>
              <w:outlineLvl w:val="0"/>
              <w:rPr>
                <w:rFonts w:ascii="宋体" w:hAnsi="宋体"/>
              </w:rPr>
            </w:pPr>
          </w:p>
        </w:tc>
        <w:tc>
          <w:tcPr>
            <w:tcW w:w="562" w:type="dxa"/>
            <w:vAlign w:val="center"/>
          </w:tcPr>
          <w:p>
            <w:pPr>
              <w:spacing w:line="260" w:lineRule="exact"/>
              <w:jc w:val="center"/>
              <w:rPr>
                <w:rFonts w:ascii="宋体" w:hAnsi="宋体"/>
                <w:b/>
                <w:bCs/>
              </w:rPr>
            </w:pPr>
            <w:r>
              <w:rPr>
                <w:rFonts w:hint="eastAsia" w:ascii="宋体" w:hAnsi="宋体" w:cs="方正书宋_GBK"/>
                <w:b/>
                <w:bCs/>
              </w:rPr>
              <w:t>合计</w:t>
            </w:r>
          </w:p>
        </w:tc>
        <w:tc>
          <w:tcPr>
            <w:tcW w:w="562" w:type="dxa"/>
            <w:vAlign w:val="center"/>
          </w:tcPr>
          <w:p>
            <w:pPr>
              <w:spacing w:line="260" w:lineRule="exact"/>
              <w:jc w:val="center"/>
              <w:rPr>
                <w:rFonts w:ascii="宋体" w:hAnsi="宋体"/>
                <w:b/>
                <w:bCs/>
              </w:rPr>
            </w:pPr>
            <w:r>
              <w:rPr>
                <w:rFonts w:hint="eastAsia" w:ascii="宋体" w:hAnsi="宋体" w:cs="方正书宋_GBK"/>
                <w:b/>
                <w:bCs/>
              </w:rPr>
              <w:t>一般公共预算拨款</w:t>
            </w:r>
          </w:p>
        </w:tc>
        <w:tc>
          <w:tcPr>
            <w:tcW w:w="511" w:type="dxa"/>
            <w:vAlign w:val="center"/>
          </w:tcPr>
          <w:p>
            <w:pPr>
              <w:spacing w:line="260" w:lineRule="exact"/>
              <w:jc w:val="center"/>
              <w:rPr>
                <w:rFonts w:ascii="宋体" w:hAnsi="宋体"/>
                <w:b/>
                <w:bCs/>
              </w:rPr>
            </w:pPr>
            <w:r>
              <w:rPr>
                <w:rFonts w:hint="eastAsia" w:ascii="宋体" w:hAnsi="宋体" w:cs="方正书宋_GBK"/>
                <w:b/>
                <w:bCs/>
              </w:rPr>
              <w:t>基金预算拨款</w:t>
            </w:r>
          </w:p>
        </w:tc>
        <w:tc>
          <w:tcPr>
            <w:tcW w:w="551" w:type="dxa"/>
            <w:vAlign w:val="center"/>
          </w:tcPr>
          <w:p>
            <w:pPr>
              <w:spacing w:line="260" w:lineRule="exact"/>
              <w:jc w:val="center"/>
              <w:rPr>
                <w:rFonts w:ascii="宋体" w:hAnsi="宋体"/>
                <w:b/>
                <w:bCs/>
              </w:rPr>
            </w:pPr>
            <w:r>
              <w:rPr>
                <w:rFonts w:hint="eastAsia" w:ascii="宋体" w:hAnsi="宋体" w:cs="方正书宋_GBK"/>
                <w:b/>
                <w:bCs/>
              </w:rPr>
              <w:t>财政专户核拨</w:t>
            </w:r>
          </w:p>
        </w:tc>
        <w:tc>
          <w:tcPr>
            <w:tcW w:w="551" w:type="dxa"/>
            <w:vAlign w:val="center"/>
          </w:tcPr>
          <w:p>
            <w:pPr>
              <w:spacing w:line="260" w:lineRule="exact"/>
              <w:jc w:val="center"/>
              <w:rPr>
                <w:rFonts w:ascii="宋体" w:hAnsi="宋体"/>
                <w:b/>
                <w:bCs/>
              </w:rPr>
            </w:pPr>
            <w:r>
              <w:rPr>
                <w:rFonts w:hint="eastAsia" w:ascii="宋体" w:hAnsi="宋体" w:cs="方正书宋_GBK"/>
                <w:b/>
                <w:bCs/>
              </w:rPr>
              <w:t>其他来源收入</w:t>
            </w:r>
          </w:p>
        </w:tc>
        <w:tc>
          <w:tcPr>
            <w:tcW w:w="516" w:type="dxa"/>
            <w:vMerge w:val="continue"/>
            <w:vAlign w:val="center"/>
          </w:tcPr>
          <w:p>
            <w:pPr>
              <w:spacing w:line="560" w:lineRule="exact"/>
              <w:jc w:val="left"/>
              <w:outlineLvl w:val="0"/>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494" w:type="dxa"/>
            <w:vAlign w:val="center"/>
          </w:tcPr>
          <w:p>
            <w:pPr>
              <w:spacing w:line="560" w:lineRule="exact"/>
              <w:jc w:val="center"/>
              <w:rPr>
                <w:rFonts w:ascii="宋体" w:hAnsi="宋体"/>
                <w:b/>
                <w:bCs/>
              </w:rPr>
            </w:pPr>
            <w:r>
              <w:rPr>
                <w:rFonts w:hint="eastAsia" w:ascii="宋体" w:hAnsi="宋体" w:cs="方正书宋_GBK"/>
                <w:b/>
                <w:bCs/>
              </w:rPr>
              <w:t>合　计</w:t>
            </w:r>
          </w:p>
        </w:tc>
        <w:tc>
          <w:tcPr>
            <w:tcW w:w="667" w:type="dxa"/>
            <w:vAlign w:val="center"/>
          </w:tcPr>
          <w:p>
            <w:pPr>
              <w:spacing w:line="560" w:lineRule="exact"/>
              <w:jc w:val="right"/>
              <w:rPr>
                <w:rFonts w:ascii="宋体" w:hAnsi="宋体"/>
                <w:b/>
                <w:bCs/>
              </w:rPr>
            </w:pPr>
            <w:r>
              <w:rPr>
                <w:rFonts w:hint="eastAsia" w:ascii="宋体" w:hAnsi="宋体"/>
                <w:b/>
                <w:bCs/>
              </w:rPr>
              <w:t>0.2</w:t>
            </w:r>
          </w:p>
        </w:tc>
        <w:tc>
          <w:tcPr>
            <w:tcW w:w="549" w:type="dxa"/>
            <w:vAlign w:val="center"/>
          </w:tcPr>
          <w:p>
            <w:pPr>
              <w:spacing w:line="560" w:lineRule="exact"/>
              <w:jc w:val="left"/>
              <w:rPr>
                <w:rFonts w:ascii="宋体" w:hAnsi="宋体"/>
                <w:b/>
                <w:bCs/>
              </w:rPr>
            </w:pPr>
          </w:p>
        </w:tc>
        <w:tc>
          <w:tcPr>
            <w:tcW w:w="873" w:type="dxa"/>
            <w:vAlign w:val="center"/>
          </w:tcPr>
          <w:p>
            <w:pPr>
              <w:spacing w:line="560" w:lineRule="exact"/>
              <w:jc w:val="left"/>
              <w:rPr>
                <w:rFonts w:ascii="宋体" w:hAnsi="宋体"/>
                <w:b/>
                <w:bCs/>
              </w:rPr>
            </w:pPr>
          </w:p>
        </w:tc>
        <w:tc>
          <w:tcPr>
            <w:tcW w:w="549" w:type="dxa"/>
            <w:vAlign w:val="center"/>
          </w:tcPr>
          <w:p>
            <w:pPr>
              <w:spacing w:line="560" w:lineRule="exact"/>
              <w:jc w:val="left"/>
              <w:rPr>
                <w:rFonts w:ascii="宋体" w:hAnsi="宋体"/>
                <w:b/>
                <w:bCs/>
              </w:rPr>
            </w:pPr>
          </w:p>
        </w:tc>
        <w:tc>
          <w:tcPr>
            <w:tcW w:w="549" w:type="dxa"/>
            <w:vAlign w:val="center"/>
          </w:tcPr>
          <w:p>
            <w:pPr>
              <w:spacing w:line="560" w:lineRule="exact"/>
              <w:jc w:val="right"/>
              <w:rPr>
                <w:rFonts w:ascii="宋体" w:hAnsi="宋体"/>
                <w:b/>
                <w:bCs/>
              </w:rPr>
            </w:pPr>
            <w:r>
              <w:rPr>
                <w:rFonts w:hint="eastAsia" w:ascii="宋体" w:hAnsi="宋体"/>
                <w:b/>
                <w:bCs/>
              </w:rPr>
              <w:t>1</w:t>
            </w:r>
          </w:p>
        </w:tc>
        <w:tc>
          <w:tcPr>
            <w:tcW w:w="564"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11" w:type="dxa"/>
            <w:vAlign w:val="center"/>
          </w:tcPr>
          <w:p>
            <w:pPr>
              <w:spacing w:line="560" w:lineRule="exact"/>
              <w:jc w:val="right"/>
              <w:rPr>
                <w:rFonts w:ascii="宋体" w:hAnsi="宋体"/>
                <w:b/>
                <w:bCs/>
              </w:rPr>
            </w:pPr>
          </w:p>
        </w:tc>
        <w:tc>
          <w:tcPr>
            <w:tcW w:w="551" w:type="dxa"/>
            <w:vAlign w:val="center"/>
          </w:tcPr>
          <w:p>
            <w:pPr>
              <w:spacing w:line="560" w:lineRule="exact"/>
              <w:jc w:val="right"/>
              <w:rPr>
                <w:rFonts w:ascii="宋体" w:hAnsi="宋体"/>
                <w:b/>
                <w:bCs/>
              </w:rPr>
            </w:pPr>
          </w:p>
        </w:tc>
        <w:tc>
          <w:tcPr>
            <w:tcW w:w="551" w:type="dxa"/>
            <w:vAlign w:val="center"/>
          </w:tcPr>
          <w:p>
            <w:pPr>
              <w:spacing w:line="560" w:lineRule="exact"/>
              <w:jc w:val="right"/>
              <w:rPr>
                <w:rFonts w:ascii="宋体" w:hAnsi="宋体"/>
                <w:b/>
                <w:bCs/>
              </w:rPr>
            </w:pPr>
          </w:p>
        </w:tc>
        <w:tc>
          <w:tcPr>
            <w:tcW w:w="516" w:type="dxa"/>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494" w:type="dxa"/>
            <w:vAlign w:val="center"/>
          </w:tcPr>
          <w:p>
            <w:pPr>
              <w:spacing w:line="560" w:lineRule="exact"/>
              <w:rPr>
                <w:rFonts w:ascii="宋体" w:hAnsi="宋体"/>
                <w:b/>
                <w:bCs/>
              </w:rPr>
            </w:pPr>
          </w:p>
        </w:tc>
        <w:tc>
          <w:tcPr>
            <w:tcW w:w="667" w:type="dxa"/>
            <w:vAlign w:val="center"/>
          </w:tcPr>
          <w:p>
            <w:pPr>
              <w:spacing w:line="560" w:lineRule="exact"/>
              <w:jc w:val="right"/>
              <w:rPr>
                <w:rFonts w:ascii="宋体" w:hAnsi="宋体"/>
                <w:b/>
                <w:bCs/>
              </w:rPr>
            </w:pPr>
            <w:r>
              <w:rPr>
                <w:rFonts w:hint="eastAsia" w:ascii="宋体" w:hAnsi="宋体"/>
                <w:b/>
                <w:bCs/>
              </w:rPr>
              <w:t>0.2</w:t>
            </w:r>
          </w:p>
        </w:tc>
        <w:tc>
          <w:tcPr>
            <w:tcW w:w="549" w:type="dxa"/>
            <w:vAlign w:val="center"/>
          </w:tcPr>
          <w:p>
            <w:pPr>
              <w:spacing w:line="560" w:lineRule="exact"/>
              <w:jc w:val="left"/>
              <w:rPr>
                <w:rFonts w:ascii="宋体" w:hAnsi="宋体"/>
                <w:b/>
                <w:bCs/>
              </w:rPr>
            </w:pPr>
            <w:r>
              <w:rPr>
                <w:rFonts w:hint="eastAsia" w:ascii="宋体" w:hAnsi="宋体"/>
                <w:b/>
                <w:bCs/>
              </w:rPr>
              <w:t>打印机</w:t>
            </w:r>
          </w:p>
        </w:tc>
        <w:tc>
          <w:tcPr>
            <w:tcW w:w="873" w:type="dxa"/>
            <w:vAlign w:val="center"/>
          </w:tcPr>
          <w:p>
            <w:pPr>
              <w:spacing w:line="560" w:lineRule="exact"/>
              <w:jc w:val="left"/>
              <w:rPr>
                <w:rFonts w:ascii="宋体" w:hAnsi="宋体"/>
                <w:b/>
                <w:bCs/>
              </w:rPr>
            </w:pPr>
          </w:p>
        </w:tc>
        <w:tc>
          <w:tcPr>
            <w:tcW w:w="549" w:type="dxa"/>
            <w:vAlign w:val="center"/>
          </w:tcPr>
          <w:p>
            <w:pPr>
              <w:spacing w:line="560" w:lineRule="exact"/>
              <w:jc w:val="left"/>
              <w:rPr>
                <w:rFonts w:ascii="宋体" w:hAnsi="宋体"/>
                <w:b/>
                <w:bCs/>
              </w:rPr>
            </w:pPr>
            <w:r>
              <w:rPr>
                <w:rFonts w:hint="eastAsia" w:ascii="宋体" w:hAnsi="宋体"/>
                <w:b/>
                <w:bCs/>
              </w:rPr>
              <w:t>台</w:t>
            </w:r>
          </w:p>
        </w:tc>
        <w:tc>
          <w:tcPr>
            <w:tcW w:w="549" w:type="dxa"/>
            <w:vAlign w:val="center"/>
          </w:tcPr>
          <w:p>
            <w:pPr>
              <w:spacing w:line="560" w:lineRule="exact"/>
              <w:jc w:val="right"/>
              <w:rPr>
                <w:rFonts w:ascii="宋体" w:hAnsi="宋体"/>
                <w:b/>
                <w:bCs/>
              </w:rPr>
            </w:pPr>
            <w:r>
              <w:rPr>
                <w:rFonts w:hint="eastAsia" w:ascii="宋体" w:hAnsi="宋体"/>
                <w:b/>
                <w:bCs/>
              </w:rPr>
              <w:t>1</w:t>
            </w:r>
          </w:p>
        </w:tc>
        <w:tc>
          <w:tcPr>
            <w:tcW w:w="564"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62" w:type="dxa"/>
            <w:vAlign w:val="center"/>
          </w:tcPr>
          <w:p>
            <w:pPr>
              <w:spacing w:line="560" w:lineRule="exact"/>
              <w:jc w:val="right"/>
              <w:rPr>
                <w:rFonts w:ascii="宋体" w:hAnsi="宋体"/>
                <w:b/>
                <w:bCs/>
              </w:rPr>
            </w:pPr>
            <w:r>
              <w:rPr>
                <w:rFonts w:hint="eastAsia" w:ascii="宋体" w:hAnsi="宋体"/>
                <w:b/>
                <w:bCs/>
              </w:rPr>
              <w:t>0.2</w:t>
            </w:r>
          </w:p>
        </w:tc>
        <w:tc>
          <w:tcPr>
            <w:tcW w:w="511" w:type="dxa"/>
            <w:vAlign w:val="center"/>
          </w:tcPr>
          <w:p>
            <w:pPr>
              <w:spacing w:line="560" w:lineRule="exact"/>
              <w:jc w:val="right"/>
              <w:rPr>
                <w:rFonts w:ascii="宋体" w:hAnsi="宋体"/>
                <w:b/>
                <w:bCs/>
              </w:rPr>
            </w:pPr>
          </w:p>
        </w:tc>
        <w:tc>
          <w:tcPr>
            <w:tcW w:w="551" w:type="dxa"/>
            <w:vAlign w:val="center"/>
          </w:tcPr>
          <w:p>
            <w:pPr>
              <w:spacing w:line="560" w:lineRule="exact"/>
              <w:jc w:val="right"/>
              <w:rPr>
                <w:rFonts w:ascii="宋体" w:hAnsi="宋体"/>
                <w:b/>
                <w:bCs/>
              </w:rPr>
            </w:pPr>
          </w:p>
        </w:tc>
        <w:tc>
          <w:tcPr>
            <w:tcW w:w="551" w:type="dxa"/>
            <w:vAlign w:val="center"/>
          </w:tcPr>
          <w:p>
            <w:pPr>
              <w:spacing w:line="560" w:lineRule="exact"/>
              <w:jc w:val="right"/>
              <w:rPr>
                <w:rFonts w:ascii="宋体" w:hAnsi="宋体"/>
                <w:b/>
                <w:bCs/>
              </w:rPr>
            </w:pPr>
          </w:p>
        </w:tc>
        <w:tc>
          <w:tcPr>
            <w:tcW w:w="516" w:type="dxa"/>
            <w:vAlign w:val="center"/>
          </w:tcPr>
          <w:p>
            <w:pPr>
              <w:spacing w:line="560" w:lineRule="exact"/>
              <w:jc w:val="right"/>
              <w:rPr>
                <w:rFonts w:ascii="宋体" w:hAnsi="宋体"/>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494" w:type="dxa"/>
            <w:vAlign w:val="center"/>
          </w:tcPr>
          <w:p>
            <w:pPr>
              <w:spacing w:line="560" w:lineRule="exact"/>
              <w:jc w:val="left"/>
              <w:rPr>
                <w:rFonts w:ascii="宋体" w:hAnsi="宋体"/>
              </w:rPr>
            </w:pPr>
          </w:p>
        </w:tc>
        <w:tc>
          <w:tcPr>
            <w:tcW w:w="667" w:type="dxa"/>
            <w:vAlign w:val="center"/>
          </w:tcPr>
          <w:p>
            <w:pPr>
              <w:spacing w:line="560" w:lineRule="exact"/>
              <w:jc w:val="right"/>
              <w:rPr>
                <w:rFonts w:ascii="宋体" w:hAnsi="宋体"/>
              </w:rPr>
            </w:pPr>
          </w:p>
        </w:tc>
        <w:tc>
          <w:tcPr>
            <w:tcW w:w="549" w:type="dxa"/>
            <w:vAlign w:val="center"/>
          </w:tcPr>
          <w:p>
            <w:pPr>
              <w:spacing w:line="560" w:lineRule="exact"/>
              <w:jc w:val="left"/>
              <w:rPr>
                <w:rFonts w:ascii="宋体" w:hAnsi="宋体"/>
              </w:rPr>
            </w:pPr>
          </w:p>
        </w:tc>
        <w:tc>
          <w:tcPr>
            <w:tcW w:w="873" w:type="dxa"/>
            <w:vAlign w:val="center"/>
          </w:tcPr>
          <w:p>
            <w:pPr>
              <w:spacing w:line="560" w:lineRule="exact"/>
              <w:jc w:val="left"/>
              <w:rPr>
                <w:rFonts w:ascii="宋体" w:hAnsi="宋体"/>
              </w:rPr>
            </w:pPr>
          </w:p>
        </w:tc>
        <w:tc>
          <w:tcPr>
            <w:tcW w:w="549" w:type="dxa"/>
            <w:vAlign w:val="center"/>
          </w:tcPr>
          <w:p>
            <w:pPr>
              <w:spacing w:line="560" w:lineRule="exact"/>
              <w:jc w:val="left"/>
              <w:rPr>
                <w:rFonts w:ascii="宋体" w:hAnsi="宋体"/>
              </w:rPr>
            </w:pPr>
          </w:p>
        </w:tc>
        <w:tc>
          <w:tcPr>
            <w:tcW w:w="549" w:type="dxa"/>
            <w:vAlign w:val="center"/>
          </w:tcPr>
          <w:p>
            <w:pPr>
              <w:spacing w:line="560" w:lineRule="exact"/>
              <w:jc w:val="right"/>
              <w:rPr>
                <w:rFonts w:ascii="宋体" w:hAnsi="宋体"/>
              </w:rPr>
            </w:pPr>
          </w:p>
        </w:tc>
        <w:tc>
          <w:tcPr>
            <w:tcW w:w="564"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11" w:type="dxa"/>
            <w:vAlign w:val="center"/>
          </w:tcPr>
          <w:p>
            <w:pPr>
              <w:spacing w:line="560" w:lineRule="exact"/>
              <w:jc w:val="right"/>
              <w:rPr>
                <w:rFonts w:ascii="宋体" w:hAnsi="宋体"/>
              </w:rPr>
            </w:pPr>
          </w:p>
        </w:tc>
        <w:tc>
          <w:tcPr>
            <w:tcW w:w="551" w:type="dxa"/>
            <w:vAlign w:val="center"/>
          </w:tcPr>
          <w:p>
            <w:pPr>
              <w:spacing w:line="560" w:lineRule="exact"/>
              <w:jc w:val="right"/>
              <w:rPr>
                <w:rFonts w:ascii="宋体" w:hAnsi="宋体"/>
              </w:rPr>
            </w:pPr>
          </w:p>
        </w:tc>
        <w:tc>
          <w:tcPr>
            <w:tcW w:w="551" w:type="dxa"/>
            <w:vAlign w:val="center"/>
          </w:tcPr>
          <w:p>
            <w:pPr>
              <w:spacing w:line="560" w:lineRule="exact"/>
              <w:jc w:val="right"/>
              <w:rPr>
                <w:rFonts w:ascii="宋体" w:hAnsi="宋体"/>
              </w:rPr>
            </w:pPr>
          </w:p>
        </w:tc>
        <w:tc>
          <w:tcPr>
            <w:tcW w:w="516" w:type="dxa"/>
            <w:vAlign w:val="center"/>
          </w:tcPr>
          <w:p>
            <w:pPr>
              <w:spacing w:line="560" w:lineRule="exact"/>
              <w:jc w:val="right"/>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1494" w:type="dxa"/>
            <w:vAlign w:val="center"/>
          </w:tcPr>
          <w:p>
            <w:pPr>
              <w:spacing w:line="560" w:lineRule="exact"/>
              <w:jc w:val="left"/>
              <w:rPr>
                <w:rFonts w:ascii="宋体" w:hAnsi="宋体"/>
              </w:rPr>
            </w:pPr>
          </w:p>
        </w:tc>
        <w:tc>
          <w:tcPr>
            <w:tcW w:w="667" w:type="dxa"/>
            <w:vAlign w:val="center"/>
          </w:tcPr>
          <w:p>
            <w:pPr>
              <w:spacing w:line="560" w:lineRule="exact"/>
              <w:jc w:val="right"/>
              <w:rPr>
                <w:rFonts w:ascii="宋体" w:hAnsi="宋体"/>
              </w:rPr>
            </w:pPr>
          </w:p>
        </w:tc>
        <w:tc>
          <w:tcPr>
            <w:tcW w:w="549" w:type="dxa"/>
            <w:vAlign w:val="center"/>
          </w:tcPr>
          <w:p>
            <w:pPr>
              <w:spacing w:line="560" w:lineRule="exact"/>
              <w:jc w:val="left"/>
              <w:rPr>
                <w:rFonts w:ascii="宋体" w:hAnsi="宋体"/>
              </w:rPr>
            </w:pPr>
          </w:p>
        </w:tc>
        <w:tc>
          <w:tcPr>
            <w:tcW w:w="873" w:type="dxa"/>
            <w:vAlign w:val="center"/>
          </w:tcPr>
          <w:p>
            <w:pPr>
              <w:spacing w:line="560" w:lineRule="exact"/>
              <w:jc w:val="left"/>
              <w:rPr>
                <w:rFonts w:ascii="宋体" w:hAnsi="宋体"/>
              </w:rPr>
            </w:pPr>
          </w:p>
        </w:tc>
        <w:tc>
          <w:tcPr>
            <w:tcW w:w="549" w:type="dxa"/>
            <w:vAlign w:val="center"/>
          </w:tcPr>
          <w:p>
            <w:pPr>
              <w:spacing w:line="560" w:lineRule="exact"/>
              <w:jc w:val="left"/>
              <w:rPr>
                <w:rFonts w:ascii="宋体" w:hAnsi="宋体"/>
              </w:rPr>
            </w:pPr>
          </w:p>
        </w:tc>
        <w:tc>
          <w:tcPr>
            <w:tcW w:w="549" w:type="dxa"/>
            <w:vAlign w:val="center"/>
          </w:tcPr>
          <w:p>
            <w:pPr>
              <w:spacing w:line="560" w:lineRule="exact"/>
              <w:jc w:val="right"/>
              <w:rPr>
                <w:rFonts w:ascii="宋体" w:hAnsi="宋体"/>
              </w:rPr>
            </w:pPr>
          </w:p>
        </w:tc>
        <w:tc>
          <w:tcPr>
            <w:tcW w:w="564"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62" w:type="dxa"/>
            <w:vAlign w:val="center"/>
          </w:tcPr>
          <w:p>
            <w:pPr>
              <w:spacing w:line="560" w:lineRule="exact"/>
              <w:jc w:val="right"/>
              <w:rPr>
                <w:rFonts w:ascii="宋体" w:hAnsi="宋体"/>
              </w:rPr>
            </w:pPr>
          </w:p>
        </w:tc>
        <w:tc>
          <w:tcPr>
            <w:tcW w:w="511" w:type="dxa"/>
            <w:vAlign w:val="center"/>
          </w:tcPr>
          <w:p>
            <w:pPr>
              <w:spacing w:line="560" w:lineRule="exact"/>
              <w:jc w:val="right"/>
              <w:rPr>
                <w:rFonts w:ascii="宋体" w:hAnsi="宋体"/>
              </w:rPr>
            </w:pPr>
          </w:p>
        </w:tc>
        <w:tc>
          <w:tcPr>
            <w:tcW w:w="551" w:type="dxa"/>
            <w:vAlign w:val="center"/>
          </w:tcPr>
          <w:p>
            <w:pPr>
              <w:spacing w:line="560" w:lineRule="exact"/>
              <w:jc w:val="right"/>
              <w:rPr>
                <w:rFonts w:ascii="宋体" w:hAnsi="宋体"/>
              </w:rPr>
            </w:pPr>
          </w:p>
        </w:tc>
        <w:tc>
          <w:tcPr>
            <w:tcW w:w="551" w:type="dxa"/>
            <w:vAlign w:val="center"/>
          </w:tcPr>
          <w:p>
            <w:pPr>
              <w:spacing w:line="560" w:lineRule="exact"/>
              <w:jc w:val="right"/>
              <w:rPr>
                <w:rFonts w:ascii="宋体" w:hAnsi="宋体"/>
              </w:rPr>
            </w:pPr>
          </w:p>
        </w:tc>
        <w:tc>
          <w:tcPr>
            <w:tcW w:w="516" w:type="dxa"/>
            <w:vAlign w:val="center"/>
          </w:tcPr>
          <w:p>
            <w:pPr>
              <w:spacing w:line="560" w:lineRule="exact"/>
              <w:jc w:val="right"/>
              <w:rPr>
                <w:rFonts w:ascii="宋体" w:hAnsi="宋体"/>
              </w:rPr>
            </w:pPr>
          </w:p>
        </w:tc>
      </w:tr>
    </w:tbl>
    <w:p>
      <w:pPr>
        <w:widowControl/>
        <w:spacing w:line="360" w:lineRule="auto"/>
        <w:ind w:firstLine="880" w:firstLineChars="200"/>
        <w:jc w:val="left"/>
        <w:rPr>
          <w:rFonts w:ascii="仿宋" w:hAnsi="仿宋" w:eastAsia="仿宋" w:cs="仿宋"/>
          <w:sz w:val="44"/>
          <w:szCs w:val="44"/>
        </w:rPr>
      </w:pPr>
    </w:p>
    <w:p>
      <w:pPr>
        <w:pStyle w:val="5"/>
        <w:widowControl/>
        <w:spacing w:before="100" w:after="100" w:line="360" w:lineRule="auto"/>
        <w:ind w:firstLine="643" w:firstLineChars="200"/>
        <w:jc w:val="left"/>
        <w:rPr>
          <w:rFonts w:ascii="Calibri" w:hAnsi="Calibri" w:eastAsia="仿宋_GB2312" w:cs="Calibri"/>
          <w:b/>
          <w:kern w:val="0"/>
          <w:sz w:val="32"/>
          <w:szCs w:val="32"/>
        </w:rPr>
      </w:pPr>
      <w:r>
        <w:rPr>
          <w:rFonts w:hint="eastAsia" w:ascii="黑体" w:hAnsi="黑体" w:eastAsia="黑体" w:cs="黑体"/>
          <w:b/>
          <w:kern w:val="0"/>
          <w:sz w:val="32"/>
          <w:szCs w:val="32"/>
        </w:rPr>
        <w:t>七</w:t>
      </w:r>
      <w:r>
        <w:rPr>
          <w:rFonts w:hint="eastAsia" w:ascii="Calibri" w:hAnsi="Calibri" w:eastAsia="仿宋_GB2312" w:cs="Calibri"/>
          <w:b/>
          <w:kern w:val="0"/>
          <w:sz w:val="32"/>
          <w:szCs w:val="32"/>
        </w:rPr>
        <w:t>、</w:t>
      </w:r>
      <w:r>
        <w:rPr>
          <w:rFonts w:hint="eastAsia" w:ascii="黑体" w:hAnsi="黑体" w:eastAsia="黑体" w:cs="黑体"/>
          <w:b/>
          <w:kern w:val="0"/>
          <w:sz w:val="32"/>
          <w:szCs w:val="32"/>
        </w:rPr>
        <w:t>国有资产情况的说明</w:t>
      </w:r>
    </w:p>
    <w:p>
      <w:pPr>
        <w:pStyle w:val="5"/>
        <w:widowControl/>
        <w:spacing w:before="100" w:after="100" w:line="360" w:lineRule="auto"/>
        <w:ind w:firstLine="640" w:firstLineChars="200"/>
        <w:jc w:val="left"/>
        <w:rPr>
          <w:rFonts w:ascii="仿宋_GB2312" w:hAnsi="Calibri" w:eastAsia="仿宋_GB2312" w:cs="仿宋_GB2312"/>
          <w:kern w:val="0"/>
          <w:sz w:val="32"/>
          <w:szCs w:val="32"/>
        </w:rPr>
      </w:pPr>
      <w:r>
        <w:rPr>
          <w:rFonts w:ascii="仿宋_GB2312" w:hAnsi="宋体" w:eastAsia="仿宋_GB2312" w:cs="宋体"/>
          <w:color w:val="333333"/>
          <w:kern w:val="0"/>
          <w:sz w:val="32"/>
          <w:szCs w:val="32"/>
        </w:rPr>
        <w:t>截止上年</w:t>
      </w:r>
      <w:r>
        <w:rPr>
          <w:rFonts w:ascii="仿宋_GB2312" w:hAnsi="Calibri" w:eastAsia="仿宋_GB2312" w:cs="仿宋_GB2312"/>
          <w:kern w:val="0"/>
          <w:sz w:val="32"/>
          <w:szCs w:val="32"/>
        </w:rPr>
        <w:t>末固定资产帐面结余</w:t>
      </w:r>
      <w:r>
        <w:rPr>
          <w:rFonts w:hint="eastAsia" w:ascii="仿宋_GB2312" w:hAnsi="Calibri" w:eastAsia="仿宋_GB2312" w:cs="仿宋_GB2312"/>
          <w:kern w:val="0"/>
          <w:sz w:val="32"/>
          <w:szCs w:val="32"/>
        </w:rPr>
        <w:t>158.08</w:t>
      </w:r>
      <w:r>
        <w:rPr>
          <w:rFonts w:ascii="仿宋_GB2312" w:hAnsi="Calibri" w:eastAsia="仿宋_GB2312" w:cs="仿宋_GB2312"/>
          <w:kern w:val="0"/>
          <w:sz w:val="32"/>
          <w:szCs w:val="32"/>
        </w:rPr>
        <w:t>万元。</w:t>
      </w:r>
      <w:r>
        <w:rPr>
          <w:rFonts w:hint="eastAsia" w:ascii="仿宋_GB2312" w:hAnsi="Calibri" w:eastAsia="仿宋_GB2312" w:cs="仿宋_GB2312"/>
          <w:kern w:val="0"/>
          <w:sz w:val="32"/>
          <w:szCs w:val="32"/>
        </w:rPr>
        <w:t>其中：房屋价值121万元，车辆价值11万元，其它资产办公用电脑、办公家具、专用设备等价值26.08万元。2019年我单位拟购置0.2万元。</w:t>
      </w:r>
    </w:p>
    <w:tbl>
      <w:tblPr>
        <w:tblStyle w:val="7"/>
        <w:tblW w:w="13114" w:type="dxa"/>
        <w:tblInd w:w="-106" w:type="dxa"/>
        <w:tblLayout w:type="fixed"/>
        <w:tblCellMar>
          <w:top w:w="0" w:type="dxa"/>
          <w:left w:w="108" w:type="dxa"/>
          <w:bottom w:w="0" w:type="dxa"/>
          <w:right w:w="108" w:type="dxa"/>
        </w:tblCellMar>
      </w:tblPr>
      <w:tblGrid>
        <w:gridCol w:w="4139"/>
        <w:gridCol w:w="2454"/>
        <w:gridCol w:w="6521"/>
      </w:tblGrid>
      <w:tr>
        <w:tblPrEx>
          <w:tblLayout w:type="fixed"/>
          <w:tblCellMar>
            <w:top w:w="0" w:type="dxa"/>
            <w:left w:w="108" w:type="dxa"/>
            <w:bottom w:w="0" w:type="dxa"/>
            <w:right w:w="108" w:type="dxa"/>
          </w:tblCellMar>
        </w:tblPrEx>
        <w:trPr>
          <w:trHeight w:val="705" w:hRule="atLeast"/>
        </w:trPr>
        <w:tc>
          <w:tcPr>
            <w:tcW w:w="13114" w:type="dxa"/>
            <w:gridSpan w:val="3"/>
            <w:tcBorders>
              <w:top w:val="nil"/>
              <w:left w:val="nil"/>
              <w:bottom w:val="nil"/>
              <w:right w:val="nil"/>
            </w:tcBorders>
            <w:vAlign w:val="center"/>
          </w:tcPr>
          <w:p>
            <w:pPr>
              <w:widowControl/>
              <w:jc w:val="center"/>
              <w:rPr>
                <w:rFonts w:ascii="宋体" w:hAnsi="宋体" w:eastAsia="宋体" w:cs="Times New Roman"/>
                <w:b/>
                <w:bCs/>
                <w:kern w:val="0"/>
                <w:sz w:val="32"/>
                <w:szCs w:val="32"/>
              </w:rPr>
            </w:pPr>
            <w:r>
              <w:rPr>
                <w:rFonts w:hint="eastAsia" w:ascii="宋体" w:hAnsi="宋体" w:eastAsia="宋体" w:cs="宋体"/>
                <w:b/>
                <w:bCs/>
                <w:kern w:val="0"/>
                <w:sz w:val="32"/>
                <w:szCs w:val="32"/>
              </w:rPr>
              <w:t>部门固定资产占用情况表</w:t>
            </w:r>
          </w:p>
        </w:tc>
      </w:tr>
      <w:tr>
        <w:tblPrEx>
          <w:tblLayout w:type="fixed"/>
          <w:tblCellMar>
            <w:top w:w="0" w:type="dxa"/>
            <w:left w:w="108" w:type="dxa"/>
            <w:bottom w:w="0" w:type="dxa"/>
            <w:right w:w="108" w:type="dxa"/>
          </w:tblCellMar>
        </w:tblPrEx>
        <w:trPr>
          <w:trHeight w:val="510" w:hRule="atLeast"/>
        </w:trPr>
        <w:tc>
          <w:tcPr>
            <w:tcW w:w="6593" w:type="dxa"/>
            <w:gridSpan w:val="2"/>
            <w:tcBorders>
              <w:top w:val="nil"/>
              <w:left w:val="nil"/>
              <w:bottom w:val="nil"/>
              <w:right w:val="nil"/>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编制部门:281中共成安县委党校</w:t>
            </w:r>
          </w:p>
        </w:tc>
        <w:tc>
          <w:tcPr>
            <w:tcW w:w="6521" w:type="dxa"/>
            <w:tcBorders>
              <w:top w:val="nil"/>
              <w:left w:val="nil"/>
              <w:bottom w:val="nil"/>
              <w:right w:val="nil"/>
            </w:tcBorders>
            <w:vAlign w:val="center"/>
          </w:tcPr>
          <w:p>
            <w:pPr>
              <w:widowControl/>
              <w:ind w:firstLine="550" w:firstLineChars="250"/>
              <w:jc w:val="left"/>
              <w:rPr>
                <w:rFonts w:ascii="宋体" w:hAnsi="宋体" w:eastAsia="宋体" w:cs="宋体"/>
                <w:kern w:val="0"/>
                <w:sz w:val="22"/>
              </w:rPr>
            </w:pPr>
            <w:r>
              <w:rPr>
                <w:rFonts w:hint="eastAsia" w:ascii="宋体" w:hAnsi="宋体" w:eastAsia="宋体" w:cs="宋体"/>
                <w:kern w:val="0"/>
                <w:sz w:val="22"/>
                <w:szCs w:val="22"/>
              </w:rPr>
              <w:t>截止时间：</w:t>
            </w:r>
            <w:r>
              <w:rPr>
                <w:rFonts w:ascii="宋体" w:hAnsi="宋体" w:eastAsia="宋体" w:cs="宋体"/>
                <w:kern w:val="0"/>
                <w:sz w:val="22"/>
                <w:szCs w:val="22"/>
              </w:rPr>
              <w:t>201</w:t>
            </w:r>
            <w:r>
              <w:rPr>
                <w:rFonts w:hint="eastAsia" w:ascii="宋体" w:hAnsi="宋体" w:eastAsia="宋体" w:cs="宋体"/>
                <w:kern w:val="0"/>
                <w:sz w:val="22"/>
                <w:szCs w:val="22"/>
              </w:rPr>
              <w:t>8年</w:t>
            </w:r>
            <w:r>
              <w:rPr>
                <w:rFonts w:ascii="宋体" w:hAnsi="宋体" w:eastAsia="宋体" w:cs="宋体"/>
                <w:kern w:val="0"/>
                <w:sz w:val="22"/>
                <w:szCs w:val="22"/>
              </w:rPr>
              <w:t>12</w:t>
            </w:r>
            <w:r>
              <w:rPr>
                <w:rFonts w:hint="eastAsia" w:ascii="宋体" w:hAnsi="宋体" w:eastAsia="宋体" w:cs="宋体"/>
                <w:kern w:val="0"/>
                <w:sz w:val="22"/>
                <w:szCs w:val="22"/>
              </w:rPr>
              <w:t>月</w:t>
            </w:r>
            <w:r>
              <w:rPr>
                <w:rFonts w:ascii="宋体" w:hAnsi="宋体" w:eastAsia="宋体" w:cs="宋体"/>
                <w:kern w:val="0"/>
                <w:sz w:val="22"/>
                <w:szCs w:val="22"/>
              </w:rPr>
              <w:t>31</w:t>
            </w:r>
            <w:r>
              <w:rPr>
                <w:rFonts w:hint="eastAsia" w:ascii="宋体" w:hAnsi="宋体" w:eastAsia="宋体" w:cs="宋体"/>
                <w:kern w:val="0"/>
                <w:sz w:val="22"/>
                <w:szCs w:val="22"/>
              </w:rPr>
              <w:t>日</w:t>
            </w:r>
          </w:p>
        </w:tc>
      </w:tr>
      <w:tr>
        <w:tblPrEx>
          <w:tblLayout w:type="fixed"/>
          <w:tblCellMar>
            <w:top w:w="0" w:type="dxa"/>
            <w:left w:w="108" w:type="dxa"/>
            <w:bottom w:w="0" w:type="dxa"/>
            <w:right w:w="108" w:type="dxa"/>
          </w:tblCellMar>
        </w:tblPrEx>
        <w:trPr>
          <w:trHeight w:val="645" w:hRule="atLeast"/>
        </w:trPr>
        <w:tc>
          <w:tcPr>
            <w:tcW w:w="413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项目</w:t>
            </w:r>
          </w:p>
        </w:tc>
        <w:tc>
          <w:tcPr>
            <w:tcW w:w="2454"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数量</w:t>
            </w:r>
          </w:p>
        </w:tc>
        <w:tc>
          <w:tcPr>
            <w:tcW w:w="65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b/>
                <w:bCs/>
                <w:kern w:val="0"/>
                <w:sz w:val="22"/>
              </w:rPr>
            </w:pPr>
            <w:r>
              <w:rPr>
                <w:rFonts w:hint="eastAsia" w:ascii="宋体" w:hAnsi="宋体" w:eastAsia="宋体" w:cs="宋体"/>
                <w:b/>
                <w:bCs/>
                <w:kern w:val="0"/>
                <w:sz w:val="22"/>
                <w:szCs w:val="22"/>
              </w:rPr>
              <w:t>价值（金额单位：万元）</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宋体"/>
                <w:kern w:val="0"/>
                <w:sz w:val="22"/>
                <w:szCs w:val="22"/>
              </w:rPr>
              <w:t>资产总额</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ascii="宋体" w:hAnsi="宋体" w:eastAsia="宋体" w:cs="宋体"/>
                <w:kern w:val="0"/>
                <w:sz w:val="22"/>
                <w:szCs w:val="22"/>
              </w:rPr>
              <w:t>——</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158.08</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1</w:t>
            </w:r>
            <w:r>
              <w:rPr>
                <w:rFonts w:hint="eastAsia" w:ascii="宋体" w:hAnsi="宋体" w:eastAsia="宋体" w:cs="宋体"/>
                <w:kern w:val="0"/>
                <w:sz w:val="22"/>
                <w:szCs w:val="22"/>
              </w:rPr>
              <w:t>、房屋（平方米）</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356</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131.4</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hint="eastAsia" w:ascii="宋体" w:hAnsi="宋体" w:eastAsia="宋体" w:cs="宋体"/>
                <w:kern w:val="0"/>
                <w:sz w:val="22"/>
                <w:szCs w:val="22"/>
              </w:rPr>
              <w:t>其中：办公用房（平方米）</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268</w:t>
            </w: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115</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2</w:t>
            </w:r>
            <w:r>
              <w:rPr>
                <w:rFonts w:hint="eastAsia" w:ascii="宋体" w:hAnsi="宋体" w:eastAsia="宋体" w:cs="宋体"/>
                <w:kern w:val="0"/>
                <w:sz w:val="22"/>
                <w:szCs w:val="22"/>
              </w:rPr>
              <w:t>、车辆（台、辆）</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1</w:t>
            </w: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3</w:t>
            </w:r>
            <w:r>
              <w:rPr>
                <w:rFonts w:hint="eastAsia" w:ascii="宋体" w:hAnsi="宋体" w:eastAsia="宋体" w:cs="宋体"/>
                <w:kern w:val="0"/>
                <w:sz w:val="22"/>
                <w:szCs w:val="22"/>
              </w:rPr>
              <w:t>、单价在</w:t>
            </w:r>
            <w:r>
              <w:rPr>
                <w:rFonts w:ascii="宋体" w:hAnsi="宋体" w:eastAsia="宋体" w:cs="宋体"/>
                <w:kern w:val="0"/>
                <w:sz w:val="22"/>
                <w:szCs w:val="22"/>
              </w:rPr>
              <w:t>50</w:t>
            </w:r>
            <w:r>
              <w:rPr>
                <w:rFonts w:hint="eastAsia" w:ascii="宋体" w:hAnsi="宋体" w:eastAsia="宋体" w:cs="宋体"/>
                <w:kern w:val="0"/>
                <w:sz w:val="22"/>
                <w:szCs w:val="22"/>
              </w:rPr>
              <w:t>万元以上的设备</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r>
      <w:tr>
        <w:tblPrEx>
          <w:tblLayout w:type="fixed"/>
          <w:tblCellMar>
            <w:top w:w="0" w:type="dxa"/>
            <w:left w:w="108" w:type="dxa"/>
            <w:bottom w:w="0" w:type="dxa"/>
            <w:right w:w="108" w:type="dxa"/>
          </w:tblCellMar>
        </w:tblPrEx>
        <w:trPr>
          <w:trHeight w:val="645" w:hRule="atLeast"/>
        </w:trPr>
        <w:tc>
          <w:tcPr>
            <w:tcW w:w="4139" w:type="dxa"/>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Times New Roman"/>
                <w:kern w:val="0"/>
                <w:sz w:val="22"/>
              </w:rPr>
            </w:pPr>
            <w:r>
              <w:rPr>
                <w:rFonts w:ascii="宋体" w:hAnsi="宋体" w:eastAsia="宋体" w:cs="宋体"/>
                <w:kern w:val="0"/>
                <w:sz w:val="22"/>
                <w:szCs w:val="22"/>
              </w:rPr>
              <w:t>4</w:t>
            </w:r>
            <w:r>
              <w:rPr>
                <w:rFonts w:hint="eastAsia" w:ascii="宋体" w:hAnsi="宋体" w:eastAsia="宋体" w:cs="宋体"/>
                <w:kern w:val="0"/>
                <w:sz w:val="22"/>
                <w:szCs w:val="22"/>
              </w:rPr>
              <w:t>、其他固定资产</w:t>
            </w:r>
          </w:p>
        </w:tc>
        <w:tc>
          <w:tcPr>
            <w:tcW w:w="2454"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p>
        </w:tc>
        <w:tc>
          <w:tcPr>
            <w:tcW w:w="6521"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2"/>
              </w:rPr>
            </w:pPr>
            <w:r>
              <w:rPr>
                <w:rFonts w:hint="eastAsia" w:ascii="宋体" w:hAnsi="宋体" w:eastAsia="宋体" w:cs="Times New Roman"/>
                <w:kern w:val="0"/>
                <w:sz w:val="22"/>
              </w:rPr>
              <w:t>26.08</w:t>
            </w:r>
          </w:p>
        </w:tc>
      </w:tr>
    </w:tbl>
    <w:p>
      <w:pPr>
        <w:pStyle w:val="5"/>
        <w:widowControl/>
        <w:spacing w:before="100" w:after="100"/>
        <w:ind w:firstLine="640" w:firstLineChars="200"/>
        <w:rPr>
          <w:rFonts w:ascii="黑体" w:hAnsi="黑体" w:eastAsia="黑体" w:cs="黑体"/>
          <w:bCs/>
          <w:sz w:val="32"/>
          <w:szCs w:val="32"/>
        </w:rPr>
      </w:pPr>
      <w:r>
        <w:rPr>
          <w:rFonts w:hint="eastAsia" w:ascii="黑体" w:hAnsi="黑体" w:eastAsia="黑体" w:cs="黑体"/>
          <w:bCs/>
          <w:sz w:val="32"/>
          <w:szCs w:val="32"/>
        </w:rPr>
        <w:t>八、名词解释</w:t>
      </w:r>
    </w:p>
    <w:p>
      <w:pPr>
        <w:pStyle w:val="5"/>
        <w:widowControl/>
        <w:spacing w:before="100" w:after="100"/>
        <w:ind w:firstLine="640"/>
        <w:jc w:val="left"/>
      </w:pPr>
      <w:r>
        <w:rPr>
          <w:rFonts w:hint="eastAsia" w:ascii="楷体" w:hAnsi="楷体" w:eastAsia="楷体" w:cs="楷体"/>
          <w:b/>
          <w:sz w:val="32"/>
          <w:szCs w:val="32"/>
        </w:rPr>
        <w:t>基本支出：</w:t>
      </w:r>
      <w:r>
        <w:rPr>
          <w:rFonts w:hint="eastAsia" w:ascii="仿宋" w:hAnsi="仿宋" w:eastAsia="仿宋" w:cs="仿宋"/>
          <w:sz w:val="32"/>
          <w:szCs w:val="32"/>
        </w:rPr>
        <w:t>指预算单位为保障其正常运转，完成日常工作任务所发生的支出，包括人员支出和日常公用支出。</w:t>
      </w:r>
    </w:p>
    <w:p>
      <w:pPr>
        <w:pStyle w:val="5"/>
        <w:widowControl/>
        <w:spacing w:before="100" w:after="100"/>
        <w:ind w:firstLine="640"/>
        <w:jc w:val="left"/>
      </w:pPr>
      <w:r>
        <w:rPr>
          <w:rFonts w:hint="eastAsia" w:ascii="楷体" w:hAnsi="楷体" w:eastAsia="楷体" w:cs="楷体"/>
          <w:b/>
          <w:sz w:val="32"/>
          <w:szCs w:val="32"/>
        </w:rPr>
        <w:t>项目支出：</w:t>
      </w:r>
      <w:r>
        <w:rPr>
          <w:rFonts w:hint="eastAsia" w:ascii="仿宋" w:hAnsi="仿宋" w:eastAsia="仿宋" w:cs="仿宋"/>
          <w:sz w:val="32"/>
          <w:szCs w:val="32"/>
        </w:rPr>
        <w:t>指预算单位为完成其特定的行政工作任务或事业发展目标所发生的支出。</w:t>
      </w:r>
    </w:p>
    <w:p>
      <w:pPr>
        <w:pStyle w:val="5"/>
        <w:widowControl/>
        <w:spacing w:before="100" w:after="100"/>
        <w:ind w:firstLine="640"/>
        <w:jc w:val="left"/>
        <w:rPr>
          <w:rFonts w:ascii="仿宋" w:hAnsi="仿宋" w:eastAsia="仿宋" w:cs="仿宋"/>
          <w:sz w:val="32"/>
          <w:szCs w:val="32"/>
        </w:rPr>
      </w:pPr>
      <w:r>
        <w:rPr>
          <w:rFonts w:hint="eastAsia" w:ascii="楷体" w:hAnsi="楷体" w:eastAsia="楷体" w:cs="楷体"/>
          <w:b/>
          <w:sz w:val="32"/>
          <w:szCs w:val="32"/>
        </w:rPr>
        <w:t>三公经费：</w:t>
      </w:r>
      <w:r>
        <w:rPr>
          <w:rFonts w:hint="eastAsia" w:ascii="仿宋" w:hAnsi="仿宋" w:eastAsia="仿宋" w:cs="仿宋"/>
          <w:sz w:val="32"/>
          <w:szCs w:val="32"/>
        </w:rPr>
        <w:t>指财政拨款支出安排的出国（境）费、车辆购置及运行费、公务接待费这三项经费。</w:t>
      </w:r>
    </w:p>
    <w:p>
      <w:pPr>
        <w:pStyle w:val="5"/>
        <w:widowControl/>
        <w:numPr>
          <w:ilvl w:val="0"/>
          <w:numId w:val="2"/>
        </w:numPr>
        <w:spacing w:before="100" w:after="100"/>
        <w:ind w:firstLine="640"/>
        <w:jc w:val="left"/>
        <w:rPr>
          <w:rFonts w:ascii="黑体" w:hAnsi="黑体" w:eastAsia="黑体" w:cs="黑体"/>
          <w:sz w:val="32"/>
          <w:szCs w:val="32"/>
        </w:rPr>
      </w:pPr>
      <w:r>
        <w:rPr>
          <w:rFonts w:hint="eastAsia" w:ascii="黑体" w:hAnsi="黑体" w:eastAsia="黑体" w:cs="黑体"/>
          <w:sz w:val="32"/>
          <w:szCs w:val="32"/>
        </w:rPr>
        <w:t>其它需要说明的事项</w:t>
      </w:r>
    </w:p>
    <w:p>
      <w:pPr>
        <w:pStyle w:val="5"/>
        <w:widowControl/>
        <w:spacing w:before="100" w:after="100"/>
        <w:jc w:val="left"/>
        <w:rPr>
          <w:rFonts w:ascii="仿宋" w:hAnsi="仿宋" w:eastAsia="仿宋" w:cs="仿宋"/>
          <w:sz w:val="32"/>
          <w:szCs w:val="32"/>
        </w:rPr>
      </w:pPr>
      <w:r>
        <w:rPr>
          <w:rFonts w:hint="eastAsia" w:ascii="仿宋" w:hAnsi="仿宋" w:eastAsia="仿宋" w:cs="仿宋"/>
          <w:sz w:val="32"/>
          <w:szCs w:val="32"/>
        </w:rPr>
        <w:t>无其它需要说明的事项。</w:t>
      </w:r>
    </w:p>
    <w:p>
      <w:pPr>
        <w:pStyle w:val="5"/>
        <w:widowControl/>
        <w:spacing w:before="100" w:after="100"/>
        <w:jc w:val="left"/>
        <w:rPr>
          <w:rFonts w:ascii="仿宋" w:hAnsi="仿宋" w:eastAsia="仿宋" w:cs="仿宋"/>
          <w:sz w:val="32"/>
          <w:szCs w:val="32"/>
        </w:rPr>
      </w:pPr>
    </w:p>
    <w:p>
      <w:pPr>
        <w:pStyle w:val="5"/>
        <w:widowControl/>
        <w:spacing w:before="100" w:after="100"/>
        <w:jc w:val="left"/>
        <w:rPr>
          <w:rFonts w:ascii="仿宋" w:hAnsi="仿宋" w:eastAsia="仿宋" w:cs="仿宋"/>
          <w:sz w:val="32"/>
          <w:szCs w:val="32"/>
        </w:rPr>
      </w:pPr>
    </w:p>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Calibri Light">
    <w:altName w:val="Times New Roman"/>
    <w:panose1 w:val="00000000000000000000"/>
    <w:charset w:val="00"/>
    <w:family w:val="roman"/>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7850620"/>
    </w:sdtPr>
    <w:sdtContent>
      <w:p>
        <w:pPr>
          <w:pStyle w:val="3"/>
          <w:jc w:val="center"/>
        </w:pPr>
        <w:r>
          <w:fldChar w:fldCharType="begin"/>
        </w:r>
        <w:r>
          <w:instrText xml:space="preserve">PAGE   \* MERGEFORMAT</w:instrText>
        </w:r>
        <w:r>
          <w:fldChar w:fldCharType="separate"/>
        </w:r>
        <w:r>
          <w:rPr>
            <w:lang w:val="zh-CN"/>
          </w:rPr>
          <w:t>10</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D814D"/>
    <w:multiLevelType w:val="singleLevel"/>
    <w:tmpl w:val="596D814D"/>
    <w:lvl w:ilvl="0" w:tentative="0">
      <w:start w:val="9"/>
      <w:numFmt w:val="chineseCounting"/>
      <w:suff w:val="nothing"/>
      <w:lvlText w:val="%1、"/>
      <w:lvlJc w:val="left"/>
    </w:lvl>
  </w:abstractNum>
  <w:abstractNum w:abstractNumId="1">
    <w:nsid w:val="5A080B59"/>
    <w:multiLevelType w:val="singleLevel"/>
    <w:tmpl w:val="5A080B59"/>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E112B16"/>
    <w:rsid w:val="000E4960"/>
    <w:rsid w:val="000F661C"/>
    <w:rsid w:val="00107024"/>
    <w:rsid w:val="001A7160"/>
    <w:rsid w:val="0022774D"/>
    <w:rsid w:val="002A5265"/>
    <w:rsid w:val="002B4F0E"/>
    <w:rsid w:val="002F2655"/>
    <w:rsid w:val="003412CC"/>
    <w:rsid w:val="00346C23"/>
    <w:rsid w:val="0040395B"/>
    <w:rsid w:val="0043462E"/>
    <w:rsid w:val="004436ED"/>
    <w:rsid w:val="004544D0"/>
    <w:rsid w:val="004A14BB"/>
    <w:rsid w:val="005C1811"/>
    <w:rsid w:val="005D4210"/>
    <w:rsid w:val="00685580"/>
    <w:rsid w:val="006A5EC9"/>
    <w:rsid w:val="006A7B24"/>
    <w:rsid w:val="006E729D"/>
    <w:rsid w:val="007367A2"/>
    <w:rsid w:val="0078700B"/>
    <w:rsid w:val="00795A3A"/>
    <w:rsid w:val="007B4F75"/>
    <w:rsid w:val="0088342C"/>
    <w:rsid w:val="008A10E7"/>
    <w:rsid w:val="00917123"/>
    <w:rsid w:val="00940882"/>
    <w:rsid w:val="0096633A"/>
    <w:rsid w:val="00986043"/>
    <w:rsid w:val="009E2B82"/>
    <w:rsid w:val="009E3F61"/>
    <w:rsid w:val="00B13EA7"/>
    <w:rsid w:val="00B94F2F"/>
    <w:rsid w:val="00BD272A"/>
    <w:rsid w:val="00C24DA7"/>
    <w:rsid w:val="00C378F6"/>
    <w:rsid w:val="00C541F0"/>
    <w:rsid w:val="00C67135"/>
    <w:rsid w:val="00D468F4"/>
    <w:rsid w:val="00E1145E"/>
    <w:rsid w:val="00E43701"/>
    <w:rsid w:val="00E937EA"/>
    <w:rsid w:val="00ED7572"/>
    <w:rsid w:val="00F175A4"/>
    <w:rsid w:val="00FB662F"/>
    <w:rsid w:val="00FF27F9"/>
    <w:rsid w:val="01C454A1"/>
    <w:rsid w:val="038231BA"/>
    <w:rsid w:val="03865BCF"/>
    <w:rsid w:val="06EA05CC"/>
    <w:rsid w:val="095A644B"/>
    <w:rsid w:val="09A57D18"/>
    <w:rsid w:val="09F82D7F"/>
    <w:rsid w:val="0DA64423"/>
    <w:rsid w:val="102467FE"/>
    <w:rsid w:val="11E20E90"/>
    <w:rsid w:val="12DD69FD"/>
    <w:rsid w:val="15BD2218"/>
    <w:rsid w:val="164C3A1E"/>
    <w:rsid w:val="169028CE"/>
    <w:rsid w:val="18F06858"/>
    <w:rsid w:val="1904219D"/>
    <w:rsid w:val="19B81D6D"/>
    <w:rsid w:val="1AED1EF5"/>
    <w:rsid w:val="1EFC4E93"/>
    <w:rsid w:val="20834BED"/>
    <w:rsid w:val="21B5006B"/>
    <w:rsid w:val="234D1B88"/>
    <w:rsid w:val="23CA6CF5"/>
    <w:rsid w:val="242B7301"/>
    <w:rsid w:val="25EC16FA"/>
    <w:rsid w:val="28DA6C62"/>
    <w:rsid w:val="29265BD9"/>
    <w:rsid w:val="335C5F3A"/>
    <w:rsid w:val="360A4B97"/>
    <w:rsid w:val="37ED5068"/>
    <w:rsid w:val="38861AB2"/>
    <w:rsid w:val="3AB47638"/>
    <w:rsid w:val="3DA555D9"/>
    <w:rsid w:val="3DE017D9"/>
    <w:rsid w:val="3E0E1B91"/>
    <w:rsid w:val="3E121FC9"/>
    <w:rsid w:val="3F073519"/>
    <w:rsid w:val="3F7873B3"/>
    <w:rsid w:val="41523D3C"/>
    <w:rsid w:val="43114787"/>
    <w:rsid w:val="45581441"/>
    <w:rsid w:val="478A51A9"/>
    <w:rsid w:val="49CD1EA7"/>
    <w:rsid w:val="4FAD3448"/>
    <w:rsid w:val="52A62308"/>
    <w:rsid w:val="568B695A"/>
    <w:rsid w:val="58F95E4A"/>
    <w:rsid w:val="5B4910BD"/>
    <w:rsid w:val="5C3A7CCE"/>
    <w:rsid w:val="5D286B94"/>
    <w:rsid w:val="690D4066"/>
    <w:rsid w:val="6C167FE4"/>
    <w:rsid w:val="6E4D6AB1"/>
    <w:rsid w:val="6FC4035F"/>
    <w:rsid w:val="7206549A"/>
    <w:rsid w:val="75807B34"/>
    <w:rsid w:val="761616BA"/>
    <w:rsid w:val="777F1635"/>
    <w:rsid w:val="78663CD9"/>
    <w:rsid w:val="7E112B16"/>
    <w:rsid w:val="7F3C0BD1"/>
    <w:rsid w:val="7F3D39BA"/>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qFormat/>
    <w:uiPriority w:val="0"/>
    <w:rPr>
      <w:kern w:val="2"/>
      <w:sz w:val="18"/>
      <w:szCs w:val="18"/>
    </w:rPr>
  </w:style>
  <w:style w:type="character" w:customStyle="1" w:styleId="10">
    <w:name w:val="页脚 Char"/>
    <w:basedOn w:val="6"/>
    <w:link w:val="3"/>
    <w:qFormat/>
    <w:uiPriority w:val="99"/>
    <w:rPr>
      <w:kern w:val="2"/>
      <w:sz w:val="18"/>
      <w:szCs w:val="18"/>
    </w:rPr>
  </w:style>
  <w:style w:type="character" w:customStyle="1" w:styleId="11">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443</Words>
  <Characters>2529</Characters>
  <Lines>21</Lines>
  <Paragraphs>5</Paragraphs>
  <TotalTime>0</TotalTime>
  <ScaleCrop>false</ScaleCrop>
  <LinksUpToDate>false</LinksUpToDate>
  <CharactersWithSpaces>2967</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2017-03-17T08:55:00Z</dcterms:created>
  <dc:creator>Administrator</dc:creator>
  <cp:lastModifiedBy>Administrator</cp:lastModifiedBy>
  <cp:lastPrinted>2017-07-20T02:29:00Z</cp:lastPrinted>
  <dcterms:modified xsi:type="dcterms:W3CDTF">2021-05-19T08:00:18Z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