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成安县农业服务协会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2019年部门预算公开情况说明</w:t>
      </w:r>
    </w:p>
    <w:p>
      <w:pPr>
        <w:jc w:val="center"/>
        <w:rPr>
          <w:rFonts w:ascii="宋体" w:hAnsi="宋体" w:eastAsia="宋体"/>
        </w:rPr>
      </w:pPr>
    </w:p>
    <w:p>
      <w:pPr>
        <w:widowControl/>
        <w:jc w:val="left"/>
      </w:pP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中华人民共和国</w:t>
      </w:r>
      <w:r>
        <w:rPr>
          <w:rFonts w:hint="eastAsia" w:ascii="仿宋" w:hAnsi="仿宋" w:eastAsia="仿宋" w:cs="仿宋"/>
          <w:sz w:val="32"/>
          <w:szCs w:val="32"/>
        </w:rPr>
        <w:t>预算法》有关规定和财政部关于印发《地方预决算公开操作规程》的通知，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现将农业服务协会办公室2019年部门预算公开如下：</w:t>
      </w:r>
    </w:p>
    <w:p>
      <w:pPr>
        <w:widowControl/>
        <w:numPr>
          <w:ilvl w:val="0"/>
          <w:numId w:val="1"/>
        </w:numPr>
        <w:spacing w:line="360" w:lineRule="auto"/>
        <w:ind w:firstLine="972" w:firstLineChars="304"/>
        <w:jc w:val="left"/>
        <w:rPr>
          <w:rFonts w:ascii="黑体" w:hAnsi="黑体" w:eastAsia="黑体" w:cs="楷体"/>
          <w:bCs/>
          <w:kern w:val="0"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部门职责及机构设置情况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1、负责制定、实施全县农协、专协和产业化工作目标并负责督促、检查、落实。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2、负责指导基层农协(实验区)和各级专协的组织建设、规范化管理。指导协调各乡镇农协和县直涉农部门围绕“三农”办好农协，围绕产业建好专协，大力开展产前、产中、产后系列化服务。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3、负责县农村改革试验区领导小组及其办公室日常工作。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4、负责全县农协(试验区)系统工作人员的培训，组织有关专家开展技术咨询和专业技术培训。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5、负责全县农协系统信息服务网络建设，收集、筛选、发布农民急需的种植、养殖、加工和专业技术培训，以及对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全县各级协会的优惠扶持政策的贯彻落实。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6、负责申报、参评、监测省、市、县三级农业产业化重点龙头企业工作，以及对上争取对龙头企业的扶持资金和落实各项优惠扶持政策。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7、组织和参加每年一届的中国（廊坊）农产品交易会。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8、完成县委、县政府交办的其它工作。</w:t>
      </w:r>
    </w:p>
    <w:p>
      <w:pPr>
        <w:widowControl/>
        <w:spacing w:line="360" w:lineRule="auto"/>
        <w:ind w:firstLine="630" w:firstLineChars="196"/>
        <w:jc w:val="left"/>
        <w:rPr>
          <w:rFonts w:ascii="楷体" w:hAnsi="楷体" w:eastAsia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人员编制和领导职数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人员编制5名，其中领导职数2个。</w:t>
      </w:r>
    </w:p>
    <w:p>
      <w:pPr>
        <w:widowControl/>
        <w:spacing w:line="360" w:lineRule="auto"/>
        <w:ind w:left="628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内设机构及职责：</w:t>
      </w:r>
    </w:p>
    <w:p>
      <w:pPr>
        <w:jc w:val="center"/>
        <w:outlineLvl w:val="0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部门机构设置情况</w:t>
      </w:r>
    </w:p>
    <w:tbl>
      <w:tblPr>
        <w:tblStyle w:val="6"/>
        <w:tblW w:w="86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056"/>
        <w:gridCol w:w="1276"/>
        <w:gridCol w:w="2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23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20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tblHeader/>
          <w:jc w:val="center"/>
        </w:trPr>
        <w:tc>
          <w:tcPr>
            <w:tcW w:w="2395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0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395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成安县农业服务协会办公室</w:t>
            </w:r>
          </w:p>
        </w:tc>
        <w:tc>
          <w:tcPr>
            <w:tcW w:w="2056" w:type="dxa"/>
            <w:vAlign w:val="center"/>
          </w:tcPr>
          <w:p>
            <w:pPr>
              <w:spacing w:line="300" w:lineRule="exact"/>
              <w:ind w:firstLine="443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全额事业单位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正科级</w:t>
            </w: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财政性质资金基本保证</w:t>
            </w:r>
          </w:p>
        </w:tc>
      </w:tr>
    </w:tbl>
    <w:p>
      <w:pPr>
        <w:widowControl/>
        <w:spacing w:line="360" w:lineRule="auto"/>
        <w:ind w:left="628"/>
        <w:jc w:val="center"/>
        <w:rPr>
          <w:rFonts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成安县农业服务协会办公室，预算编码是201002，内设1个内部机构。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办公室主要负责：</w:t>
      </w:r>
      <w:r>
        <w:rPr>
          <w:rFonts w:hint="eastAsia" w:ascii="仿宋" w:hAnsi="仿宋" w:eastAsia="仿宋" w:cs="仿宋"/>
          <w:sz w:val="32"/>
          <w:szCs w:val="32"/>
        </w:rPr>
        <w:t>指导基层农协的组织建设，大力开展产业化建设。制定实施全县农协和产业化工作目标，并负责督促、落实；负责申报、参评、监测省级、市县三级农业产业化重点龙头企业工作，对上争取对龙头企业的扶持资金和落实各项优惠政策。</w:t>
      </w:r>
    </w:p>
    <w:p>
      <w:pPr>
        <w:widowControl/>
        <w:spacing w:line="360" w:lineRule="auto"/>
        <w:ind w:firstLine="630" w:firstLineChars="196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人员编制和领导职数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成安县农业服务协会办公室，人员编制5名，其中领导职数2个。</w:t>
      </w:r>
    </w:p>
    <w:p>
      <w:pPr>
        <w:widowControl/>
        <w:spacing w:line="360" w:lineRule="auto"/>
        <w:ind w:firstLine="627" w:firstLineChars="196"/>
        <w:jc w:val="left"/>
        <w:rPr>
          <w:rFonts w:ascii="黑体" w:hAnsi="黑体" w:eastAsia="黑体" w:cs="仿宋"/>
          <w:bCs/>
          <w:kern w:val="0"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二、部门预算安排的总体情况</w:t>
      </w:r>
    </w:p>
    <w:p>
      <w:pPr>
        <w:widowControl/>
        <w:numPr>
          <w:ilvl w:val="0"/>
          <w:numId w:val="2"/>
        </w:numPr>
        <w:spacing w:line="360" w:lineRule="auto"/>
        <w:ind w:left="420" w:left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收入说明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2019年预算收入为68.72万元，其中：一般公共预算收入68.72万元，政府性基金收入0万元，国有资本经营收入0万元，事业收入0万元，其他收入0万元。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2、支出说明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2019年支出预算总额为68.72万元，其中基本支出68.72万元，包括人员经费60.44万元，日常公用经费安排5.28万元，项目支出3万元。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3、比上年增减变化情况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2019年预算收支安排68.72万元，2018年成安县农业服务协会办公室财政拨款收入54.53万元，总支出54.53万元。其中：基本支出增加14.19万元，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主要是2019年对机关事业单位养老保险自2014年10月起进行清算，增加部分为单位20%部分养老保险清算资金</w:t>
      </w:r>
      <w:r>
        <w:rPr>
          <w:rFonts w:ascii="仿宋" w:hAnsi="仿宋" w:eastAsia="仿宋" w:cs="Calibri"/>
          <w:kern w:val="0"/>
          <w:sz w:val="32"/>
          <w:szCs w:val="32"/>
        </w:rPr>
        <w:t>。</w:t>
      </w:r>
    </w:p>
    <w:p>
      <w:pPr>
        <w:widowControl/>
        <w:spacing w:line="360" w:lineRule="auto"/>
        <w:ind w:firstLine="736" w:firstLineChars="230"/>
        <w:jc w:val="left"/>
        <w:rPr>
          <w:rFonts w:ascii="黑体" w:hAnsi="黑体" w:eastAsia="黑体" w:cs="仿宋"/>
          <w:bCs/>
          <w:kern w:val="0"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三、机关运行经费安排情况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机关运行经费共计5.28万元，其中日常经费5.28万元，主要用于办公费、差旅、邮电费、公务用车维护费、公务交通补贴、印刷费等日常运行支出。</w:t>
      </w:r>
    </w:p>
    <w:p>
      <w:pPr>
        <w:widowControl/>
        <w:numPr>
          <w:ilvl w:val="0"/>
          <w:numId w:val="3"/>
        </w:numPr>
        <w:spacing w:line="360" w:lineRule="auto"/>
        <w:ind w:firstLine="640" w:firstLineChars="200"/>
        <w:jc w:val="left"/>
        <w:rPr>
          <w:rFonts w:ascii="黑体" w:hAnsi="黑体" w:eastAsia="黑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财政拨款“三公”经费预算情况及增减变化原因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2019年，我单位“三公”经费预算安排1.00万元，其中，因公出国（境）费0元，安排公务用车维护费1.00万元，（其中公务用车购置费0元，公务用车运行维护费1.00万元），公务接待费0万元，公务用车维护费与2018年相比减少7.9%，原因为严格落实八项规定，科学安排开支。</w:t>
      </w:r>
    </w:p>
    <w:p>
      <w:pPr>
        <w:widowControl/>
        <w:spacing w:line="360" w:lineRule="auto"/>
        <w:ind w:firstLine="419" w:firstLineChars="131"/>
        <w:jc w:val="left"/>
        <w:rPr>
          <w:rFonts w:ascii="黑体" w:hAnsi="黑体" w:eastAsia="黑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五、绩效预算信息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(一）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总体绩效目标：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深入贯彻中央、省、市关于“三农”工作的总体部署，认真落实</w:t>
      </w:r>
      <w:r>
        <w:rPr>
          <w:rFonts w:hint="eastAsia" w:ascii="仿宋" w:hAnsi="仿宋" w:eastAsia="仿宋"/>
          <w:sz w:val="32"/>
          <w:szCs w:val="32"/>
          <w:lang w:eastAsia="zh-CN"/>
        </w:rPr>
        <w:t>《中华人民共和国农民专业合作社法》</w:t>
      </w:r>
      <w:r>
        <w:rPr>
          <w:rFonts w:hint="eastAsia" w:ascii="仿宋" w:hAnsi="仿宋" w:eastAsia="仿宋"/>
          <w:sz w:val="32"/>
          <w:szCs w:val="32"/>
        </w:rPr>
        <w:t>和《河北省农民合作社条例》，坚持“发展与规范并举，数量与质量并重”指导思想，深入开展规范化建设年行动，进一步解放思想、创新思维，推进全县农民合作社健康发展。发挥协会的平台作用，开展农资服务、技术服务、信息服务。鼓励合作社开展社会化服务，向生活、供销等方面延伸，拓宽服务领域。在队伍建设、增强实力、转变作风上实现大突破，推动全市农协工作更上新台阶。</w:t>
      </w:r>
    </w:p>
    <w:p>
      <w:pPr>
        <w:numPr>
          <w:ilvl w:val="0"/>
          <w:numId w:val="4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分项绩效目标</w:t>
      </w:r>
    </w:p>
    <w:p>
      <w:pPr>
        <w:pStyle w:val="10"/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1、</w:t>
      </w:r>
      <w:r>
        <w:rPr>
          <w:rFonts w:hint="eastAsia" w:ascii="仿宋" w:hAnsi="仿宋" w:eastAsia="仿宋" w:cs="仿宋"/>
          <w:sz w:val="32"/>
          <w:szCs w:val="32"/>
        </w:rPr>
        <w:t>规范提升农民专业合作社，搞好宣绩效目标：传、培训。产出目标：让农民群众增强法制观念和风险防范意识，搞好宣传每个合作社都得悬挂防范非法集资条幅，发放宣传资料2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000余份等。服务对象满意度目标：群众满意度达到90%以上。</w:t>
      </w:r>
    </w:p>
    <w:p>
      <w:pPr>
        <w:pStyle w:val="10"/>
        <w:widowControl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2、为龙头企业搞好服务，搞好银企对接，解决资金瓶颈，拓宽产品销售渠道。</w:t>
      </w:r>
    </w:p>
    <w:p>
      <w:pPr>
        <w:pStyle w:val="10"/>
        <w:widowControl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工作保障措施</w:t>
      </w:r>
    </w:p>
    <w:p>
      <w:pPr>
        <w:pStyle w:val="10"/>
        <w:widowControl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积极</w:t>
      </w:r>
      <w:r>
        <w:rPr>
          <w:rFonts w:hint="eastAsia" w:ascii="仿宋" w:hAnsi="仿宋" w:eastAsia="仿宋" w:cs="仿宋"/>
          <w:sz w:val="32"/>
          <w:szCs w:val="32"/>
        </w:rPr>
        <w:t>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政银企对接，</w:t>
      </w:r>
      <w:r>
        <w:rPr>
          <w:rFonts w:hint="eastAsia" w:ascii="仿宋" w:hAnsi="仿宋" w:eastAsia="仿宋" w:cs="仿宋"/>
          <w:sz w:val="32"/>
          <w:szCs w:val="32"/>
        </w:rPr>
        <w:t>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决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的资金瓶颈。</w:t>
      </w:r>
    </w:p>
    <w:p>
      <w:pPr>
        <w:pStyle w:val="10"/>
        <w:widowControl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用租用好上级的优惠政策，助推企业做大做强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0"/>
        <w:widowControl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龙头企业和示范社参加大型</w:t>
      </w:r>
      <w:r>
        <w:rPr>
          <w:rFonts w:hint="eastAsia" w:ascii="仿宋" w:hAnsi="仿宋" w:eastAsia="仿宋" w:cs="仿宋"/>
          <w:sz w:val="32"/>
          <w:szCs w:val="32"/>
        </w:rPr>
        <w:t>农产品交易会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拓宽销售渠道，增加企业收入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0"/>
        <w:widowControl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积极为企业提供科技致富信息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spacing w:line="360" w:lineRule="auto"/>
        <w:ind w:firstLine="643" w:firstLineChars="200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pacing w:line="360" w:lineRule="auto"/>
        <w:ind w:firstLine="643" w:firstLineChars="200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部门职责及工作活动绩效目标指标</w:t>
      </w:r>
    </w:p>
    <w:p>
      <w:pPr>
        <w:widowControl/>
        <w:spacing w:line="360" w:lineRule="auto"/>
        <w:jc w:val="center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部门职责--工作活动绩效目标</w:t>
      </w:r>
    </w:p>
    <w:tbl>
      <w:tblPr>
        <w:tblStyle w:val="6"/>
        <w:tblW w:w="88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134"/>
        <w:gridCol w:w="1560"/>
        <w:gridCol w:w="1417"/>
        <w:gridCol w:w="992"/>
        <w:gridCol w:w="709"/>
        <w:gridCol w:w="567"/>
        <w:gridCol w:w="709"/>
        <w:gridCol w:w="8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tblHeader/>
          <w:jc w:val="center"/>
        </w:trPr>
        <w:tc>
          <w:tcPr>
            <w:tcW w:w="6058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成安县农业服务协会</w:t>
            </w:r>
          </w:p>
        </w:tc>
        <w:tc>
          <w:tcPr>
            <w:tcW w:w="2802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tblHeader/>
          <w:jc w:val="center"/>
        </w:trPr>
        <w:tc>
          <w:tcPr>
            <w:tcW w:w="955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职责活动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年度预算数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内容描述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绩效目标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绩效指标</w:t>
            </w:r>
          </w:p>
        </w:tc>
        <w:tc>
          <w:tcPr>
            <w:tcW w:w="2802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tblHeader/>
          <w:jc w:val="center"/>
        </w:trPr>
        <w:tc>
          <w:tcPr>
            <w:tcW w:w="95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优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中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经济指标考核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负责制定、实施全县农协、专协和产业化工作目标，并负责督促、检查、落实。农业产业化经营率和农产品加工比值全市考核排队。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完成县经济指标考核和农产品加工比值全市考核排队。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70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　　经济指标考核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农业产业化经营率和农产品加工比值全市考核排队。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带动增加经济产值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农业产业化经营率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70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农产品推广宣传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廊坊农产品交易会,推广宣传我县农产品，并与大型超市对接，招商引资。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大力推广宣传我县农产品，并与大型超市对接，招商引资。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70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　　廊坊农产品交易会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23.53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推广宣传我县农产品。与大型超市对接，招商引资。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带动招商引资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推广宣传农产品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70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60</w:t>
            </w:r>
          </w:p>
        </w:tc>
      </w:tr>
    </w:tbl>
    <w:p>
      <w:pPr>
        <w:widowControl/>
        <w:spacing w:line="360" w:lineRule="auto"/>
        <w:ind w:firstLine="421" w:firstLineChars="131"/>
        <w:jc w:val="left"/>
        <w:rPr>
          <w:rFonts w:ascii="楷体" w:hAnsi="楷体" w:eastAsia="楷体" w:cs="楷体"/>
          <w:b/>
          <w:bCs/>
          <w:sz w:val="32"/>
          <w:szCs w:val="32"/>
        </w:rPr>
      </w:pPr>
    </w:p>
    <w:p>
      <w:pPr>
        <w:widowControl/>
        <w:spacing w:line="360" w:lineRule="auto"/>
        <w:ind w:firstLine="421" w:firstLineChars="131"/>
        <w:jc w:val="left"/>
        <w:rPr>
          <w:rFonts w:ascii="楷体" w:hAnsi="楷体" w:eastAsia="楷体" w:cs="楷体"/>
          <w:b/>
          <w:bCs/>
          <w:sz w:val="32"/>
          <w:szCs w:val="32"/>
        </w:rPr>
      </w:pPr>
    </w:p>
    <w:p>
      <w:pPr>
        <w:widowControl/>
        <w:spacing w:line="360" w:lineRule="auto"/>
        <w:ind w:firstLine="419" w:firstLineChars="131"/>
        <w:jc w:val="left"/>
        <w:rPr>
          <w:rFonts w:ascii="黑体" w:hAnsi="黑体" w:eastAsia="黑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六、政府采购预算情况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2019年，我单位安排政府采购预算0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.2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万元。具体内容见下表</w:t>
      </w:r>
    </w:p>
    <w:p>
      <w:pPr>
        <w:spacing w:line="560" w:lineRule="exact"/>
        <w:jc w:val="center"/>
        <w:outlineLvl w:val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部门政府采购预算</w:t>
      </w:r>
    </w:p>
    <w:tbl>
      <w:tblPr>
        <w:tblStyle w:val="6"/>
        <w:tblW w:w="90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820"/>
        <w:gridCol w:w="1337"/>
        <w:gridCol w:w="482"/>
        <w:gridCol w:w="423"/>
        <w:gridCol w:w="549"/>
        <w:gridCol w:w="723"/>
        <w:gridCol w:w="403"/>
        <w:gridCol w:w="562"/>
        <w:gridCol w:w="562"/>
        <w:gridCol w:w="511"/>
        <w:gridCol w:w="551"/>
        <w:gridCol w:w="551"/>
        <w:gridCol w:w="5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404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部门（单位）名称：成安县农业服务协会</w:t>
            </w:r>
          </w:p>
        </w:tc>
        <w:tc>
          <w:tcPr>
            <w:tcW w:w="3656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8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政府采购项目来源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采购物品名称</w:t>
            </w:r>
          </w:p>
        </w:tc>
        <w:tc>
          <w:tcPr>
            <w:tcW w:w="48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政府采购目录序号</w:t>
            </w:r>
          </w:p>
        </w:tc>
        <w:tc>
          <w:tcPr>
            <w:tcW w:w="42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数量单位</w:t>
            </w:r>
          </w:p>
        </w:tc>
        <w:tc>
          <w:tcPr>
            <w:tcW w:w="54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365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82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预算资金</w:t>
            </w:r>
          </w:p>
        </w:tc>
        <w:tc>
          <w:tcPr>
            <w:tcW w:w="133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总计</w:t>
            </w:r>
          </w:p>
        </w:tc>
        <w:tc>
          <w:tcPr>
            <w:tcW w:w="273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当年部门预算安排资金</w:t>
            </w:r>
          </w:p>
        </w:tc>
        <w:tc>
          <w:tcPr>
            <w:tcW w:w="51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tblHeader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3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56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一般公共预算拨款</w:t>
            </w:r>
          </w:p>
        </w:tc>
        <w:tc>
          <w:tcPr>
            <w:tcW w:w="51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基金预算拨款</w:t>
            </w: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财政专户核拨</w:t>
            </w:r>
          </w:p>
        </w:tc>
        <w:tc>
          <w:tcPr>
            <w:tcW w:w="55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其他来源收入</w:t>
            </w:r>
          </w:p>
        </w:tc>
        <w:tc>
          <w:tcPr>
            <w:tcW w:w="516" w:type="dxa"/>
            <w:vMerge w:val="continue"/>
            <w:vAlign w:val="center"/>
          </w:tcPr>
          <w:p>
            <w:pPr>
              <w:spacing w:line="260" w:lineRule="exact"/>
              <w:jc w:val="left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合　计</w:t>
            </w:r>
          </w:p>
        </w:tc>
        <w:tc>
          <w:tcPr>
            <w:tcW w:w="820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0.2.</w:t>
            </w:r>
          </w:p>
        </w:tc>
        <w:tc>
          <w:tcPr>
            <w:tcW w:w="1337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打印机</w:t>
            </w:r>
          </w:p>
        </w:tc>
        <w:tc>
          <w:tcPr>
            <w:tcW w:w="482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23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right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0.2</w:t>
            </w:r>
          </w:p>
        </w:tc>
        <w:tc>
          <w:tcPr>
            <w:tcW w:w="403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0.</w:t>
            </w:r>
          </w:p>
          <w:p>
            <w:pPr>
              <w:spacing w:line="560" w:lineRule="exact"/>
              <w:jc w:val="right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0.2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0.2</w:t>
            </w: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日常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办公用</w:t>
            </w:r>
          </w:p>
        </w:tc>
        <w:tc>
          <w:tcPr>
            <w:tcW w:w="820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0.2</w:t>
            </w:r>
          </w:p>
        </w:tc>
        <w:tc>
          <w:tcPr>
            <w:tcW w:w="13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打印机</w:t>
            </w:r>
          </w:p>
        </w:tc>
        <w:tc>
          <w:tcPr>
            <w:tcW w:w="482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23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right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0.2</w:t>
            </w:r>
          </w:p>
        </w:tc>
        <w:tc>
          <w:tcPr>
            <w:tcW w:w="403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0.</w:t>
            </w:r>
          </w:p>
          <w:p>
            <w:pPr>
              <w:spacing w:line="560" w:lineRule="exact"/>
              <w:jc w:val="right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0.</w:t>
            </w:r>
          </w:p>
          <w:p>
            <w:pPr>
              <w:spacing w:line="560" w:lineRule="exact"/>
              <w:jc w:val="righ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0.2</w:t>
            </w: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3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3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政府采购指国家机关、事业单位和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[2015]11号）要求的货物、工程或服务的项目，采购人均应编入政府采购预算。按照政府采购相关法律法规要求，结合我办实际，2019年我办政府采购事项为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项</w:t>
      </w:r>
      <w:r>
        <w:rPr>
          <w:rFonts w:hint="eastAsia" w:ascii="仿宋" w:hAnsi="仿宋" w:eastAsia="仿宋" w:cs="仿宋"/>
          <w:kern w:val="0"/>
          <w:sz w:val="32"/>
          <w:szCs w:val="32"/>
        </w:rPr>
        <w:t>，本年拟用于政府采购打印机机1台每台0.2万元。</w:t>
      </w:r>
    </w:p>
    <w:p>
      <w:pPr>
        <w:widowControl/>
        <w:spacing w:line="360" w:lineRule="auto"/>
        <w:ind w:firstLine="419" w:firstLineChars="131"/>
        <w:jc w:val="left"/>
        <w:rPr>
          <w:rFonts w:ascii="黑体" w:hAnsi="黑体" w:eastAsia="黑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七、国有资产情况的说明</w:t>
      </w:r>
    </w:p>
    <w:tbl>
      <w:tblPr>
        <w:tblStyle w:val="6"/>
        <w:tblW w:w="906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9"/>
        <w:gridCol w:w="895"/>
        <w:gridCol w:w="4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部门固定资产占用情况表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编制部门:成安县农业服务协会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截止时间：2018年12月31日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4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资产总额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——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1、房屋（平方米）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其中：办公用房（平方米）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我单位在政府集中办公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2、车辆（台、辆）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70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3、单价在50万元以上的设备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4、其他固定资产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4.83</w:t>
            </w:r>
          </w:p>
        </w:tc>
      </w:tr>
    </w:tbl>
    <w:p>
      <w:pPr>
        <w:widowControl/>
        <w:spacing w:line="360" w:lineRule="auto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截止上年</w:t>
      </w:r>
      <w:r>
        <w:rPr>
          <w:rFonts w:hint="eastAsia" w:ascii="仿宋" w:hAnsi="仿宋" w:eastAsia="仿宋" w:cs="仿宋"/>
          <w:kern w:val="0"/>
          <w:sz w:val="32"/>
          <w:szCs w:val="32"/>
        </w:rPr>
        <w:t>末固定资产帐面结余0万元。其中：房屋价值0万元，车辆价值0万元，其它资产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通用设备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2.18万元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、办公家具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2.65万元</w:t>
      </w:r>
      <w:r>
        <w:rPr>
          <w:rFonts w:hint="eastAsia" w:ascii="仿宋" w:hAnsi="仿宋" w:eastAsia="仿宋" w:cs="仿宋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合计</w:t>
      </w:r>
      <w:r>
        <w:rPr>
          <w:rFonts w:hint="eastAsia" w:ascii="仿宋" w:hAnsi="仿宋" w:eastAsia="仿宋" w:cs="仿宋"/>
          <w:kern w:val="0"/>
          <w:sz w:val="32"/>
          <w:szCs w:val="32"/>
        </w:rPr>
        <w:t>4.83万元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。本年度拟购置固定资产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0.2万元。</w:t>
      </w:r>
    </w:p>
    <w:p>
      <w:pPr>
        <w:widowControl/>
        <w:spacing w:line="360" w:lineRule="auto"/>
        <w:ind w:firstLine="736" w:firstLineChars="230"/>
        <w:jc w:val="left"/>
        <w:rPr>
          <w:rFonts w:ascii="黑体" w:hAnsi="黑体" w:eastAsia="黑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八、名词解释 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1、财政拨款收入：指</w:t>
      </w:r>
      <w:r>
        <w:rPr>
          <w:rFonts w:hint="eastAsia" w:ascii="仿宋" w:hAnsi="仿宋" w:eastAsia="仿宋" w:cs="仿宋"/>
          <w:kern w:val="0"/>
          <w:sz w:val="32"/>
          <w:szCs w:val="32"/>
        </w:rPr>
        <w:t>财政当年拨付的资金。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3、年初结转和结余：指以前年度尚未完成，结转到本年仍按照原规定用途继续使用的资金，或项目已完成等产生的结余资金。 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4、基本支出：指单位为了保障其正常运转、完成日常工作任务而发生的人员支出和公用支出。 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5、项目支出：指单位为了特定的工作任务和事业发展目标，在基本支出之外所发生的支出。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九、其他需要说明的事项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无。</w:t>
      </w:r>
    </w:p>
    <w:p>
      <w:pPr>
        <w:widowControl/>
        <w:spacing w:line="360" w:lineRule="auto"/>
        <w:ind w:firstLine="420" w:firstLineChars="200"/>
        <w:jc w:val="left"/>
      </w:pPr>
    </w:p>
    <w:sectPr>
      <w:pgSz w:w="11907" w:h="16839"/>
      <w:pgMar w:top="1020" w:right="1134" w:bottom="1020" w:left="15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8616F"/>
    <w:multiLevelType w:val="singleLevel"/>
    <w:tmpl w:val="8B28616F"/>
    <w:lvl w:ilvl="0" w:tentative="0">
      <w:start w:val="2"/>
      <w:numFmt w:val="chineseCounting"/>
      <w:lvlText w:val="（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58512DE9"/>
    <w:multiLevelType w:val="singleLevel"/>
    <w:tmpl w:val="58512DE9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066BA9"/>
    <w:multiLevelType w:val="singleLevel"/>
    <w:tmpl w:val="5A066BA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07B09C"/>
    <w:multiLevelType w:val="singleLevel"/>
    <w:tmpl w:val="5A07B09C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MjU3YzJkZjExOTIxODZlZjM5YWNiM2YxODQ5MjcifQ=="/>
  </w:docVars>
  <w:rsids>
    <w:rsidRoot w:val="00E810D6"/>
    <w:rsid w:val="00042E27"/>
    <w:rsid w:val="0008308C"/>
    <w:rsid w:val="000A4528"/>
    <w:rsid w:val="001307FD"/>
    <w:rsid w:val="001D2985"/>
    <w:rsid w:val="001E70B5"/>
    <w:rsid w:val="0022203A"/>
    <w:rsid w:val="00241EDB"/>
    <w:rsid w:val="0029088C"/>
    <w:rsid w:val="002B2A33"/>
    <w:rsid w:val="002B6418"/>
    <w:rsid w:val="002E3A95"/>
    <w:rsid w:val="002F39CD"/>
    <w:rsid w:val="003D754B"/>
    <w:rsid w:val="00464B59"/>
    <w:rsid w:val="004E0692"/>
    <w:rsid w:val="0055740E"/>
    <w:rsid w:val="00587492"/>
    <w:rsid w:val="005D125B"/>
    <w:rsid w:val="005D136A"/>
    <w:rsid w:val="0062621A"/>
    <w:rsid w:val="00685811"/>
    <w:rsid w:val="00686676"/>
    <w:rsid w:val="006D1C5B"/>
    <w:rsid w:val="0075445F"/>
    <w:rsid w:val="007A507B"/>
    <w:rsid w:val="007B32B5"/>
    <w:rsid w:val="007D6BF0"/>
    <w:rsid w:val="008058DC"/>
    <w:rsid w:val="0085792A"/>
    <w:rsid w:val="00881491"/>
    <w:rsid w:val="008A6E83"/>
    <w:rsid w:val="008C7744"/>
    <w:rsid w:val="008E1F6D"/>
    <w:rsid w:val="008F6336"/>
    <w:rsid w:val="00920F37"/>
    <w:rsid w:val="00981D0A"/>
    <w:rsid w:val="009975AD"/>
    <w:rsid w:val="009B685C"/>
    <w:rsid w:val="009E6D21"/>
    <w:rsid w:val="00A07D70"/>
    <w:rsid w:val="00A24C51"/>
    <w:rsid w:val="00A424A3"/>
    <w:rsid w:val="00AC7909"/>
    <w:rsid w:val="00B2646C"/>
    <w:rsid w:val="00B344D4"/>
    <w:rsid w:val="00B41ECC"/>
    <w:rsid w:val="00B5147B"/>
    <w:rsid w:val="00B64AF6"/>
    <w:rsid w:val="00B65975"/>
    <w:rsid w:val="00B73A86"/>
    <w:rsid w:val="00BB3FD4"/>
    <w:rsid w:val="00C122CB"/>
    <w:rsid w:val="00C41A1D"/>
    <w:rsid w:val="00D12F66"/>
    <w:rsid w:val="00D149D5"/>
    <w:rsid w:val="00D376C0"/>
    <w:rsid w:val="00E30A94"/>
    <w:rsid w:val="00E810D6"/>
    <w:rsid w:val="00EA4F56"/>
    <w:rsid w:val="00EC5509"/>
    <w:rsid w:val="00F915F9"/>
    <w:rsid w:val="00FD318D"/>
    <w:rsid w:val="013B67CD"/>
    <w:rsid w:val="01CA412B"/>
    <w:rsid w:val="03470FB6"/>
    <w:rsid w:val="0378464C"/>
    <w:rsid w:val="037D399A"/>
    <w:rsid w:val="03B213E5"/>
    <w:rsid w:val="05294534"/>
    <w:rsid w:val="05551F42"/>
    <w:rsid w:val="06096D52"/>
    <w:rsid w:val="064E3742"/>
    <w:rsid w:val="06550E5D"/>
    <w:rsid w:val="0699139F"/>
    <w:rsid w:val="0726741C"/>
    <w:rsid w:val="08D34D69"/>
    <w:rsid w:val="09E50DB9"/>
    <w:rsid w:val="0BB759F9"/>
    <w:rsid w:val="0BBF12CE"/>
    <w:rsid w:val="0CBF7A43"/>
    <w:rsid w:val="0DD4180B"/>
    <w:rsid w:val="0F71000A"/>
    <w:rsid w:val="0FAC01D7"/>
    <w:rsid w:val="12D113B6"/>
    <w:rsid w:val="130B706D"/>
    <w:rsid w:val="139106CF"/>
    <w:rsid w:val="13DE0FA8"/>
    <w:rsid w:val="14435AA4"/>
    <w:rsid w:val="163506CD"/>
    <w:rsid w:val="17252863"/>
    <w:rsid w:val="175940C0"/>
    <w:rsid w:val="17C16AC9"/>
    <w:rsid w:val="180D78B9"/>
    <w:rsid w:val="18714684"/>
    <w:rsid w:val="1AEF7278"/>
    <w:rsid w:val="1B2A5EA4"/>
    <w:rsid w:val="1CC97251"/>
    <w:rsid w:val="1CEB0A1C"/>
    <w:rsid w:val="1DD05D57"/>
    <w:rsid w:val="1E8167C1"/>
    <w:rsid w:val="1EA0654E"/>
    <w:rsid w:val="1EAA0AE1"/>
    <w:rsid w:val="21B66276"/>
    <w:rsid w:val="224B772B"/>
    <w:rsid w:val="228819EE"/>
    <w:rsid w:val="23251827"/>
    <w:rsid w:val="2716314B"/>
    <w:rsid w:val="287068C3"/>
    <w:rsid w:val="28812ADA"/>
    <w:rsid w:val="288A4B30"/>
    <w:rsid w:val="28B0025D"/>
    <w:rsid w:val="28E516DB"/>
    <w:rsid w:val="291A2FAB"/>
    <w:rsid w:val="299267B6"/>
    <w:rsid w:val="2AD57C75"/>
    <w:rsid w:val="2BAA47A7"/>
    <w:rsid w:val="2D177B76"/>
    <w:rsid w:val="2DCE40BA"/>
    <w:rsid w:val="2E066AE5"/>
    <w:rsid w:val="2E2777CE"/>
    <w:rsid w:val="2EE04A84"/>
    <w:rsid w:val="31D059F4"/>
    <w:rsid w:val="327E7E05"/>
    <w:rsid w:val="332A0BBD"/>
    <w:rsid w:val="3387759D"/>
    <w:rsid w:val="351C5D1D"/>
    <w:rsid w:val="35280D21"/>
    <w:rsid w:val="36DF5EE5"/>
    <w:rsid w:val="37874C6A"/>
    <w:rsid w:val="38333DEC"/>
    <w:rsid w:val="38963AA1"/>
    <w:rsid w:val="39461E7C"/>
    <w:rsid w:val="39A75722"/>
    <w:rsid w:val="3B6E7B6E"/>
    <w:rsid w:val="3C712CD5"/>
    <w:rsid w:val="3C803D11"/>
    <w:rsid w:val="3CEC5D53"/>
    <w:rsid w:val="3E8F468B"/>
    <w:rsid w:val="40CE5C29"/>
    <w:rsid w:val="43C23630"/>
    <w:rsid w:val="441C57E9"/>
    <w:rsid w:val="44240E6E"/>
    <w:rsid w:val="44986D47"/>
    <w:rsid w:val="456A5D0D"/>
    <w:rsid w:val="457C0C14"/>
    <w:rsid w:val="45B90BF3"/>
    <w:rsid w:val="460143F1"/>
    <w:rsid w:val="475B18CD"/>
    <w:rsid w:val="4905044E"/>
    <w:rsid w:val="4A4F1F05"/>
    <w:rsid w:val="4B7040C7"/>
    <w:rsid w:val="4CA957E7"/>
    <w:rsid w:val="4D9730D4"/>
    <w:rsid w:val="4E4335D2"/>
    <w:rsid w:val="50B96336"/>
    <w:rsid w:val="52BD6B96"/>
    <w:rsid w:val="599F259C"/>
    <w:rsid w:val="59AF56D7"/>
    <w:rsid w:val="5B2B3FCD"/>
    <w:rsid w:val="5BAB22C3"/>
    <w:rsid w:val="5BAE356C"/>
    <w:rsid w:val="5CB07A05"/>
    <w:rsid w:val="5E6E7F46"/>
    <w:rsid w:val="5ED17601"/>
    <w:rsid w:val="5EE61F2A"/>
    <w:rsid w:val="612F2391"/>
    <w:rsid w:val="61897173"/>
    <w:rsid w:val="63F21B1B"/>
    <w:rsid w:val="65493192"/>
    <w:rsid w:val="666C26EF"/>
    <w:rsid w:val="68541668"/>
    <w:rsid w:val="688B7C9F"/>
    <w:rsid w:val="698B7C5C"/>
    <w:rsid w:val="6AA3758A"/>
    <w:rsid w:val="6B511389"/>
    <w:rsid w:val="6B5B198D"/>
    <w:rsid w:val="6C3F6730"/>
    <w:rsid w:val="6CC20929"/>
    <w:rsid w:val="6D5763C1"/>
    <w:rsid w:val="6D81148F"/>
    <w:rsid w:val="6E8006EE"/>
    <w:rsid w:val="6ECC4D84"/>
    <w:rsid w:val="70746973"/>
    <w:rsid w:val="70954FFE"/>
    <w:rsid w:val="70BA2DA1"/>
    <w:rsid w:val="70CA1EEB"/>
    <w:rsid w:val="712E2502"/>
    <w:rsid w:val="71B87B2B"/>
    <w:rsid w:val="729B4F6A"/>
    <w:rsid w:val="731A1B81"/>
    <w:rsid w:val="733E01F4"/>
    <w:rsid w:val="73914722"/>
    <w:rsid w:val="7424079F"/>
    <w:rsid w:val="74D4598A"/>
    <w:rsid w:val="76FD3FC3"/>
    <w:rsid w:val="7803668D"/>
    <w:rsid w:val="7A4652CE"/>
    <w:rsid w:val="7AA5545A"/>
    <w:rsid w:val="7B541653"/>
    <w:rsid w:val="7BAA5900"/>
    <w:rsid w:val="7C332279"/>
    <w:rsid w:val="7C7F0C36"/>
    <w:rsid w:val="7D9A3104"/>
    <w:rsid w:val="7DB11A76"/>
    <w:rsid w:val="7DB94919"/>
    <w:rsid w:val="7F6937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[Normal]"/>
    <w:qFormat/>
    <w:uiPriority w:val="6"/>
    <w:rPr>
      <w:rFonts w:ascii="宋体" w:hAnsi="宋体" w:eastAsia="宋体" w:cs="Times New Roman"/>
      <w:color w:val="auto"/>
      <w:position w:val="0"/>
      <w:sz w:val="24"/>
      <w:u w:val="none"/>
      <w:shd w:val="clear" w:color="auto" w:fill="auto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2722</Words>
  <Characters>459</Characters>
  <Lines>3</Lines>
  <Paragraphs>6</Paragraphs>
  <TotalTime>0</TotalTime>
  <ScaleCrop>false</ScaleCrop>
  <LinksUpToDate>false</LinksUpToDate>
  <CharactersWithSpaces>3175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2017-05-19T01:51:00Z</dcterms:created>
  <dc:creator>lenovo</dc:creator>
  <cp:lastModifiedBy>Administrator</cp:lastModifiedBy>
  <cp:lastPrinted>2016-04-01T02:44:00Z</cp:lastPrinted>
  <dcterms:modified xsi:type="dcterms:W3CDTF">2024-05-23T02:09:33Z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966A7FA81F784EAA8A02668C9834C6D4</vt:lpwstr>
  </property>
</Properties>
</file>