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成安县民族宗教事务局2018年部门预算公开</w:t>
      </w:r>
    </w:p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情况说明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widowControl/>
        <w:spacing w:line="360" w:lineRule="auto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部门职责：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1、研究有关民族宗教问题的政策、法规，开展民族宗教政策法规的宣传教育工作，组织对民族、宗教治理的综合调查研究，掌握发展趋势和动向；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2、给县委、县政府提供策略性意见和建议，管理全县民族识别和民族成份鉴定工作，组织接待少数民族参观、考察等事宜；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3、依法保护公民宗教信仰自由，推动宗教人士进行爱国主义、社会主义、拥护祖统一和民族团结的自我教育；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4、协调县政府及时处理民族宗教方面的突发事件和影响社会稳定问题；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5、做好少数民族和信教群众对民族宗教事务的来信来访工作；</w:t>
      </w:r>
    </w:p>
    <w:p>
      <w:pPr>
        <w:widowControl/>
        <w:spacing w:line="360" w:lineRule="auto"/>
        <w:ind w:firstLine="627" w:firstLineChars="196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6、负责组织协调二祖寺、匡教寺的筹建工作。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人员编制13名，其中领导职数2个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5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成安县民族宗教事务局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方正仿宋_GBK"/>
          <w:sz w:val="32"/>
          <w:szCs w:val="32"/>
        </w:rPr>
        <w:t>年预算收入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107.56</w:t>
      </w:r>
      <w:r>
        <w:rPr>
          <w:rFonts w:hint="eastAsia" w:ascii="仿宋" w:hAnsi="仿宋" w:eastAsia="仿宋" w:cs="方正仿宋_GBK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107.56</w:t>
      </w:r>
      <w:r>
        <w:rPr>
          <w:rFonts w:hint="eastAsia" w:ascii="仿宋" w:hAnsi="仿宋" w:eastAsia="仿宋" w:cs="方正仿宋_GBK"/>
          <w:sz w:val="32"/>
          <w:szCs w:val="32"/>
        </w:rPr>
        <w:t>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方正仿宋_GBK"/>
          <w:sz w:val="32"/>
          <w:szCs w:val="32"/>
        </w:rPr>
        <w:t>年支出预算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107.56</w:t>
      </w:r>
      <w:r>
        <w:rPr>
          <w:rFonts w:hint="eastAsia" w:ascii="仿宋" w:hAnsi="仿宋" w:eastAsia="仿宋" w:cs="方正仿宋_GBK"/>
          <w:sz w:val="32"/>
          <w:szCs w:val="32"/>
        </w:rPr>
        <w:t>万元，其中基本支出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107.56</w:t>
      </w:r>
      <w:r>
        <w:rPr>
          <w:rFonts w:hint="eastAsia" w:ascii="仿宋" w:hAnsi="仿宋" w:eastAsia="仿宋" w:cs="方正仿宋_GBK"/>
          <w:sz w:val="32"/>
          <w:szCs w:val="32"/>
        </w:rPr>
        <w:t>万元，包括人员经费和日常公用经费。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方正仿宋_GBK"/>
          <w:sz w:val="32"/>
          <w:szCs w:val="32"/>
        </w:rPr>
        <w:t>年预算收支安排107.56万元，</w:t>
      </w:r>
      <w:r>
        <w:rPr>
          <w:rFonts w:ascii="仿宋" w:hAnsi="仿宋" w:eastAsia="仿宋" w:cs="仿宋_GB2312"/>
          <w:kern w:val="0"/>
          <w:sz w:val="32"/>
          <w:szCs w:val="32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7</w:t>
      </w:r>
      <w:r>
        <w:rPr>
          <w:rFonts w:ascii="仿宋" w:hAnsi="仿宋" w:eastAsia="仿宋" w:cs="仿宋_GB2312"/>
          <w:kern w:val="0"/>
          <w:sz w:val="32"/>
          <w:szCs w:val="32"/>
        </w:rPr>
        <w:t>年财政拨款收入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114.56</w:t>
      </w:r>
      <w:r>
        <w:rPr>
          <w:rFonts w:ascii="仿宋" w:hAnsi="仿宋" w:eastAsia="仿宋" w:cs="仿宋_GB2312"/>
          <w:kern w:val="0"/>
          <w:sz w:val="32"/>
          <w:szCs w:val="32"/>
        </w:rPr>
        <w:t>万元，总支出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114.56</w:t>
      </w:r>
      <w:r>
        <w:rPr>
          <w:rFonts w:ascii="仿宋" w:hAnsi="仿宋" w:eastAsia="仿宋" w:cs="仿宋_GB2312"/>
          <w:kern w:val="0"/>
          <w:sz w:val="32"/>
          <w:szCs w:val="32"/>
        </w:rPr>
        <w:t>万元。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与去年相比降低了7万元，积极贯彻落实新《预算法》，按照讲求绩效的原则，对于当年未使用的预算，在调整预算中予以调减。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日常公用经费安排3万元，包括：办公费、差旅费、交通费、会议费、招待费、其他支出等。</w:t>
      </w:r>
      <w:r>
        <w:rPr>
          <w:rFonts w:ascii="仿宋" w:hAnsi="仿宋" w:eastAsia="仿宋" w:cs="Calibri"/>
          <w:kern w:val="0"/>
          <w:sz w:val="32"/>
          <w:szCs w:val="32"/>
        </w:rPr>
        <w:t>人员经费支出</w:t>
      </w:r>
      <w:r>
        <w:rPr>
          <w:rFonts w:hint="eastAsia" w:ascii="仿宋" w:hAnsi="仿宋" w:eastAsia="仿宋" w:cs="Calibri"/>
          <w:kern w:val="0"/>
          <w:sz w:val="32"/>
          <w:szCs w:val="32"/>
        </w:rPr>
        <w:t>104.56</w:t>
      </w:r>
      <w:r>
        <w:rPr>
          <w:rFonts w:ascii="仿宋" w:hAnsi="仿宋" w:eastAsia="仿宋" w:cs="Calibri"/>
          <w:kern w:val="0"/>
          <w:sz w:val="32"/>
          <w:szCs w:val="32"/>
        </w:rPr>
        <w:t>万元，同比去年</w:t>
      </w:r>
      <w:r>
        <w:rPr>
          <w:rFonts w:hint="eastAsia" w:ascii="仿宋" w:hAnsi="仿宋" w:eastAsia="仿宋" w:cs="Calibri"/>
          <w:kern w:val="0"/>
          <w:sz w:val="32"/>
          <w:szCs w:val="32"/>
        </w:rPr>
        <w:t>减少10</w:t>
      </w:r>
      <w:r>
        <w:rPr>
          <w:rFonts w:ascii="仿宋" w:hAnsi="仿宋" w:eastAsia="仿宋" w:cs="Calibri"/>
          <w:kern w:val="0"/>
          <w:sz w:val="32"/>
          <w:szCs w:val="32"/>
        </w:rPr>
        <w:t>%。</w:t>
      </w:r>
      <w:r>
        <w:rPr>
          <w:rFonts w:hint="eastAsia" w:ascii="仿宋" w:hAnsi="仿宋" w:eastAsia="仿宋" w:cs="Calibri"/>
          <w:kern w:val="0"/>
          <w:sz w:val="32"/>
          <w:szCs w:val="32"/>
        </w:rPr>
        <w:t>减少</w:t>
      </w:r>
      <w:r>
        <w:rPr>
          <w:rFonts w:ascii="仿宋" w:hAnsi="仿宋" w:eastAsia="仿宋" w:cs="Calibri"/>
          <w:kern w:val="0"/>
          <w:sz w:val="32"/>
          <w:szCs w:val="32"/>
        </w:rPr>
        <w:t>原因是</w:t>
      </w:r>
      <w:r>
        <w:rPr>
          <w:rFonts w:hint="eastAsia" w:ascii="仿宋" w:hAnsi="仿宋" w:eastAsia="仿宋" w:cs="Calibri"/>
          <w:kern w:val="0"/>
          <w:sz w:val="32"/>
          <w:szCs w:val="32"/>
        </w:rPr>
        <w:t>退休</w:t>
      </w:r>
      <w:r>
        <w:rPr>
          <w:rFonts w:ascii="仿宋" w:hAnsi="仿宋" w:eastAsia="仿宋" w:cs="Calibri"/>
          <w:kern w:val="0"/>
          <w:sz w:val="32"/>
          <w:szCs w:val="32"/>
        </w:rPr>
        <w:t>人员增加</w:t>
      </w:r>
      <w:r>
        <w:rPr>
          <w:rFonts w:hint="eastAsia" w:ascii="仿宋" w:hAnsi="仿宋" w:eastAsia="仿宋" w:cs="Calibri"/>
          <w:kern w:val="0"/>
          <w:sz w:val="32"/>
          <w:szCs w:val="32"/>
        </w:rPr>
        <w:t>，</w:t>
      </w:r>
      <w:r>
        <w:rPr>
          <w:rFonts w:ascii="仿宋" w:hAnsi="仿宋" w:eastAsia="仿宋" w:cs="Calibri"/>
          <w:kern w:val="0"/>
          <w:sz w:val="32"/>
          <w:szCs w:val="32"/>
        </w:rPr>
        <w:t>工资总数减少。其中，工资福利支出</w:t>
      </w:r>
      <w:r>
        <w:rPr>
          <w:rFonts w:hint="eastAsia" w:ascii="仿宋" w:hAnsi="仿宋" w:eastAsia="仿宋" w:cs="Calibri"/>
          <w:kern w:val="0"/>
          <w:sz w:val="32"/>
          <w:szCs w:val="32"/>
        </w:rPr>
        <w:t>96.96</w:t>
      </w:r>
      <w:r>
        <w:rPr>
          <w:rFonts w:ascii="仿宋" w:hAnsi="仿宋" w:eastAsia="仿宋" w:cs="Calibri"/>
          <w:kern w:val="0"/>
          <w:sz w:val="32"/>
          <w:szCs w:val="32"/>
        </w:rPr>
        <w:t>万元，对个人和家庭的补助支出</w:t>
      </w:r>
      <w:r>
        <w:rPr>
          <w:rFonts w:hint="eastAsia" w:ascii="仿宋" w:hAnsi="仿宋" w:eastAsia="仿宋" w:cs="Calibri"/>
          <w:kern w:val="0"/>
          <w:sz w:val="32"/>
          <w:szCs w:val="32"/>
        </w:rPr>
        <w:t>7.6</w:t>
      </w:r>
      <w:r>
        <w:rPr>
          <w:rFonts w:ascii="仿宋" w:hAnsi="仿宋" w:eastAsia="仿宋" w:cs="Calibri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年度“三公”预算支出0.5万元，其中，因公出国（境）费0元，安排公务用车维护费16万元，（其中公务用车购置费0万元，公务用车运行维护费0.5万元），公务接等费0万元，2018年“三公”经费减少了10%，由于公车维护费用下降的原因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spacing w:line="560" w:lineRule="exact"/>
        <w:jc w:val="center"/>
        <w:outlineLvl w:val="0"/>
        <w:rPr>
          <w:rFonts w:ascii="宋体" w:hAnsi="宋体" w:eastAsia="宋体" w:cs="Times New Roman"/>
          <w:sz w:val="32"/>
          <w:szCs w:val="32"/>
        </w:rPr>
      </w:pPr>
      <w:bookmarkStart w:id="0" w:name="_Toc471398463"/>
      <w:r>
        <w:rPr>
          <w:rFonts w:hint="eastAsia" w:ascii="宋体" w:hAnsi="宋体" w:eastAsia="宋体" w:cs="方正小标宋_GBK"/>
          <w:sz w:val="32"/>
          <w:szCs w:val="32"/>
        </w:rPr>
        <w:t>部门职责</w:t>
      </w:r>
      <w:r>
        <w:rPr>
          <w:rFonts w:ascii="宋体" w:hAnsi="宋体" w:eastAsia="宋体" w:cs="方正小标宋_GBK"/>
          <w:sz w:val="32"/>
          <w:szCs w:val="32"/>
        </w:rPr>
        <w:t>-</w:t>
      </w:r>
      <w:r>
        <w:rPr>
          <w:rFonts w:hint="eastAsia" w:ascii="宋体" w:hAnsi="宋体" w:eastAsia="宋体" w:cs="方正小标宋_GBK"/>
          <w:sz w:val="32"/>
          <w:szCs w:val="32"/>
        </w:rPr>
        <w:t>工作活动绩效目标</w:t>
      </w:r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</w:p>
    <w:tbl>
      <w:tblPr>
        <w:tblStyle w:val="5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492</w:t>
            </w:r>
            <w:r>
              <w:rPr>
                <w:rFonts w:hint="eastAsia" w:ascii="方正小标宋_GBK" w:eastAsia="方正小标宋_GBK"/>
                <w:sz w:val="24"/>
              </w:rPr>
              <w:t>成安县民族宗教局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宗教事务管理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贯彻执行国家关于少数民族工作的方针政策；协调处理涉及民族关系的有关事宜，监督办理少数民族权益保障事宜；帮扶民族地方经济发展；研究少数民族文教体艺等方面的特殊问题，开展相关保护开发活动。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加强民族事务管理工作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宗教基本事务管理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贯彻执行国家关于宗教工作的方针政策；监督检查宗教活动场所；对困难宗教教职人员进行补助；协调指导各教的基本事务管理工作；帮助管理县属宗教院校。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完成宗教基本事务，加大全县宗教活动场所检查力度，及时解决各类宗教问题。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重点宗教活动场所检查覆盖率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天主教综合治理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对地下主教、神甫及其骨干分子进行监控、反渗透，研究天主教神职人员生活补助政策，巩固爱国人员的领导地位。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加大补助力度，增强反渗透能力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天主教神职人员补助覆盖率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培训教育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教育、培训各大宗教教职人员和信教群众，培养各大宗教爱国爱教人士，促进社会和谐稳定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增强培训效果</w:t>
            </w:r>
            <w:bookmarkStart w:id="2" w:name="_GoBack"/>
            <w:bookmarkEnd w:id="2"/>
            <w:r>
              <w:rPr>
                <w:rFonts w:hint="eastAsia" w:ascii="方正书宋_GBK" w:eastAsia="方正书宋_GBK"/>
              </w:rPr>
              <w:t>，确保结识人员数量和质量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培训班次数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人员培训量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协同管理涉外事宜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协同管理宗教界人员对外交流、伊斯兰教朝觐等涉外事宜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加强宗教界人员各种涉外事务管理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宗教涉外事务办结率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民族事务管理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贯彻执行国家关于少数民族工作的方针政策；协调处理涉及民族关系的有关事宜，监督办理少数民族权益保障事宜；帮扶民族地方经济发展；研究少数民族文教体艺等方面的特殊问题，开展相关保护开发活动。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加强民族事务管理工作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负责局机关人事、劳资、行政后勤、财务和资产管理工作。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保证机关正常运转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加强民族宗教的法制宣传和团结教育，团结和动员广大信教群众为改革开放和经济建设服务。协助处理民族宗教方面的维稳问题。进行清真食品检查、认证；处理其他不可预见的民族宗教问题。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不断提高民族宗教法律政策宣传覆盖率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加大宣传教育力度</w:t>
            </w:r>
            <w:r>
              <w:rPr>
                <w:rFonts w:ascii="方正书宋_GBK" w:eastAsia="方正书宋_GBK"/>
              </w:rPr>
              <w:t>;</w:t>
            </w:r>
            <w:r>
              <w:rPr>
                <w:rFonts w:hint="eastAsia" w:ascii="方正书宋_GBK" w:eastAsia="方正书宋_GBK"/>
              </w:rPr>
              <w:t>妥善协助解决突发事件</w:t>
            </w:r>
            <w:r>
              <w:rPr>
                <w:rFonts w:ascii="方正书宋_GBK" w:eastAsia="方正书宋_GBK"/>
              </w:rPr>
              <w:t>;</w:t>
            </w:r>
            <w:r>
              <w:rPr>
                <w:rFonts w:hint="eastAsia" w:ascii="方正书宋_GBK" w:eastAsia="方正书宋_GBK"/>
              </w:rPr>
              <w:t>提高清真食品检查认证的免费服务效率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及时解决其他民族宗教问题。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维稳突出问题解决率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清真食品认证服务满意度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</w:tr>
      <w:bookmarkEnd w:id="0"/>
    </w:tbl>
    <w:p>
      <w:pPr>
        <w:autoSpaceDE w:val="0"/>
        <w:autoSpaceDN w:val="0"/>
        <w:adjustRightInd w:val="0"/>
        <w:spacing w:line="560" w:lineRule="exact"/>
        <w:ind w:left="-420" w:leftChars="-200" w:firstLine="800" w:firstLineChars="25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widowControl/>
        <w:spacing w:line="360" w:lineRule="auto"/>
        <w:ind w:left="-420" w:leftChars="-200" w:firstLine="640" w:firstLineChars="200"/>
        <w:jc w:val="left"/>
        <w:rPr>
          <w:rFonts w:ascii="仿宋_GB2312" w:hAnsi="微软雅黑" w:eastAsia="仿宋_GB2312" w:cs="仿宋_GB2312"/>
          <w:kern w:val="0"/>
          <w:sz w:val="32"/>
          <w:szCs w:val="32"/>
        </w:rPr>
      </w:pPr>
      <w:bookmarkStart w:id="1" w:name="_Toc471398468"/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2018年，我单位安排政府采购预算0.9万元。具体内容见下表。</w:t>
      </w: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>部门政府采购预算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955"/>
        <w:gridCol w:w="786"/>
        <w:gridCol w:w="1250"/>
        <w:gridCol w:w="786"/>
        <w:gridCol w:w="786"/>
        <w:gridCol w:w="807"/>
        <w:gridCol w:w="804"/>
        <w:gridCol w:w="804"/>
        <w:gridCol w:w="804"/>
        <w:gridCol w:w="732"/>
        <w:gridCol w:w="789"/>
        <w:gridCol w:w="789"/>
        <w:gridCol w:w="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5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2105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482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数量单位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2105" w:type="pct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36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82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1510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82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285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0.9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0.9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0.9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0.9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电脑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电脑</w:t>
            </w:r>
          </w:p>
        </w:tc>
        <w:tc>
          <w:tcPr>
            <w:tcW w:w="482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空调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0.6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空调</w:t>
            </w:r>
          </w:p>
        </w:tc>
        <w:tc>
          <w:tcPr>
            <w:tcW w:w="482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0.6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0.6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0.6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七、国有资产信息</w:t>
      </w:r>
    </w:p>
    <w:p>
      <w:pPr>
        <w:widowControl/>
        <w:spacing w:line="360" w:lineRule="auto"/>
        <w:ind w:left="412" w:leftChars="196"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截止上年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末固定资产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固定资产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帐面结余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10.48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其中：车辆价值10万元，其它资产价值0.48万元。</w:t>
      </w:r>
    </w:p>
    <w:tbl>
      <w:tblPr>
        <w:tblStyle w:val="5"/>
        <w:tblW w:w="5000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5"/>
        <w:gridCol w:w="1224"/>
        <w:gridCol w:w="5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编制部门：。。。。</w:t>
            </w:r>
          </w:p>
        </w:tc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2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0.48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八、</w:t>
      </w:r>
      <w:r>
        <w:rPr>
          <w:rFonts w:hint="eastAsia" w:ascii="黑体" w:hAnsi="黑体" w:eastAsia="黑体" w:cs="仿宋"/>
          <w:kern w:val="0"/>
          <w:sz w:val="32"/>
          <w:szCs w:val="32"/>
        </w:rPr>
        <w:t>名词解释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600" w:firstLineChars="2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无其他需要说明的事项。</w:t>
      </w:r>
    </w:p>
    <w:p>
      <w:pPr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</w:p>
    <w:bookmarkEnd w:id="1"/>
    <w:p>
      <w:pPr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9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ZTRiNjRjNGMzNTlmNzA3YzQ4ZmQ1OGJmYjU4NmIifQ=="/>
  </w:docVars>
  <w:rsids>
    <w:rsidRoot w:val="00524AAA"/>
    <w:rsid w:val="000533B1"/>
    <w:rsid w:val="000A796E"/>
    <w:rsid w:val="000E7942"/>
    <w:rsid w:val="00101C7A"/>
    <w:rsid w:val="0012190A"/>
    <w:rsid w:val="00131928"/>
    <w:rsid w:val="00141DBE"/>
    <w:rsid w:val="001A3CB4"/>
    <w:rsid w:val="001E0232"/>
    <w:rsid w:val="00206B22"/>
    <w:rsid w:val="002307B5"/>
    <w:rsid w:val="002A2E1A"/>
    <w:rsid w:val="002C0317"/>
    <w:rsid w:val="002E78C6"/>
    <w:rsid w:val="00301B33"/>
    <w:rsid w:val="00325594"/>
    <w:rsid w:val="00327C3F"/>
    <w:rsid w:val="0037750D"/>
    <w:rsid w:val="003C4C5D"/>
    <w:rsid w:val="003D1126"/>
    <w:rsid w:val="003D1369"/>
    <w:rsid w:val="003D22B1"/>
    <w:rsid w:val="00424089"/>
    <w:rsid w:val="00453A06"/>
    <w:rsid w:val="00524AAA"/>
    <w:rsid w:val="005412A2"/>
    <w:rsid w:val="00562CDE"/>
    <w:rsid w:val="005730D6"/>
    <w:rsid w:val="00577694"/>
    <w:rsid w:val="005F4345"/>
    <w:rsid w:val="0068144F"/>
    <w:rsid w:val="006C151A"/>
    <w:rsid w:val="00743454"/>
    <w:rsid w:val="00747D9E"/>
    <w:rsid w:val="007775CB"/>
    <w:rsid w:val="007B4EB3"/>
    <w:rsid w:val="007C484E"/>
    <w:rsid w:val="007F0D2E"/>
    <w:rsid w:val="00825F97"/>
    <w:rsid w:val="008327A0"/>
    <w:rsid w:val="00856467"/>
    <w:rsid w:val="008C330E"/>
    <w:rsid w:val="00933068"/>
    <w:rsid w:val="009434D9"/>
    <w:rsid w:val="00973104"/>
    <w:rsid w:val="00990CB9"/>
    <w:rsid w:val="009B2D48"/>
    <w:rsid w:val="009C264C"/>
    <w:rsid w:val="009F0612"/>
    <w:rsid w:val="00A12AE7"/>
    <w:rsid w:val="00A15ADE"/>
    <w:rsid w:val="00A47CED"/>
    <w:rsid w:val="00A6455D"/>
    <w:rsid w:val="00A660AE"/>
    <w:rsid w:val="00A95F51"/>
    <w:rsid w:val="00AB31C3"/>
    <w:rsid w:val="00AC6968"/>
    <w:rsid w:val="00B13EFE"/>
    <w:rsid w:val="00B203A3"/>
    <w:rsid w:val="00B46165"/>
    <w:rsid w:val="00B50088"/>
    <w:rsid w:val="00B500A4"/>
    <w:rsid w:val="00B549B9"/>
    <w:rsid w:val="00BA40C6"/>
    <w:rsid w:val="00BA6B82"/>
    <w:rsid w:val="00CD0F72"/>
    <w:rsid w:val="00CF27CE"/>
    <w:rsid w:val="00D27A25"/>
    <w:rsid w:val="00D312BA"/>
    <w:rsid w:val="00D73351"/>
    <w:rsid w:val="00E000C9"/>
    <w:rsid w:val="00E24B37"/>
    <w:rsid w:val="00E474B2"/>
    <w:rsid w:val="00E87B0C"/>
    <w:rsid w:val="00E91C36"/>
    <w:rsid w:val="00F14752"/>
    <w:rsid w:val="00F311AF"/>
    <w:rsid w:val="00F66032"/>
    <w:rsid w:val="00F975CB"/>
    <w:rsid w:val="00FB5EA2"/>
    <w:rsid w:val="38715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link w:val="2"/>
    <w:semiHidden/>
    <w:uiPriority w:val="99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442</Words>
  <Characters>2521</Characters>
  <Lines>21</Lines>
  <Paragraphs>5</Paragraphs>
  <TotalTime>36</TotalTime>
  <ScaleCrop>false</ScaleCrop>
  <LinksUpToDate>false</LinksUpToDate>
  <CharactersWithSpaces>2958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2017-11-12T03:02:00Z</dcterms:created>
  <dc:creator>旭东</dc:creator>
  <cp:lastModifiedBy>WPS_1657181579</cp:lastModifiedBy>
  <cp:lastPrinted>2017-11-12T02:02:00Z</cp:lastPrinted>
  <dcterms:modified xsi:type="dcterms:W3CDTF">2024-01-17T08:58:05Z</dcterms:modified>
  <dc:title>2017年部门预算公开督导整改要求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8364093D74674E2F8ABB389F479A1D1E_12</vt:lpwstr>
  </property>
</Properties>
</file>