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 w:hAnsi="宋体" w:cs="Times New Roman"/>
          <w:b/>
          <w:sz w:val="44"/>
          <w:szCs w:val="44"/>
        </w:rPr>
      </w:pPr>
      <w:r>
        <w:rPr>
          <w:rFonts w:hint="eastAsia" w:ascii="宋体" w:hAnsi="宋体" w:cs="Times New Roman"/>
          <w:b/>
          <w:sz w:val="44"/>
          <w:szCs w:val="44"/>
        </w:rPr>
        <w:t>成安县公安局</w:t>
      </w:r>
      <w:r>
        <w:rPr>
          <w:rFonts w:ascii="宋体" w:hAnsi="宋体" w:cs="Times New Roman"/>
          <w:b/>
          <w:sz w:val="44"/>
          <w:szCs w:val="44"/>
        </w:rPr>
        <w:t>201</w:t>
      </w:r>
      <w:r>
        <w:rPr>
          <w:rFonts w:hint="eastAsia" w:ascii="宋体" w:hAnsi="宋体" w:cs="Times New Roman"/>
          <w:b/>
          <w:sz w:val="44"/>
          <w:szCs w:val="44"/>
        </w:rPr>
        <w:t>8</w:t>
      </w:r>
      <w:r>
        <w:rPr>
          <w:rFonts w:ascii="宋体" w:hAnsi="宋体" w:cs="Times New Roman"/>
          <w:b/>
          <w:sz w:val="44"/>
          <w:szCs w:val="44"/>
        </w:rPr>
        <w:t>年部门预算信息公开</w:t>
      </w:r>
      <w:r>
        <w:rPr>
          <w:rFonts w:hint="eastAsia" w:ascii="宋体" w:hAnsi="宋体" w:cs="Times New Roman"/>
          <w:b/>
          <w:sz w:val="44"/>
          <w:szCs w:val="44"/>
        </w:rPr>
        <w:t>情况说明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bookmarkStart w:id="1" w:name="_GoBack"/>
      <w:bookmarkEnd w:id="1"/>
      <w:r>
        <w:rPr>
          <w:rFonts w:ascii="仿宋" w:hAnsi="仿宋" w:eastAsia="仿宋" w:cs="仿宋"/>
          <w:sz w:val="32"/>
          <w:szCs w:val="32"/>
        </w:rPr>
        <w:t>预算法》有关规定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ascii="仿宋" w:hAnsi="仿宋" w:eastAsia="仿宋" w:cs="仿宋"/>
          <w:sz w:val="32"/>
          <w:szCs w:val="32"/>
        </w:rPr>
        <w:t>财政部关于印发《地方预决算公开操作规程》的通知，现将</w:t>
      </w:r>
      <w:r>
        <w:rPr>
          <w:rFonts w:hint="eastAsia" w:ascii="仿宋" w:hAnsi="仿宋" w:eastAsia="仿宋" w:cs="仿宋"/>
          <w:sz w:val="32"/>
          <w:szCs w:val="32"/>
        </w:rPr>
        <w:t>成安县公安</w:t>
      </w:r>
      <w:r>
        <w:rPr>
          <w:rFonts w:ascii="仿宋" w:hAnsi="仿宋" w:eastAsia="仿宋" w:cs="仿宋"/>
          <w:sz w:val="32"/>
          <w:szCs w:val="32"/>
        </w:rPr>
        <w:t>局201</w:t>
      </w: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ascii="仿宋" w:hAnsi="仿宋" w:eastAsia="仿宋" w:cs="仿宋"/>
          <w:sz w:val="32"/>
          <w:szCs w:val="32"/>
        </w:rPr>
        <w:t>年部门预算公开如下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部门职责及机构设置情况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（一）据县委、政府和上级公安机关的指示，组织、部署全县公安工作，并检查、监督贯彻执行情况。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（二）严密掌握全县敌情、社会治安和刑事犯罪情况，及时预防、制止和侦查违法犯罪活动，为县委、县政府和上级公安机关及时提供重要信息和对策；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（三）规划和指导全县公安机关的思想政治工作，加强公安队伍的正规化建设以及公安宣传、教育训练工作，负责对全局及其人民警察依法履行职责、行使职权和遵守纪律的情况进行监督、检查。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（四）承办由公安机关负责的危害国家安全的案件；负责刑事案件的侦察、预审和组织协调工作。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（五）依法管理社会治安、户籍、居民身份证、出入境工作；组织、实施消防和林业保卫工作，依法进行监督、检查。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（六）按照有关规定，管理全县道路交通安全、车辆和驾驶人员，维护交通秩序。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（七）依法指导和监督全县机关、团体、企事业单位和安全保卫工作、企事业单位保卫组织建设。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（八）组织实施全县范围内的安全警卫工作。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（九）负责县看守所、拘留所的建设和管理工作。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（十）负责全局的机要通信和公共信息网络系统的安全监察工作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（十一）法律、法规规定的其它职责和承办县委、县政府及上级公安机关交办的其它事项。</w:t>
      </w:r>
    </w:p>
    <w:p>
      <w:pPr>
        <w:pStyle w:val="9"/>
        <w:widowControl/>
        <w:spacing w:line="540" w:lineRule="exact"/>
        <w:ind w:firstLine="641"/>
        <w:jc w:val="left"/>
        <w:rPr>
          <w:rFonts w:ascii="华文楷体" w:hAnsi="华文楷体" w:eastAsia="华文楷体" w:cs="Calibri"/>
          <w:b/>
          <w:kern w:val="0"/>
          <w:sz w:val="32"/>
          <w:szCs w:val="32"/>
        </w:rPr>
      </w:pPr>
      <w:r>
        <w:rPr>
          <w:rFonts w:hint="eastAsia" w:ascii="华文楷体" w:hAnsi="华文楷体" w:eastAsia="华文楷体" w:cs="Calibri"/>
          <w:b/>
          <w:kern w:val="0"/>
          <w:sz w:val="32"/>
          <w:szCs w:val="32"/>
        </w:rPr>
        <w:t>内设</w:t>
      </w:r>
      <w:r>
        <w:rPr>
          <w:rFonts w:ascii="华文楷体" w:hAnsi="华文楷体" w:eastAsia="华文楷体" w:cs="Calibri"/>
          <w:b/>
          <w:kern w:val="0"/>
          <w:sz w:val="32"/>
          <w:szCs w:val="32"/>
        </w:rPr>
        <w:t>机构</w:t>
      </w:r>
      <w:r>
        <w:rPr>
          <w:rFonts w:hint="eastAsia" w:ascii="华文楷体" w:hAnsi="华文楷体" w:eastAsia="华文楷体" w:cs="Calibri"/>
          <w:b/>
          <w:kern w:val="0"/>
          <w:sz w:val="32"/>
          <w:szCs w:val="32"/>
        </w:rPr>
        <w:t>及职责</w:t>
      </w:r>
    </w:p>
    <w:p>
      <w:pPr>
        <w:widowControl/>
        <w:spacing w:line="540" w:lineRule="exac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　　成安县公安局，预算编码是312002，内设37个内部机构。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1、</w:t>
      </w:r>
      <w:r>
        <w:rPr>
          <w:rFonts w:hint="eastAsia" w:ascii="仿宋" w:hAnsi="仿宋" w:eastAsia="仿宋" w:cs="仿宋"/>
          <w:sz w:val="32"/>
          <w:szCs w:val="32"/>
        </w:rPr>
        <w:t>政治处职责：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协助局党委做好公安队伍的思想、组织、纪律作风和精神文明建设；承办警衔管理、录警、理论教育、岗位培训和本局的机构编制、人事劳资、职工档案工作；协助组织人事部门管理、考核、推荐领导干部；对干部任免、调动、离退休、奖惩办理呈报审批手续；负责局机关基层党组织建设和党员队伍的管理以及对外宣传等工作。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2、指挥中心职责：</w:t>
      </w:r>
    </w:p>
    <w:p>
      <w:pPr>
        <w:pStyle w:val="9"/>
        <w:spacing w:line="540" w:lineRule="exact"/>
        <w:ind w:left="360"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助局领导在处置暴力案件、突发事件和重大治安事件时进行指挥调度；接受社会和重点单位的报警及群众的求援求助；对性质严重和跨区域的案件统一调度、指挥诸警种联合作战；制定处置各类突发事件总体工作预案。协调有关部门及时准确地为领导提供政策，法律依据；对各项业务工作的完成情况进行检查以及草拟文件、组织会议、协调各项工作关系；负责领导指令的具体下达；负责机要、通讯、文秘、调研、信息反馈、档案管理工作和全局情况综合。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3、办公室</w:t>
      </w:r>
    </w:p>
    <w:p>
      <w:pPr>
        <w:pStyle w:val="9"/>
        <w:spacing w:line="540" w:lineRule="exact"/>
        <w:ind w:left="360"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全局的财务、装备、基建、生活服务等工作。组织发放装备物资、警服、颈线标志、申报、分配、管理公安业务经费及其它专项拨款；负责局机关的财务和国有资产管理，承担日常生活、医疗卫生、伙食供应、接待服务和门卫及机关内部保卫工作。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4、警务督察队</w:t>
      </w:r>
    </w:p>
    <w:p>
      <w:pPr>
        <w:pStyle w:val="9"/>
        <w:spacing w:line="540" w:lineRule="exact"/>
        <w:ind w:left="360"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负责收集、管理、反馈全县警务督察情况；起草、制定有关督查工作文件；按照警务督察条例搞好现场督察、并负责“110”受理的群众对公安民警的举报和投诉的查处工作。</w:t>
      </w:r>
    </w:p>
    <w:p>
      <w:pPr>
        <w:widowControl/>
        <w:spacing w:line="540" w:lineRule="exact"/>
        <w:ind w:firstLine="640" w:firstLineChars="200"/>
        <w:jc w:val="left"/>
        <w:rPr>
          <w:rFonts w:ascii="华文楷体" w:hAnsi="华文楷体" w:eastAsia="华文楷体" w:cs="Calibri"/>
          <w:b/>
          <w:kern w:val="0"/>
          <w:sz w:val="32"/>
          <w:szCs w:val="32"/>
        </w:rPr>
      </w:pPr>
      <w:r>
        <w:rPr>
          <w:rFonts w:hint="eastAsia" w:ascii="华文楷体" w:hAnsi="华文楷体" w:eastAsia="华文楷体" w:cs="Calibri"/>
          <w:b/>
          <w:kern w:val="0"/>
          <w:sz w:val="32"/>
          <w:szCs w:val="32"/>
        </w:rPr>
        <w:t>人员编制和领导职数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1</w:t>
      </w:r>
      <w:r>
        <w:rPr>
          <w:rFonts w:hint="eastAsia" w:ascii="仿宋" w:hAnsi="仿宋" w:eastAsia="仿宋" w:cs="Calibri"/>
          <w:b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成安县公安局，人员编制265名，其中领导职数7个。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机构设置：</w:t>
      </w:r>
    </w:p>
    <w:p>
      <w:pPr>
        <w:jc w:val="center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部门机构设置情况</w:t>
      </w:r>
    </w:p>
    <w:tbl>
      <w:tblPr>
        <w:tblStyle w:val="7"/>
        <w:tblW w:w="86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1539"/>
        <w:gridCol w:w="1560"/>
        <w:gridCol w:w="22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15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单位规格</w:t>
            </w:r>
          </w:p>
        </w:tc>
        <w:tc>
          <w:tcPr>
            <w:tcW w:w="22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222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32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成安县公安局</w:t>
            </w:r>
          </w:p>
        </w:tc>
        <w:tc>
          <w:tcPr>
            <w:tcW w:w="153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 w:val="20"/>
              </w:rPr>
              <w:t>行政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副县级</w:t>
            </w:r>
          </w:p>
        </w:tc>
        <w:tc>
          <w:tcPr>
            <w:tcW w:w="222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 w:val="20"/>
              </w:rPr>
              <w:t>财政拨款</w:t>
            </w:r>
          </w:p>
        </w:tc>
      </w:tr>
    </w:tbl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二、部门预算安排的总体情况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、收入说明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8年预算收入2338.8万元，其中：一般公共预算收入2338.8万元，政府性基金收入0万元，国有资本经营收入0万元，事业收入0万元，其他收入0万元。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8年支出预算2338.8万元，其中基本支出2338.8万元，包括人员经费2036.26万和日常公用经费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8年预算收支安排2338.8万元</w:t>
      </w:r>
      <w:r>
        <w:rPr>
          <w:rFonts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与去年相比降低了500万元，积极贯彻落实新《预算法》，按照讲求绩效的原则，对于当年未使用的预算，在调整预算中予以调减。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三、机关运行经费安排情况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机关运行经费共计安排302.54万元，主要用于办公区的日常维修、办公用房水电费、邮电费、办公用房取暖费、办公用房物业管理费等日常运行支出。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四、财政拨款“三公”经费预算情况及增减变化原因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度“三公”预算支出60万元，安排公务用车维护费60万元，（其中公务用车购置费0万元，公务用车运行维护费60万元），公务接等费0万元，2018年“三公”经费预算减少了5%。由于2017年实行车补，油修费用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安排</w:t>
      </w:r>
      <w:r>
        <w:rPr>
          <w:rFonts w:hint="eastAsia" w:ascii="仿宋" w:hAnsi="仿宋" w:eastAsia="仿宋" w:cs="仿宋"/>
          <w:sz w:val="32"/>
          <w:szCs w:val="32"/>
        </w:rPr>
        <w:t>减少。</w:t>
      </w:r>
    </w:p>
    <w:p>
      <w:pPr>
        <w:widowControl/>
        <w:spacing w:line="540" w:lineRule="exact"/>
        <w:ind w:firstLine="640" w:firstLineChars="200"/>
        <w:jc w:val="left"/>
        <w:rPr>
          <w:rFonts w:ascii="宋体" w:hAnsi="宋体" w:cs="仿宋"/>
          <w:bCs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eastAsia="仿宋_GB2312" w:cs="Calibri"/>
          <w:b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eastAsia="仿宋_GB2312" w:cs="Calibri"/>
          <w:b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eastAsia="仿宋_GB2312" w:cs="Calibri"/>
          <w:b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五、绩效预算情况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总体绩效目标：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维护国家安全。预防打击危害国家安全和全区社会稳定的案件及事件。维护国家安全和政治稳定。针对境内外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ascii="仿宋" w:hAnsi="仿宋" w:eastAsia="仿宋" w:cs="Times New Roman"/>
          <w:sz w:val="32"/>
          <w:szCs w:val="32"/>
        </w:rPr>
        <w:t>民运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ascii="仿宋" w:hAnsi="仿宋" w:eastAsia="仿宋" w:cs="Times New Roman"/>
          <w:sz w:val="32"/>
          <w:szCs w:val="32"/>
        </w:rPr>
        <w:t>、极端宗教等敌对势力、敌对组织和敌对分子，在民族宗教、社科高校、新闻出版、涉外及其他特殊领域，运用专门力量和手段，开展情报信息、专案侦察和防范保卫工作。组织、协调、指导全区反恐怖工作；搜集、分析、研判全区涉恐情报信息，掌握恐怖活动特点和动向；做好涉恐重点人管控和涉恐情报线索核查；指导、协调有关单位开展反恐怖防范工作；开展全区应急处突拉动演练；不断完善各类反恐应急预案；组织、指导、协调、参与个人极端事件、群体性事件等紧急突发事件的处置和大型活动安保工作。组织开展网络安全保卫工作，监督、检察、指导信息安全登记保护工作；立案侦办涉及网络安全的重特大案件；开展互联网信息巡查处置、舆情引导反制工作。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打击防范违法犯罪。指导各类刑事案件、经济犯罪案件、毒品犯罪案件、网络犯罪案件的侦查工作，直接立案侦办重特大案件；指导、办理食品药品安全、环境安全保卫工作。降低案件发案率，提高案件侦破率。督导协调暴力犯罪案件、文物走私案件、多发性侵财案件和其他刑事案件的侦破。组织指挥协调全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扫</w:t>
      </w:r>
      <w:r>
        <w:rPr>
          <w:rFonts w:ascii="仿宋" w:hAnsi="仿宋" w:eastAsia="仿宋" w:cs="Times New Roman"/>
          <w:sz w:val="32"/>
          <w:szCs w:val="32"/>
        </w:rPr>
        <w:t>黑除恶工作，直接或组织侦办黑社会性质组织案件和恶势力团伙案件；组织指挥协调全区涉及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ascii="仿宋" w:hAnsi="仿宋" w:eastAsia="仿宋" w:cs="Times New Roman"/>
          <w:sz w:val="32"/>
          <w:szCs w:val="32"/>
        </w:rPr>
        <w:t>伪基站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ascii="仿宋" w:hAnsi="仿宋" w:eastAsia="仿宋" w:cs="Times New Roman"/>
          <w:sz w:val="32"/>
          <w:szCs w:val="32"/>
        </w:rPr>
        <w:t>、非法调查类等非接触性新型犯罪工作，直接或组织侦办新型犯罪案件。侦破全区重大经济犯罪案、毒品违法犯罪案、网络违法犯罪案、食品药品安全犯罪案、环境安全犯罪案的侦查工作，直接立案侦办重特大案件。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社会面防控。维护社会稳定，提高群众安全感和满意度。加强社会治安防控建设，有效预防和减少可防性案件发生，打击犯罪。对常住、暂住、重点人口和出租房屋进行治安管理；全区居民提供身份证、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户口簿</w:t>
      </w:r>
      <w:r>
        <w:rPr>
          <w:rFonts w:ascii="仿宋" w:hAnsi="仿宋" w:eastAsia="仿宋" w:cs="Times New Roman"/>
          <w:sz w:val="32"/>
          <w:szCs w:val="32"/>
        </w:rPr>
        <w:t>、准迁证、迁移证等特种证件生产制作以及发放、存储等管理工作。派出所规范化建设、负责护城河常态化建设，对全区内部单位、行业场所、金融、保安、枪械、危爆物品等进行管理，全区治安案件查处，掌握全区治安形势。对区域集会、游行、示威实施审批；开展全区防暴处突拉动演练；不断完善各类防暴处突应急预案；组织、指导、协调、参与重大突发事件处置和大型活动安保工作。出入境管理工作，管理全区公民非公务活动出境和来我市境外人员，依法组织侦办和查处涉外案（事）件；管理全区出入境证件的管理、制作工作。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tbl>
      <w:tblPr>
        <w:tblStyle w:val="7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312</w:t>
            </w:r>
            <w:r>
              <w:rPr>
                <w:rFonts w:hint="eastAsia" w:ascii="方正小标宋_GBK" w:eastAsia="方正小标宋_GBK"/>
                <w:sz w:val="24"/>
              </w:rPr>
              <w:t>成安县公安局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维护国家安全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预防打击危害国家安全和县级社会稳定的案件及事件。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维护国家安全和政治稳定。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国内安全保卫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针对境内外</w:t>
            </w: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民运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、极端宗教等敌对势力、敌对组织和敌对分子，在民族宗教、社科高校、新闻出版、涉外及其他特殊领域，运用专门力量和手段，开展情报信息、专案侦察和防范保卫工作。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及时发现情报、线索，有效防范影响政治安全的重大敏感事件，阻止境内外敌对势力在网上进行集中的反动宣传、建立政治舞台和活动阵地。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发现（核查）线索和情报信息增长率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重大案件（事件）破案率（化解率）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重点人、重点阵地控制率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围绕重点目标建情率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打击防范违法犯罪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各类刑事案件、经济犯罪案件、毒品犯罪案件、网络犯罪案件的侦查工作，指导、办理食品药品安全、环境安全保卫工作。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降低案件发案率，提高案件侦破率。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大要案侦查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协调暴力犯罪案件、文物走私案件、多发性侵财案件和其他刑事案件的侦破。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有效控制、降低大要案发案率，严厉打击刑事犯罪，保护人民生命安全，维护社会长治久安。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涉爆案件破案率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逃犯缉捕率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破多发性侵财犯罪案、暴力犯罪案、持枪犯罪案和贩卖枪支案件破案率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涉文物案件破案率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有组织犯罪侦查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组织指挥协调县级</w:t>
            </w:r>
            <w:r>
              <w:rPr>
                <w:rFonts w:hint="eastAsia" w:ascii="方正书宋_GBK" w:eastAsia="方正书宋_GBK"/>
                <w:lang w:eastAsia="zh-CN"/>
              </w:rPr>
              <w:t>扫</w:t>
            </w:r>
            <w:r>
              <w:rPr>
                <w:rFonts w:hint="eastAsia" w:ascii="方正书宋_GBK" w:eastAsia="方正书宋_GBK"/>
              </w:rPr>
              <w:t>黑除恶工作，侦办黑社会性质组织案件和恶势力团伙案件；组织指挥协调县级涉及</w:t>
            </w: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伪基站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、非法调查类等非接触性新型犯罪工作，侦办新型犯罪案件。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有效打击黑社会性质团伙及新型犯罪，严厉打击刑事犯罪，保护人民群众生命和财产安全，维护社会政策秩序。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新型犯罪案件的打击处理率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黑恶案件的打击处理率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道路交通管理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根据《中华人民共和国道路交通安全法》有关规定，对国省道、高速公路、县乡道路实行统一科学管理，确保道路交通安全畅通、高效便捷。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保障道路交通安全、畅通、有序，为人民生活和社会安定服务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道路交通秩序管理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实施新型城镇化建设畅通工程，加大城市道路监控系统和道路安全设施建设，推进公路巡警建设，执行暑期及两会安保任务。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维护全县良好的道路交通秩序，缓解城市交通拥堵，提高道路通行能力；加强公路巡警建设，提升道路交通秩序管理水平。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常发拥堵路段数降低率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交通拥堵持续时间减低率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交通拥堵路段里程缓解率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羁押监管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指导县级公安监管场所业务工作及在押人员的监管教育、安全防范工作，查处安全事故；指导监所硬件设施建设；指导县级公安监管部门做好教育感化深挖犯罪工作。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县公安监所管理和安全防范水平不断提升；全县监所按照相关标准做好硬件设施建设、被监管人员生活、卫生、医疗保障工作；做好监所信息化建设；不断提高监所卫生医疗水平；积极开展深挖犯罪工作，破获各类案件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羁押监管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县级公安监管场所业务工作及在押人员的监管教育、安全防范工作，查处安全事故；指导监所硬件设施建设；指导县级公安监管部门做好教育感化深挖犯罪工作。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提升全县公安监所管理和安全防范水平。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与全省平均水平相比程度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安全事故发生降低率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六、政府采购预算情况</w:t>
      </w:r>
    </w:p>
    <w:p>
      <w:pPr>
        <w:spacing w:line="560" w:lineRule="exact"/>
        <w:outlineLvl w:val="0"/>
        <w:rPr>
          <w:rFonts w:ascii="宋体" w:hAnsi="宋体" w:cs="Times New Roman"/>
          <w:sz w:val="32"/>
          <w:szCs w:val="32"/>
        </w:rPr>
      </w:pPr>
      <w:bookmarkStart w:id="0" w:name="_Toc471398468"/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8年，我单位安排政府采购预算万元。具体内容见下表。</w:t>
      </w:r>
    </w:p>
    <w:p>
      <w:pPr>
        <w:spacing w:line="560" w:lineRule="exact"/>
        <w:jc w:val="center"/>
        <w:outlineLvl w:val="0"/>
        <w:rPr>
          <w:rFonts w:ascii="宋体" w:hAnsi="宋体" w:cs="方正小标宋_GBK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方正小标宋_GBK"/>
          <w:sz w:val="32"/>
          <w:szCs w:val="32"/>
        </w:rPr>
        <w:t>部门政府采购预算</w:t>
      </w:r>
      <w:bookmarkEnd w:id="0"/>
    </w:p>
    <w:tbl>
      <w:tblPr>
        <w:tblStyle w:val="7"/>
        <w:tblW w:w="1501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834"/>
        <w:gridCol w:w="1861"/>
        <w:gridCol w:w="771"/>
        <w:gridCol w:w="910"/>
        <w:gridCol w:w="910"/>
        <w:gridCol w:w="934"/>
        <w:gridCol w:w="931"/>
        <w:gridCol w:w="931"/>
        <w:gridCol w:w="931"/>
        <w:gridCol w:w="847"/>
        <w:gridCol w:w="913"/>
        <w:gridCol w:w="913"/>
        <w:gridCol w:w="8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方正小标宋_GBK"/>
                <w:sz w:val="24"/>
                <w:szCs w:val="24"/>
              </w:rPr>
              <w:t>部门（单位）名称</w:t>
            </w:r>
          </w:p>
        </w:tc>
        <w:tc>
          <w:tcPr>
            <w:tcW w:w="632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3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政府采购项目来源</w:t>
            </w:r>
          </w:p>
        </w:tc>
        <w:tc>
          <w:tcPr>
            <w:tcW w:w="186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采购物品名称</w:t>
            </w:r>
          </w:p>
        </w:tc>
        <w:tc>
          <w:tcPr>
            <w:tcW w:w="77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政府采购目录序号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数量单位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数量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单价</w:t>
            </w:r>
          </w:p>
        </w:tc>
        <w:tc>
          <w:tcPr>
            <w:tcW w:w="6322" w:type="dxa"/>
            <w:gridSpan w:val="7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247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项目名称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预算资金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总计</w:t>
            </w:r>
          </w:p>
        </w:tc>
        <w:tc>
          <w:tcPr>
            <w:tcW w:w="4535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当年部门预算安排资金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7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合计</w:t>
            </w:r>
          </w:p>
        </w:tc>
        <w:tc>
          <w:tcPr>
            <w:tcW w:w="93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一般公共预算拨款</w:t>
            </w:r>
          </w:p>
        </w:tc>
        <w:tc>
          <w:tcPr>
            <w:tcW w:w="84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基金预算拨款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财政专户核拨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其他来源收入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合　计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2412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2412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2412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2412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李家町派出所办公楼及附属改造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125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改造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bCs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125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125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125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长巷派出所办公楼改造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改造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柏寺营派出所办公楼改造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91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改造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 91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91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91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商城派出所办公楼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新建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道东堡派出所办公楼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新建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北乡义派出所办公楼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新建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辛义派出所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新建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工业区派出所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新建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公安局综合楼九层装修工程序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310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改造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310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310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310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350兆数字集群（基站）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220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350兆数字集群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220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220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220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350兆数字对讲机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350兆数字对讲机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电视电话会议系统升级改造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电视电话会议系统升级改造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Calibri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按照政府采购相关法律法规要求，结合我局实际，2017年我局政府采购事项为2094万元，本年拟用于政府采购李家町派出所办公楼及附属改造125万元；长巷派出所办公楼改造68万元；柏寺营派出所改造91万元；商城派出所新建300万；道东堡派出所新建300万；北乡义派出所新建300万；辛义派出所新建300万；工业区派出所新建300万；350兆数字集群220万。</w:t>
      </w:r>
    </w:p>
    <w:p>
      <w:pPr>
        <w:autoSpaceDE w:val="0"/>
        <w:autoSpaceDN w:val="0"/>
        <w:adjustRightInd w:val="0"/>
        <w:spacing w:line="560" w:lineRule="exact"/>
        <w:ind w:left="198" w:firstLine="600" w:firstLineChars="200"/>
        <w:jc w:val="left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七、国有资产信息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截止年末固定资产金额为8621.1911万元，本年度拟购置固定资产主要为计算机设备、打印设备、视频设备、专用设备等，已列入政府采购预算。详见下表。</w:t>
      </w:r>
    </w:p>
    <w:tbl>
      <w:tblPr>
        <w:tblStyle w:val="7"/>
        <w:tblW w:w="1511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4"/>
        <w:gridCol w:w="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7" w:hRule="atLeast"/>
        </w:trPr>
        <w:tc>
          <w:tcPr>
            <w:tcW w:w="14214" w:type="dxa"/>
            <w:tcBorders>
              <w:top w:val="nil"/>
              <w:left w:val="nil"/>
              <w:bottom w:val="nil"/>
              <w:right w:val="nil"/>
            </w:tcBorders>
          </w:tcPr>
          <w:p/>
          <w:tbl>
            <w:tblPr>
              <w:tblStyle w:val="7"/>
              <w:tblW w:w="1399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18"/>
              <w:gridCol w:w="2268"/>
              <w:gridCol w:w="581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5" w:hRule="atLeast"/>
              </w:trPr>
              <w:tc>
                <w:tcPr>
                  <w:tcW w:w="13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rPr>
                      <w:rFonts w:ascii="黑体" w:hAnsi="黑体" w:eastAsia="黑体" w:cs="宋体"/>
                      <w:bCs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rPr>
                      <w:rFonts w:ascii="黑体" w:hAnsi="黑体" w:eastAsia="黑体" w:cs="宋体"/>
                      <w:bCs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ind w:firstLine="5120" w:firstLineChars="1600"/>
                    <w:rPr>
                      <w:rFonts w:ascii="黑体" w:hAnsi="黑体" w:eastAsia="黑体" w:cs="Times New Roman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32"/>
                      <w:szCs w:val="32"/>
                    </w:rPr>
                    <w:t>部门固定资产占用情况表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编制部门：成安县公安局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ind w:firstLine="550" w:firstLineChars="250"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截止时间：</w:t>
                  </w: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201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7年</w:t>
                  </w: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12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月</w:t>
                  </w: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31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kern w:val="0"/>
                      <w:sz w:val="22"/>
                    </w:rPr>
                    <w:t>项目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58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kern w:val="0"/>
                      <w:sz w:val="22"/>
                    </w:rPr>
                    <w:t>价值（金额单位：万元）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资产总额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——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8621.1911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1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、房屋（平方米）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4040.2571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其中：办公用房（平方米）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4040.2571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2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、车辆（台、辆）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552.9370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3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、单价在</w:t>
                  </w: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50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万元以上的设备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758.42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4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、其他固定资产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3269.5770</w:t>
                  </w:r>
                </w:p>
              </w:tc>
            </w:tr>
          </w:tbl>
          <w:p>
            <w:pPr>
              <w:widowControl/>
              <w:ind w:firstLine="2064" w:firstLineChars="645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784" w:firstLineChars="1495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八、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名词解释</w:t>
      </w: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0" w:firstLineChars="200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kern w:val="0"/>
          <w:sz w:val="32"/>
          <w:szCs w:val="32"/>
        </w:rPr>
        <w:t>支出，公务用车指用于履行公务的机动车辆，包括领导干部专车、一般公务用车和执法执勤等业务用车。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3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、年初结转和结余</w:t>
      </w:r>
      <w:r>
        <w:rPr>
          <w:rFonts w:hint="eastAsia" w:ascii="仿宋" w:hAnsi="仿宋" w:eastAsia="仿宋" w:cs="仿宋"/>
          <w:kern w:val="0"/>
          <w:sz w:val="32"/>
          <w:szCs w:val="32"/>
        </w:rPr>
        <w:t>：指以前年度尚未完成，结转到本年仍按照原规定用途继续使用的资金，或项目已完成等产生的结余资金。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4、基本支出</w:t>
      </w:r>
      <w:r>
        <w:rPr>
          <w:rFonts w:hint="eastAsia" w:ascii="仿宋" w:hAnsi="仿宋" w:eastAsia="仿宋" w:cs="仿宋"/>
          <w:kern w:val="0"/>
          <w:sz w:val="32"/>
          <w:szCs w:val="32"/>
        </w:rPr>
        <w:t>：指单位为了保障其正常运转、完成日常工作任务而发生的人员支出和公用支出。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5、项目支出：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指单位为了特定的工作任务和事业发展目标，在基本支出之外所发生的支出。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九、其他需要说明的事项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无其他需要说明的事项。</w:t>
      </w:r>
    </w:p>
    <w:p>
      <w:pPr>
        <w:widowControl/>
        <w:spacing w:line="360" w:lineRule="auto"/>
        <w:ind w:firstLine="420" w:firstLineChars="200"/>
        <w:jc w:val="left"/>
      </w:pPr>
    </w:p>
    <w:sectPr>
      <w:headerReference r:id="rId3" w:type="default"/>
      <w:pgSz w:w="16839" w:h="11907" w:orient="landscape"/>
      <w:pgMar w:top="1134" w:right="1021" w:bottom="1134" w:left="1021" w:header="851" w:footer="992" w:gutter="0"/>
      <w:cols w:space="72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12DE9"/>
    <w:multiLevelType w:val="singleLevel"/>
    <w:tmpl w:val="58512DE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YjVkM2Q3OGI3NjgyMmRhNzc4Mzg1ZjJiNjZhOGYifQ=="/>
  </w:docVars>
  <w:rsids>
    <w:rsidRoot w:val="00870E00"/>
    <w:rsid w:val="00015660"/>
    <w:rsid w:val="00581DB1"/>
    <w:rsid w:val="005B2969"/>
    <w:rsid w:val="005B7612"/>
    <w:rsid w:val="00870E00"/>
    <w:rsid w:val="00984EA7"/>
    <w:rsid w:val="00AA6A4E"/>
    <w:rsid w:val="00AA7727"/>
    <w:rsid w:val="00E22F7A"/>
    <w:rsid w:val="15F55046"/>
    <w:rsid w:val="426B6BD0"/>
    <w:rsid w:val="498763DB"/>
    <w:rsid w:val="564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5152</Words>
  <Characters>5493</Characters>
  <Lines>43</Lines>
  <Paragraphs>12</Paragraphs>
  <TotalTime>10</TotalTime>
  <ScaleCrop>false</ScaleCrop>
  <LinksUpToDate>false</LinksUpToDate>
  <CharactersWithSpaces>5515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2016-04-01T02:15:00Z</dcterms:created>
  <dc:creator>lenovo</dc:creator>
  <cp:lastModifiedBy>Administrator</cp:lastModifiedBy>
  <cp:lastPrinted>2016-04-01T02:44:00Z</cp:lastPrinted>
  <dcterms:modified xsi:type="dcterms:W3CDTF">2024-09-14T07:17:48Z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79D18969339C4213838FEF5512F7D82F</vt:lpwstr>
  </property>
</Properties>
</file>