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成安县国土资源局2018年部门预算公开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情况说明</w:t>
      </w:r>
    </w:p>
    <w:p>
      <w:pPr>
        <w:jc w:val="center"/>
        <w:rPr>
          <w:rFonts w:ascii="宋体" w:hAnsi="宋体" w:eastAsia="宋体"/>
        </w:rPr>
      </w:pPr>
    </w:p>
    <w:p>
      <w:pPr>
        <w:widowControl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按照《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中华人民共和国</w:t>
      </w:r>
      <w:bookmarkStart w:id="1" w:name="_GoBack"/>
      <w:bookmarkEnd w:id="1"/>
      <w:r>
        <w:rPr>
          <w:rFonts w:hint="eastAsia" w:ascii="仿宋_GB2312" w:hAnsi="Calibri" w:eastAsia="仿宋_GB2312" w:cs="仿宋_GB2312"/>
          <w:sz w:val="32"/>
          <w:szCs w:val="32"/>
        </w:rPr>
        <w:t>预算法》有关规定和</w:t>
      </w:r>
      <w:r>
        <w:rPr>
          <w:rFonts w:hint="eastAsia" w:ascii="仿宋_GB2312" w:hAnsi="宋体" w:eastAsia="仿宋_GB2312" w:cs="楷体_GB2312"/>
          <w:sz w:val="32"/>
          <w:szCs w:val="32"/>
        </w:rPr>
        <w:t>财政部关于印发《地方预决算公开操作规程》的通知，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现将国土局2018年部门预算公开如下：</w:t>
      </w:r>
    </w:p>
    <w:p>
      <w:pPr>
        <w:widowControl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部门职责及机构设置情况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部门职责：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实施国家有关法律、法规，拟定国土资源和测绘方面的地方管理办法，负责有关复议和信访工作，执行国家和省国土资源的技术标准、规程、规范和办法，组织编绘工作规划。搞好本单位人员培训，加强队伍建设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（二）组织编制和实施全县国土资源规划，土地利用总体规划和其他专项规划，指导、审核各乡（镇）土地利用总体规划，并负责上报审查批准实施。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（三）依法保护国土资源所有者和使用者的合法权益，承办并组织调处国土资源权属纠纷，查处有关各类违法案件，监督检查国土资源法律法规的执行情况。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（四）实施农地用途管制，切实保护基本农田，并负责指导和实施全县未利用土地的开发、土地整理、土地复垦和开发耕地的监督工作，确保耕地总量的动态平衡或只增不减。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（五）负责全县城乡、地籍管理工作，组织土地资源调查，地籍调查，土地统计和动态监测，负责土地确权，土地纠纷调处及土地登记发证工作。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（六）承担全县各类用地的审查报批工作 。组织开展土地资源等自然资源的对外工作与交流。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（七）按规定组织实施土地使用权、出让、转让、出租、抵押和政府收购工作 ，指导农村集体非农土地使用权流转管理。组织基准地价，标定地价评测，确认土地使用权价格。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（八）依法征收有关专项收费并负责专项管理，负责机关及有所属事业单位年度经费预算建设计划的编审，安排上级拨给的专项经费，并负责监督管理使用。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（九）贯彻执行国家《测绘法》等法律法规，对本行政区域内的测绘规划及其实施情况依法进行监督检查，负责全县测绘单位资格审查和任务登记等业务，依法查处违反国家测绘法律法规的违法行为。</w:t>
      </w:r>
    </w:p>
    <w:p>
      <w:pPr>
        <w:ind w:firstLine="720"/>
        <w:outlineLvl w:val="0"/>
        <w:rPr>
          <w:rFonts w:ascii="仿宋_GB2312" w:hAnsi="Calibri" w:eastAsia="仿宋_GB2312" w:cs="Calibri"/>
          <w:b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b/>
          <w:kern w:val="0"/>
          <w:sz w:val="32"/>
          <w:szCs w:val="32"/>
        </w:rPr>
        <w:t>内设机构及职责</w:t>
      </w:r>
    </w:p>
    <w:p>
      <w:pPr>
        <w:ind w:firstLine="720"/>
        <w:jc w:val="center"/>
        <w:outlineLvl w:val="0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6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成安县国土资源局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正科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财政拨款</w:t>
            </w:r>
          </w:p>
        </w:tc>
      </w:tr>
    </w:tbl>
    <w:p>
      <w:pPr>
        <w:tabs>
          <w:tab w:val="left" w:pos="7125"/>
        </w:tabs>
        <w:ind w:firstLine="627" w:firstLineChars="196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tabs>
          <w:tab w:val="left" w:pos="7125"/>
        </w:tabs>
        <w:ind w:firstLine="627" w:firstLineChars="196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成安县国土资源局局，预算编码是324，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机关内设办公室、土地利用股、执法监察股、地理信息股、下设16个事业单位。</w:t>
      </w:r>
    </w:p>
    <w:p>
      <w:pPr>
        <w:pStyle w:val="10"/>
        <w:widowControl/>
        <w:numPr>
          <w:ilvl w:val="0"/>
          <w:numId w:val="1"/>
        </w:numPr>
        <w:ind w:left="0" w:firstLine="640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办公室，负责协调机关日常工作，负责机关行政管理；负责国土资源法律法规的宣传工作；负责机关来文收发、传递、保密和机关文件起草印发工作和重要会议组织工作等；</w:t>
      </w:r>
    </w:p>
    <w:p>
      <w:pPr>
        <w:pStyle w:val="10"/>
        <w:widowControl/>
        <w:numPr>
          <w:ilvl w:val="0"/>
          <w:numId w:val="1"/>
        </w:numPr>
        <w:ind w:left="0" w:firstLine="640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土地利用股，负责全县各类建设用地的管理；指导规范地产市场；负责国有土地使用权划拨、出让、转让、租赁、作价出资、收回工作等；</w:t>
      </w:r>
    </w:p>
    <w:p>
      <w:pPr>
        <w:pStyle w:val="10"/>
        <w:widowControl/>
        <w:numPr>
          <w:ilvl w:val="0"/>
          <w:numId w:val="1"/>
        </w:numPr>
        <w:ind w:left="0" w:firstLine="640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执法监察股，负责组织重大处罚事项的听证工作，负责组织办理行政复议，应诉工作，负责土地卫片执法检查，负责土地信访工作等；</w:t>
      </w:r>
    </w:p>
    <w:p>
      <w:pPr>
        <w:pStyle w:val="10"/>
        <w:widowControl/>
        <w:numPr>
          <w:ilvl w:val="0"/>
          <w:numId w:val="1"/>
        </w:numPr>
        <w:ind w:left="0" w:firstLine="640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地理信息股，负责测绘地理信息项目备案登记、测绘作业证审核管理等；</w:t>
      </w:r>
    </w:p>
    <w:p>
      <w:pPr>
        <w:widowControl/>
        <w:ind w:firstLine="643" w:firstLineChars="200"/>
        <w:jc w:val="left"/>
        <w:rPr>
          <w:rFonts w:ascii="仿宋_GB2312" w:hAnsi="Calibri" w:eastAsia="仿宋_GB2312" w:cs="Calibri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成安县国土资源局，人员编制95名，其中领导职数9个。</w:t>
      </w:r>
    </w:p>
    <w:p>
      <w:pPr>
        <w:widowControl/>
        <w:ind w:firstLine="627" w:firstLineChars="196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bookmarkStart w:id="0" w:name="_Toc482002933"/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ind w:firstLine="640" w:firstLineChars="20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年预算收入328.39万元，其中：一般公共预算收入328.39万元，政府性基金收入0万元，国有资本经营收入0万元，事业收入0万元，其他收入0万元。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年支出预算328.39万元，其中基本支出328.39万元，包括人员经费和日常公用经费。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widowControl/>
        <w:ind w:firstLine="627" w:firstLineChars="196"/>
        <w:jc w:val="left"/>
        <w:rPr>
          <w:rFonts w:ascii="仿宋" w:hAnsi="仿宋" w:eastAsia="仿宋" w:cs="仿宋_GB2312"/>
          <w:b/>
          <w:bCs/>
          <w:kern w:val="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年预算收支安排328.39万元，较</w:t>
      </w: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7</w:t>
      </w:r>
      <w:r>
        <w:rPr>
          <w:rFonts w:hint="eastAsia" w:ascii="仿宋" w:hAnsi="仿宋" w:eastAsia="仿宋" w:cs="方正仿宋_GBK"/>
          <w:sz w:val="32"/>
          <w:szCs w:val="32"/>
        </w:rPr>
        <w:t>年预算增加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24.43</w:t>
      </w:r>
      <w:r>
        <w:rPr>
          <w:rFonts w:hint="eastAsia" w:ascii="仿宋" w:hAnsi="仿宋" w:eastAsia="仿宋" w:cs="方正仿宋_GBK"/>
          <w:sz w:val="32"/>
          <w:szCs w:val="32"/>
        </w:rPr>
        <w:t>万元，其中：基本支出增加24.43万元，主要为增加工资经费支出。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widowControl/>
        <w:ind w:firstLine="640" w:firstLineChars="200"/>
        <w:jc w:val="left"/>
        <w:rPr>
          <w:rFonts w:ascii="仿宋_GB2312" w:hAnsi="Calibri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日常公用经费安排114.02万元，包括：办公费、差旅费、水费、电费、会议费、招待费、转移支付，其他支出等。</w:t>
      </w:r>
      <w:r>
        <w:rPr>
          <w:rFonts w:hint="eastAsia" w:ascii="仿宋_GB2312" w:hAnsi="Calibri" w:eastAsia="仿宋_GB2312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人员经费支出241.37万元，同比去年增长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30</w:t>
      </w:r>
      <w:r>
        <w:rPr>
          <w:rFonts w:hint="eastAsia" w:ascii="仿宋_GB2312" w:hAnsi="Calibri" w:eastAsia="仿宋_GB2312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%。增长原因是2017年机关事业单位统一调高了工资标准。其中，工资福利支出194.23万元，对个人和家庭的补助支出20.14万元。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widowControl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2018年度“三公”预算支出25.5万元，其中，因公出国（境）费0元，安排公务用车维护费25万元，（其中公务用车购置费0元，公务用车运行维护费25万元），公务接等费0.5万元，2018年“三公”经费预算减少了29%。由于2016年公车拍卖，2017年实行车补，油修费用预算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安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排减少。</w:t>
      </w:r>
    </w:p>
    <w:p>
      <w:pPr>
        <w:widowControl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五、绩效预算信息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方正仿宋_GBK"/>
          <w:bCs/>
          <w:sz w:val="32"/>
          <w:szCs w:val="32"/>
        </w:rPr>
        <w:t>总体绩效目标：</w:t>
      </w:r>
      <w:r>
        <w:rPr>
          <w:rFonts w:hint="eastAsia" w:ascii="仿宋" w:hAnsi="仿宋" w:eastAsia="仿宋"/>
          <w:sz w:val="32"/>
          <w:szCs w:val="32"/>
        </w:rPr>
        <w:t>组织实施耕地与基本农田保护工作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组织建设用地审批，开展农村集体土地确权登记发证与土地变更调查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做好土地利用工作和不动产登记。实现基本农田面积不减少，质量有提高，各行业合理用地需求得到保障，土地节约集约利用水平进一步提高，保证全县耕地占补平衡。实现土地整治补充耕地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亩以上，确保全县耕地占补平衡，完成年度建设高标准基本农田建设任务，开展土地复垦方案的审查，完成耕地保护相关制度研究。</w:t>
      </w:r>
    </w:p>
    <w:p>
      <w:pPr>
        <w:widowControl/>
        <w:ind w:firstLine="643" w:firstLineChars="200"/>
        <w:jc w:val="left"/>
        <w:rPr>
          <w:rFonts w:ascii="仿宋" w:hAnsi="仿宋" w:eastAsia="仿宋" w:cs="仿宋_GB2312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部门职责及工作活动绩效目标指标：</w:t>
      </w:r>
    </w:p>
    <w:p>
      <w:pPr>
        <w:outlineLvl w:val="0"/>
        <w:rPr>
          <w:rFonts w:ascii="仿宋" w:hAnsi="仿宋" w:eastAsia="仿宋" w:cs="仿宋"/>
          <w:b/>
          <w:bCs/>
          <w:sz w:val="32"/>
        </w:rPr>
      </w:pPr>
    </w:p>
    <w:p>
      <w:pPr>
        <w:outlineLvl w:val="0"/>
        <w:rPr>
          <w:rFonts w:ascii="仿宋" w:hAnsi="仿宋" w:eastAsia="仿宋" w:cs="仿宋"/>
          <w:b/>
          <w:bCs/>
          <w:sz w:val="32"/>
        </w:rPr>
        <w:sectPr>
          <w:pgSz w:w="11907" w:h="16839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部门职责-工作活动绩效目标</w:t>
      </w:r>
      <w:bookmarkEnd w:id="0"/>
    </w:p>
    <w:tbl>
      <w:tblPr>
        <w:tblStyle w:val="6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324</w:t>
            </w:r>
            <w:r>
              <w:rPr>
                <w:rFonts w:hint="eastAsia" w:ascii="方正小标宋_GBK" w:eastAsia="方正小标宋_GBK"/>
                <w:sz w:val="24"/>
              </w:rPr>
              <w:t>成安县国土资源局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土地资源管理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组织实施耕地与基本农田保护工作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组织建设用地审批，开展农村集体土地确权登记发证与土地变更调查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做好土地利用工作和不动产登记。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实现基本农田面积不减少，质量有提高，各行业合理用地需求得到保障，土地节约集约利用水平进一步提高，保证全县耕地占补平衡。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耕地与基本农田保护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开展基本农田保护和土地整理、复垦、开发工作。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实现土地整治补充耕地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亩以上，确保全县耕地占补平衡，完成年度建设高标准基本农田建设任务，开展土地复垦方案的审查，完成耕地保护相关制度研究。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验收报备的总量平衡项目工程数量核实完成率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土地变更调查新增耕地管理信息核查标注完成率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土地复垦方案审查完成率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耕地质量等别更新与监测完成率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在建土地整治项目督导（含测量）次数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地籍管理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开展土地确权登记发证工作，组织县级土地利用现状变化调查和检查，更新县级土地调查数据库，生成增量数据包，开展县级的不动产统一登记工作。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推进农村集体土地确权登记发证工作，完成年度土地变更调查工作，部署完成全省土地登记信息动态监管查询系统，进行不动产统一登记工作的调查研究，按照国家要求完成工作进度。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不动产登记工作的调查研究开展率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年度土地变更调查工作完成率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全县（包括开发区）土地登记信息动态监管查询系统建设工作完成率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土地利用管理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推进节约集约用地，管理和监督城乡建设用地供应、政府土地储备、土地开发和节约集约利用，组织实施城乡建设用地增减挂钩。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提高全县节约集约用地水平，维护全县土地市场良好秩序，统筹组织城乡建设用地增减挂钩管理和未利用地调查评价及利用。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节约集约用地、土地利用管理相关制度改革研究完成率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开展建设用地集约利用评价数量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中国开发区审核公告目录（</w:t>
            </w:r>
            <w:r>
              <w:rPr>
                <w:rFonts w:ascii="方正书宋_GBK" w:eastAsia="方正书宋_GBK"/>
              </w:rPr>
              <w:t>2006</w:t>
            </w:r>
            <w:r>
              <w:rPr>
                <w:rFonts w:hint="eastAsia" w:ascii="方正书宋_GBK" w:eastAsia="方正书宋_GBK"/>
              </w:rPr>
              <w:t>年版）中河北省</w:t>
            </w:r>
            <w:r>
              <w:rPr>
                <w:rFonts w:ascii="方正书宋_GBK" w:eastAsia="方正书宋_GBK"/>
              </w:rPr>
              <w:t>50</w:t>
            </w:r>
            <w:r>
              <w:rPr>
                <w:rFonts w:hint="eastAsia" w:ascii="方正书宋_GBK" w:eastAsia="方正书宋_GBK"/>
              </w:rPr>
              <w:t>个开发区土地集约利用评价与更新数量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完成县土地市场和城市地价动态监测分析并提交季度报告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是否获得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国土资源节约集约模范县</w:t>
            </w:r>
            <w:r>
              <w:rPr>
                <w:rFonts w:hint="cs" w:ascii="方正书宋_GBK" w:eastAsia="方正书宋_GBK"/>
              </w:rPr>
              <w:t>”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国土资源执法与监察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强化县级国土资源执法监察工作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提高国土资源执法能力。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进一步加大执法监督力度。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国土资源执法监察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对县级国土资源法律法规执行情况监督检查，依法查处国土资源违法案件。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组织各级国土资源（海洋）执法监察部门，及时发现、制止违法行为。依法查处案件，开展卫片执法监督检查，协调、联络国家土地督察机构，推进国土资源基层所标准化建设。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土地、矿产卫片执法监督检查各项任务完成率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受理造成矿产资源破坏价值鉴定申请鉴定结论率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重大典型违法案件调查反馈率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78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12336</w:t>
            </w:r>
            <w:r>
              <w:rPr>
                <w:rFonts w:hint="eastAsia" w:ascii="方正书宋_GBK" w:eastAsia="方正书宋_GBK"/>
              </w:rPr>
              <w:t>等违法举报督办案件反馈率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专项执法工作开展完成率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国土资源政务管理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负责国土资源系统综合业务管理和机关综合事务管理。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进一步增强国土资源（海洋）管理能力。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综合业务管理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制定编制县级国土资源规划，制定相关政策法规，开展国土资源科技发展研究等。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规范做好国土资源（海洋）各类规划编制和实施，全面推行国土资源（海洋）工作依法行政，推动普法工作落实，做好行政复议、行政应诉工作，推进国土资源（海洋）科技的应用和推广。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国土资源（海洋）科技发展研究建设及外事交流活动完成率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国土资源（海洋）业务管理综合统计及制度研究完成率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88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项目用地预审率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79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综合事务管理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做好国土资源相关综合性事务管理，保证行政工作高效有序运行。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提高国土资源（海洋）事业发展保障能力。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国土资源（海洋）财务管理工作完成率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国土资源（海洋）宣传工作，及相关资料编写发布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78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国土资源（海洋）信息安全体系建设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国土资源（海洋）管理网络体系及相关数据、档案、信息服务管理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保障国土资源（海洋）管理各项工作正常运行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97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</w:t>
            </w: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0" w:num="1"/>
          <w:docGrid w:type="lines" w:linePitch="318" w:charSpace="0"/>
        </w:sectPr>
      </w:pPr>
    </w:p>
    <w:p>
      <w:pPr>
        <w:widowControl/>
        <w:ind w:left="643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六、政府采购预算情况</w:t>
      </w:r>
    </w:p>
    <w:p>
      <w:pPr>
        <w:spacing w:line="560" w:lineRule="exact"/>
        <w:ind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局实际，2018年我局政府采购事项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7.36</w:t>
      </w:r>
      <w:r>
        <w:rPr>
          <w:rFonts w:hint="eastAsia" w:ascii="仿宋_GB2312" w:hAnsi="黑体" w:eastAsia="仿宋_GB2312" w:cs="仿宋_GB2312"/>
          <w:sz w:val="32"/>
          <w:szCs w:val="32"/>
        </w:rPr>
        <w:t>万元，本年拟用于政府采购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电脑、床、打印机、电视等，</w:t>
      </w:r>
      <w:r>
        <w:rPr>
          <w:rFonts w:hint="eastAsia" w:ascii="仿宋_GB2312" w:hAnsi="黑体" w:eastAsia="仿宋_GB2312" w:cs="仿宋_GB2312"/>
          <w:sz w:val="32"/>
          <w:szCs w:val="32"/>
        </w:rPr>
        <w:t>计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7.36</w:t>
      </w:r>
      <w:r>
        <w:rPr>
          <w:rFonts w:hint="eastAsia" w:ascii="仿宋_GB2312" w:hAnsi="黑体" w:eastAsia="仿宋_GB2312" w:cs="仿宋_GB2312"/>
          <w:sz w:val="32"/>
          <w:szCs w:val="32"/>
        </w:rPr>
        <w:t>万元。具体内容见下表。</w:t>
      </w:r>
    </w:p>
    <w:p>
      <w:pPr>
        <w:spacing w:line="560" w:lineRule="exact"/>
        <w:jc w:val="center"/>
        <w:outlineLvl w:val="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</w:p>
    <w:tbl>
      <w:tblPr>
        <w:tblStyle w:val="6"/>
        <w:tblW w:w="98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36"/>
        <w:gridCol w:w="1105"/>
        <w:gridCol w:w="840"/>
        <w:gridCol w:w="583"/>
        <w:gridCol w:w="556"/>
        <w:gridCol w:w="694"/>
        <w:gridCol w:w="714"/>
        <w:gridCol w:w="717"/>
        <w:gridCol w:w="708"/>
        <w:gridCol w:w="486"/>
        <w:gridCol w:w="458"/>
        <w:gridCol w:w="597"/>
        <w:gridCol w:w="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1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部门（单位）名称成安县国土资源局</w:t>
            </w:r>
          </w:p>
        </w:tc>
        <w:tc>
          <w:tcPr>
            <w:tcW w:w="424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tblHeader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  <w:r>
              <w:rPr>
                <w:rFonts w:ascii="宋体" w:hAnsi="宋体" w:eastAsia="宋体" w:cs="方正书宋_GBK"/>
                <w:b/>
                <w:bCs/>
              </w:rPr>
              <w:t xml:space="preserve">  </w:t>
            </w:r>
            <w:r>
              <w:rPr>
                <w:rFonts w:hint="eastAsia" w:ascii="宋体" w:hAnsi="宋体" w:eastAsia="宋体" w:cs="方正书宋_GBK"/>
                <w:b/>
                <w:bCs/>
              </w:rPr>
              <w:t>单位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42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4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4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60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　计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7.36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7.36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7.36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7.36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打印机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打印机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台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床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0.49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床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张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7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0.07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0.49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0.49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0.49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空调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空调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台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0.35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电视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0.25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电视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台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0.25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0.25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0.25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乒乓球桌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1.3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乒乓球桌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台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1.3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1.3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1.3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1.3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柜子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0.12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柜子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个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0.12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0.12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0.12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0.12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打印机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1.5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打印机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eastAsia="zh-CN"/>
              </w:rPr>
              <w:t>台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10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0.15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1.5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1.5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1.5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电脑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电脑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台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方正书宋_GBK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10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0.3</w:t>
            </w:r>
            <w:r>
              <w:rPr>
                <w:rFonts w:hint="eastAsia" w:ascii="宋体" w:hAnsi="宋体" w:eastAsia="宋体" w:cs="方正书宋_GBK"/>
                <w:b/>
                <w:bCs/>
                <w:lang w:val="en-US" w:eastAsia="zh-CN"/>
              </w:rPr>
              <w:t>0</w:t>
            </w: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方正书宋_GBK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</w:tbl>
    <w:p>
      <w:pPr>
        <w:widowControl/>
        <w:ind w:left="643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七、国有资产情况的说明</w:t>
      </w:r>
    </w:p>
    <w:p>
      <w:pPr>
        <w:spacing w:line="560" w:lineRule="exact"/>
        <w:ind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成安县国土资源局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截止上年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7151157.54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万元。其中：房屋价值435.683154万元，车辆价值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169.7404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万元，其它资产办公用电脑、办公家具、专用设备等价值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109.6922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万元。201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年我单位拟购置6.3万元。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计算机设备、打印设备、空调、办公家具等，已列入政府采购预算。详见下表。</w:t>
      </w:r>
    </w:p>
    <w:tbl>
      <w:tblPr>
        <w:tblStyle w:val="6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2"/>
        <w:gridCol w:w="1390"/>
        <w:gridCol w:w="4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编制部门：成安县国土资源局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kern w:val="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资产总额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/>
              </w:rPr>
              <w:t>7151157.54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、房屋（平方米）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1244.56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</w:rPr>
              <w:t>435.683154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其中：办公用房（平方米）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1244.56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</w:rPr>
              <w:t>435.683154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、车辆（台、辆）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/>
              </w:rPr>
              <w:t>169.7404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万元以上的设备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、其他固定资产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/>
              </w:rPr>
              <w:t>109.6922</w:t>
            </w:r>
          </w:p>
        </w:tc>
      </w:tr>
    </w:tbl>
    <w:p>
      <w:pPr>
        <w:widowControl/>
        <w:ind w:firstLine="643" w:firstLineChars="200"/>
        <w:jc w:val="left"/>
        <w:rPr>
          <w:rFonts w:ascii="仿宋_GB2312" w:hAnsi="Calibri" w:eastAsia="仿宋_GB2312" w:cs="仿宋_GB2312"/>
          <w:b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八、</w:t>
      </w:r>
      <w:r>
        <w:rPr>
          <w:rFonts w:hint="eastAsia" w:ascii="黑体" w:hAnsi="黑体" w:eastAsia="黑体" w:cs="仿宋"/>
          <w:kern w:val="0"/>
          <w:sz w:val="32"/>
          <w:szCs w:val="32"/>
        </w:rPr>
        <w:t>名词解释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财政当年拨付的资金。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</w:rPr>
        <w:t xml:space="preserve"> 3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年初结转和结余：指以前年度尚未完成，结转到本年仍按照原规定用途继续使用的资金，或项目已完成等产生的结余资金。</w:t>
      </w:r>
    </w:p>
    <w:p>
      <w:pPr>
        <w:widowControl/>
        <w:ind w:firstLine="482" w:firstLineChars="150"/>
        <w:jc w:val="left"/>
        <w:rPr>
          <w:rFonts w:ascii="仿宋" w:hAnsi="仿宋" w:eastAsia="仿宋_GB2312" w:cs="仿宋"/>
          <w:kern w:val="0"/>
          <w:sz w:val="32"/>
          <w:szCs w:val="32"/>
        </w:rPr>
      </w:pPr>
      <w:r>
        <w:rPr>
          <w:rFonts w:hint="eastAsia" w:ascii="仿宋" w:hAnsi="仿宋" w:eastAsia="仿宋_GB2312" w:cs="仿宋"/>
          <w:b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4、基本支出：指单位为了保障其正常运转、完成日常工作任务而发生的人员支出和公用支出。</w:t>
      </w:r>
      <w:r>
        <w:rPr>
          <w:rFonts w:hint="eastAsia" w:ascii="仿宋" w:hAnsi="仿宋" w:eastAsia="仿宋_GB2312" w:cs="仿宋"/>
          <w:kern w:val="0"/>
          <w:sz w:val="32"/>
          <w:szCs w:val="32"/>
        </w:rPr>
        <w:t> </w:t>
      </w:r>
    </w:p>
    <w:p>
      <w:pPr>
        <w:widowControl/>
        <w:ind w:firstLine="800" w:firstLineChars="25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无其他需要说明的事项。</w:t>
      </w: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F352C"/>
    <w:multiLevelType w:val="multilevel"/>
    <w:tmpl w:val="462F352C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M2I0MGExMWZlZjllMGEyODlkODRjMDAxMDJhNGYifQ=="/>
  </w:docVars>
  <w:rsids>
    <w:rsidRoot w:val="00E810D6"/>
    <w:rsid w:val="000D63CB"/>
    <w:rsid w:val="000F0CC0"/>
    <w:rsid w:val="00143DA4"/>
    <w:rsid w:val="001F75AF"/>
    <w:rsid w:val="002E3A95"/>
    <w:rsid w:val="002F2DD8"/>
    <w:rsid w:val="00322E21"/>
    <w:rsid w:val="00441C29"/>
    <w:rsid w:val="004E5222"/>
    <w:rsid w:val="00527056"/>
    <w:rsid w:val="005C0C25"/>
    <w:rsid w:val="005D136A"/>
    <w:rsid w:val="00620507"/>
    <w:rsid w:val="0062621A"/>
    <w:rsid w:val="0068269C"/>
    <w:rsid w:val="00685811"/>
    <w:rsid w:val="006921AF"/>
    <w:rsid w:val="006A1386"/>
    <w:rsid w:val="006D1C5B"/>
    <w:rsid w:val="007416BC"/>
    <w:rsid w:val="007A507B"/>
    <w:rsid w:val="007C68F5"/>
    <w:rsid w:val="007D6BF0"/>
    <w:rsid w:val="008058DC"/>
    <w:rsid w:val="00843B5A"/>
    <w:rsid w:val="008571D8"/>
    <w:rsid w:val="00860A1E"/>
    <w:rsid w:val="0088383D"/>
    <w:rsid w:val="008C7744"/>
    <w:rsid w:val="00991DBE"/>
    <w:rsid w:val="009A165A"/>
    <w:rsid w:val="009D4206"/>
    <w:rsid w:val="00A01314"/>
    <w:rsid w:val="00A043F6"/>
    <w:rsid w:val="00A07D70"/>
    <w:rsid w:val="00A07E36"/>
    <w:rsid w:val="00A21BBE"/>
    <w:rsid w:val="00A55A6A"/>
    <w:rsid w:val="00C00535"/>
    <w:rsid w:val="00C13FD2"/>
    <w:rsid w:val="00D269B0"/>
    <w:rsid w:val="00D31302"/>
    <w:rsid w:val="00D6214A"/>
    <w:rsid w:val="00DA4DBC"/>
    <w:rsid w:val="00DC03D9"/>
    <w:rsid w:val="00E55341"/>
    <w:rsid w:val="00E810D6"/>
    <w:rsid w:val="00E943AA"/>
    <w:rsid w:val="00F911C1"/>
    <w:rsid w:val="013B67CD"/>
    <w:rsid w:val="01CA412B"/>
    <w:rsid w:val="02435755"/>
    <w:rsid w:val="037D399A"/>
    <w:rsid w:val="03B213E5"/>
    <w:rsid w:val="06096D52"/>
    <w:rsid w:val="06550E5D"/>
    <w:rsid w:val="069A04F8"/>
    <w:rsid w:val="0726741C"/>
    <w:rsid w:val="08D34D69"/>
    <w:rsid w:val="09E50DB9"/>
    <w:rsid w:val="0BB759F9"/>
    <w:rsid w:val="0BFF7C14"/>
    <w:rsid w:val="0CB72F7C"/>
    <w:rsid w:val="0CBF7A43"/>
    <w:rsid w:val="0DD4180B"/>
    <w:rsid w:val="0E0669F4"/>
    <w:rsid w:val="130B706D"/>
    <w:rsid w:val="139106CF"/>
    <w:rsid w:val="13DE0FA8"/>
    <w:rsid w:val="14F5713F"/>
    <w:rsid w:val="163506CD"/>
    <w:rsid w:val="17252863"/>
    <w:rsid w:val="175940C0"/>
    <w:rsid w:val="17C16AC9"/>
    <w:rsid w:val="180D78B9"/>
    <w:rsid w:val="1AEF7278"/>
    <w:rsid w:val="1B2A5EA4"/>
    <w:rsid w:val="1CC97251"/>
    <w:rsid w:val="1CEB0A1C"/>
    <w:rsid w:val="1E8167C1"/>
    <w:rsid w:val="1EAA0AE1"/>
    <w:rsid w:val="21B66276"/>
    <w:rsid w:val="228819EE"/>
    <w:rsid w:val="2716314B"/>
    <w:rsid w:val="278A2860"/>
    <w:rsid w:val="288A4B30"/>
    <w:rsid w:val="28E516DB"/>
    <w:rsid w:val="299267B6"/>
    <w:rsid w:val="2AD57C75"/>
    <w:rsid w:val="2BAA47A7"/>
    <w:rsid w:val="2D846FBE"/>
    <w:rsid w:val="2DCE40BA"/>
    <w:rsid w:val="2E066AE5"/>
    <w:rsid w:val="2E2777CE"/>
    <w:rsid w:val="2EE04A84"/>
    <w:rsid w:val="304B55E8"/>
    <w:rsid w:val="31D059F4"/>
    <w:rsid w:val="32B93421"/>
    <w:rsid w:val="332A0BBD"/>
    <w:rsid w:val="3387759D"/>
    <w:rsid w:val="351C5D1D"/>
    <w:rsid w:val="36DF5EE5"/>
    <w:rsid w:val="38963AA1"/>
    <w:rsid w:val="393E4CFD"/>
    <w:rsid w:val="39461E7C"/>
    <w:rsid w:val="39A75722"/>
    <w:rsid w:val="3A593FD7"/>
    <w:rsid w:val="3B6E7B6E"/>
    <w:rsid w:val="3C712CD5"/>
    <w:rsid w:val="3CEC5D53"/>
    <w:rsid w:val="3DD269BA"/>
    <w:rsid w:val="3F184E05"/>
    <w:rsid w:val="441C57E9"/>
    <w:rsid w:val="44240E6E"/>
    <w:rsid w:val="4427762F"/>
    <w:rsid w:val="44986D47"/>
    <w:rsid w:val="456A5D0D"/>
    <w:rsid w:val="457C0C14"/>
    <w:rsid w:val="45B90BF3"/>
    <w:rsid w:val="460143F1"/>
    <w:rsid w:val="475B18CD"/>
    <w:rsid w:val="48847682"/>
    <w:rsid w:val="49A76DB8"/>
    <w:rsid w:val="4A4F1F05"/>
    <w:rsid w:val="4B7040C7"/>
    <w:rsid w:val="4CA957E7"/>
    <w:rsid w:val="4D9730D4"/>
    <w:rsid w:val="4DFA2B01"/>
    <w:rsid w:val="4E4335D2"/>
    <w:rsid w:val="53672701"/>
    <w:rsid w:val="553A5DED"/>
    <w:rsid w:val="56026CEB"/>
    <w:rsid w:val="569B6C16"/>
    <w:rsid w:val="59AF56D7"/>
    <w:rsid w:val="5ABB126B"/>
    <w:rsid w:val="5B2B3FCD"/>
    <w:rsid w:val="5B867A8D"/>
    <w:rsid w:val="5BAE356C"/>
    <w:rsid w:val="5BBD4DA1"/>
    <w:rsid w:val="5CB07A05"/>
    <w:rsid w:val="5ED17601"/>
    <w:rsid w:val="5F545477"/>
    <w:rsid w:val="60FA3F31"/>
    <w:rsid w:val="612A3987"/>
    <w:rsid w:val="612F2391"/>
    <w:rsid w:val="61897173"/>
    <w:rsid w:val="63F21B1B"/>
    <w:rsid w:val="65493192"/>
    <w:rsid w:val="666C26EF"/>
    <w:rsid w:val="6B511389"/>
    <w:rsid w:val="6D5763C1"/>
    <w:rsid w:val="6D81148F"/>
    <w:rsid w:val="6E8006EE"/>
    <w:rsid w:val="6ECC4D84"/>
    <w:rsid w:val="70BA2DA1"/>
    <w:rsid w:val="71B87B2B"/>
    <w:rsid w:val="729B4F6A"/>
    <w:rsid w:val="733E01F4"/>
    <w:rsid w:val="7424079F"/>
    <w:rsid w:val="748815AC"/>
    <w:rsid w:val="74D4598A"/>
    <w:rsid w:val="76FD3FC3"/>
    <w:rsid w:val="776F4BB9"/>
    <w:rsid w:val="7AA5545A"/>
    <w:rsid w:val="7BAA5900"/>
    <w:rsid w:val="7D764359"/>
    <w:rsid w:val="7D9A3104"/>
    <w:rsid w:val="7DB94919"/>
    <w:rsid w:val="7F8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2"/>
    <w:basedOn w:val="1"/>
    <w:autoRedefine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博奥公司</Company>
  <Pages>11</Pages>
  <Words>781</Words>
  <Characters>4456</Characters>
  <Lines>37</Lines>
  <Paragraphs>10</Paragraphs>
  <TotalTime>0</TotalTime>
  <ScaleCrop>false</ScaleCrop>
  <LinksUpToDate>false</LinksUpToDate>
  <CharactersWithSpaces>5227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2018-04-04T01:26:00Z</dcterms:created>
  <dc:creator>lenovo</dc:creator>
  <cp:lastModifiedBy>lenovo</cp:lastModifiedBy>
  <cp:lastPrinted>2017-05-18T02:05:00Z</cp:lastPrinted>
  <dcterms:modified xsi:type="dcterms:W3CDTF">2024-02-19T08:45:37Z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12CBFF3E3BFF4D249F63E84C72658434_12</vt:lpwstr>
  </property>
</Properties>
</file>