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E4" w:rsidRDefault="00B704E4">
      <w:pPr>
        <w:rPr>
          <w:rFonts w:ascii="黑体" w:eastAsia="黑体" w:hAnsi="黑体" w:cs="Times New Roman"/>
          <w:sz w:val="32"/>
          <w:szCs w:val="32"/>
        </w:rPr>
      </w:pPr>
    </w:p>
    <w:p w:rsidR="00B704E4" w:rsidRDefault="00B704E4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成安县水利局</w:t>
      </w:r>
    </w:p>
    <w:p w:rsidR="00B704E4" w:rsidRDefault="00B704E4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宋体"/>
          <w:b/>
          <w:bCs/>
          <w:sz w:val="44"/>
          <w:szCs w:val="44"/>
        </w:rPr>
        <w:t>2018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年部门预算公开情况说明</w:t>
      </w:r>
    </w:p>
    <w:p w:rsidR="00B704E4" w:rsidRDefault="00B704E4">
      <w:pPr>
        <w:jc w:val="center"/>
        <w:rPr>
          <w:rFonts w:ascii="黑体" w:eastAsia="黑体" w:hAnsi="黑体" w:cs="Times New Roman"/>
          <w:sz w:val="44"/>
          <w:szCs w:val="44"/>
        </w:rPr>
      </w:pPr>
    </w:p>
    <w:p w:rsidR="00B704E4" w:rsidRDefault="00B704E4">
      <w:pPr>
        <w:ind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按照《</w:t>
      </w:r>
      <w:r w:rsidR="00CD21AE">
        <w:rPr>
          <w:rFonts w:ascii="仿宋" w:eastAsia="仿宋" w:hAnsi="仿宋" w:cs="仿宋" w:hint="eastAsia"/>
          <w:sz w:val="32"/>
          <w:szCs w:val="32"/>
        </w:rPr>
        <w:t>中华人民共和国</w:t>
      </w:r>
      <w:r>
        <w:rPr>
          <w:rFonts w:ascii="仿宋" w:eastAsia="仿宋" w:hAnsi="仿宋" w:cs="仿宋" w:hint="eastAsia"/>
          <w:sz w:val="32"/>
          <w:szCs w:val="32"/>
        </w:rPr>
        <w:t>预算法》有关规定和财政部关于印发《地方预决算公开操作规程》的</w:t>
      </w:r>
      <w:r>
        <w:rPr>
          <w:rFonts w:ascii="仿宋_GB2312" w:eastAsia="仿宋_GB2312" w:hAnsi="黑体" w:cs="仿宋_GB2312" w:hint="eastAsia"/>
          <w:sz w:val="32"/>
          <w:szCs w:val="32"/>
        </w:rPr>
        <w:t>通知要求，现将成安县水利</w:t>
      </w:r>
      <w:r>
        <w:rPr>
          <w:rFonts w:ascii="仿宋_GB2312" w:eastAsia="仿宋_GB2312" w:hAnsi="Times New Roman" w:cs="仿宋_GB2312" w:hint="eastAsia"/>
          <w:sz w:val="32"/>
          <w:szCs w:val="32"/>
        </w:rPr>
        <w:t>局</w:t>
      </w:r>
      <w:r>
        <w:rPr>
          <w:rFonts w:ascii="仿宋_GB2312" w:eastAsia="仿宋_GB2312" w:hAnsi="Times New Roman" w:cs="仿宋_GB2312"/>
          <w:sz w:val="32"/>
          <w:szCs w:val="32"/>
        </w:rPr>
        <w:t>2018</w:t>
      </w:r>
      <w:r>
        <w:rPr>
          <w:rFonts w:ascii="仿宋_GB2312" w:eastAsia="仿宋_GB2312" w:hAnsi="Times New Roman" w:cs="仿宋_GB2312" w:hint="eastAsia"/>
          <w:sz w:val="32"/>
          <w:szCs w:val="32"/>
        </w:rPr>
        <w:t>年部门预算公开如下：</w:t>
      </w:r>
    </w:p>
    <w:p w:rsidR="00B704E4" w:rsidRDefault="00B704E4">
      <w:p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一、部门职责及机构设置情况</w:t>
      </w:r>
    </w:p>
    <w:p w:rsidR="00B704E4" w:rsidRDefault="00B704E4">
      <w:pPr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、部门职责：</w:t>
      </w:r>
    </w:p>
    <w:p w:rsidR="00B704E4" w:rsidRPr="00BD7F5C" w:rsidRDefault="00B704E4" w:rsidP="00CD21AE">
      <w:pPr>
        <w:spacing w:line="360" w:lineRule="auto"/>
        <w:ind w:firstLineChars="200" w:firstLine="64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成安县水利局主要职责：</w:t>
      </w:r>
    </w:p>
    <w:p w:rsidR="00B704E4" w:rsidRPr="00BD7F5C" w:rsidRDefault="00B704E4" w:rsidP="00CD21AE">
      <w:pPr>
        <w:spacing w:line="360" w:lineRule="auto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（一）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负责《中华人民共和国水法》、《中华人民共和国防洪法》等法律、法规的组织实施和监督检查，研究拟定全县水利工作的方针政策、发展战略、中长期规划和年度计划。</w:t>
      </w:r>
    </w:p>
    <w:p w:rsidR="00B704E4" w:rsidRPr="00BD7F5C" w:rsidRDefault="00B704E4" w:rsidP="00CD21AE">
      <w:pPr>
        <w:spacing w:line="360" w:lineRule="auto"/>
        <w:ind w:firstLineChars="200" w:firstLine="64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（二）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统一管理全县水资源（含空中水、地表水、地下水）。组织拟定全县水长期供求计划、水量分配方案并监督实施；组织有关国民经济总体规划、城市规划及重大建设项目的水资源和防洪论证工作；组织实施取水许可制度和水资源费征收制度；发布全县水资源公报。</w:t>
      </w:r>
    </w:p>
    <w:p w:rsidR="00B704E4" w:rsidRPr="00BD7F5C" w:rsidRDefault="00B704E4" w:rsidP="00CD21AE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（三）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拟定全县节约用水政策、编制节约用水规划，制定有关标准，组织、指导和监督全县节约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lastRenderedPageBreak/>
        <w:t>用水工作。</w:t>
      </w:r>
    </w:p>
    <w:p w:rsidR="00B704E4" w:rsidRPr="00BD7F5C" w:rsidRDefault="00B704E4" w:rsidP="00CD21AE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（四）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拟定水资源保护规划；组织水功能区划和向不同的功能区水域排污的控制；审定水域纳污能力，提出限制排污总量的意见。</w:t>
      </w:r>
    </w:p>
    <w:p w:rsidR="00B704E4" w:rsidRPr="00BD7F5C" w:rsidRDefault="00B704E4" w:rsidP="00CD21AE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（五）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组织、指导水政监察和水行政执法；协调并仲裁部门间和乡镇区际间水事纠纷。</w:t>
      </w:r>
    </w:p>
    <w:p w:rsidR="00B704E4" w:rsidRPr="00BD7F5C" w:rsidRDefault="00B704E4" w:rsidP="00CD21AE">
      <w:pPr>
        <w:pStyle w:val="a6"/>
        <w:ind w:left="420"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（六）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制定全县水利行业经济调节措施；对水利资金的使用进行宏观调节；指导水利行业供水及多种经营工作；贯彻执行国家有关水利的资产、价费、税收、信贷、财务等政策，配合有关部门制定本县水利政策措施并组织实施；按照国家有关规定监督管理水利系统国有资产。</w:t>
      </w:r>
    </w:p>
    <w:p w:rsidR="00B704E4" w:rsidRPr="00BD7F5C" w:rsidRDefault="00B704E4" w:rsidP="00CD21AE">
      <w:pPr>
        <w:pStyle w:val="a6"/>
        <w:ind w:left="420"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（七）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负责全县水利基建项目建议书、可行性报告和初步设计的编制、审查、申报；组织水利科学研究和技术推广；主管水利行业技术质量标准和水利工程规程、规范并监督实施。</w:t>
      </w:r>
    </w:p>
    <w:p w:rsidR="00B704E4" w:rsidRPr="00BD7F5C" w:rsidRDefault="00B704E4" w:rsidP="00CD21AE">
      <w:pPr>
        <w:pStyle w:val="a6"/>
        <w:ind w:left="420"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（八）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组织、指导全县水利设施及其岸线的管理与保护；组织指导主要渠道的治理和开发；负责全县水利工程建设的行业管理；组织建设和管理具有控制性的或跨乡镇的重要水利工程。</w:t>
      </w:r>
    </w:p>
    <w:p w:rsidR="00B704E4" w:rsidRPr="00BD7F5C" w:rsidRDefault="00B704E4" w:rsidP="00CD21AE">
      <w:pPr>
        <w:pStyle w:val="a6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（九）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指导全县农村水利工作，组织协调农田水利基本建设、城乡供水和农村水利社会化服务体系建设。</w:t>
      </w:r>
    </w:p>
    <w:p w:rsidR="00B704E4" w:rsidRPr="00BD7F5C" w:rsidRDefault="00B704E4" w:rsidP="00CD21AE">
      <w:pPr>
        <w:pStyle w:val="a6"/>
        <w:ind w:left="420"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（十）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行使国有资产的管理权、所有权，承担县城和农村供水行业的管理职能，组织协调县城和农村供水建设、管理、维修、维护和运行工作。</w:t>
      </w:r>
    </w:p>
    <w:p w:rsidR="00B704E4" w:rsidRPr="00BD7F5C" w:rsidRDefault="00B704E4" w:rsidP="00CD21AE">
      <w:pPr>
        <w:pStyle w:val="a6"/>
        <w:ind w:left="420"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（十一）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负责水利方面科技、外事工作；指导全县水利队伍建设。</w:t>
      </w:r>
    </w:p>
    <w:p w:rsidR="00B704E4" w:rsidRPr="00BD7F5C" w:rsidRDefault="00B704E4" w:rsidP="00CD21AE">
      <w:pPr>
        <w:pStyle w:val="a6"/>
        <w:ind w:left="420"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（十二）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承担县防汛抗旱指挥部的日常工作，组织、协调、监督、指导全县防汛抗旱和城市防洪工作，对主渠道和重要水利工程实施防汛抗旱调度。</w:t>
      </w:r>
    </w:p>
    <w:p w:rsidR="00B704E4" w:rsidRDefault="00B704E4" w:rsidP="00CD21AE">
      <w:pPr>
        <w:widowControl/>
        <w:spacing w:line="360" w:lineRule="auto"/>
        <w:ind w:firstLineChars="196" w:firstLine="627"/>
        <w:jc w:val="left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（十三）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承办县委、县政府交办的其它事项，承办县人大政协建议、提案事宜。</w:t>
      </w:r>
    </w:p>
    <w:p w:rsidR="00B704E4" w:rsidRDefault="00B704E4" w:rsidP="00CD21AE">
      <w:pPr>
        <w:widowControl/>
        <w:spacing w:line="360" w:lineRule="auto"/>
        <w:ind w:firstLineChars="196" w:firstLine="630"/>
        <w:jc w:val="left"/>
        <w:rPr>
          <w:rFonts w:ascii="楷体" w:eastAsia="楷体" w:hAnsi="楷体" w:cs="Times New Roman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人员编制和领导职数</w:t>
      </w:r>
    </w:p>
    <w:p w:rsidR="00B704E4" w:rsidRDefault="00B704E4" w:rsidP="00CD21AE">
      <w:pPr>
        <w:widowControl/>
        <w:spacing w:line="360" w:lineRule="auto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人员编制</w:t>
      </w:r>
      <w:r>
        <w:rPr>
          <w:rFonts w:ascii="仿宋" w:eastAsia="仿宋" w:hAnsi="仿宋" w:cs="仿宋"/>
          <w:kern w:val="0"/>
          <w:sz w:val="32"/>
          <w:szCs w:val="32"/>
        </w:rPr>
        <w:t>74</w:t>
      </w:r>
      <w:r>
        <w:rPr>
          <w:rFonts w:ascii="仿宋" w:eastAsia="仿宋" w:hAnsi="仿宋" w:cs="仿宋" w:hint="eastAsia"/>
          <w:kern w:val="0"/>
          <w:sz w:val="32"/>
          <w:szCs w:val="32"/>
        </w:rPr>
        <w:t>名，其中领导职数</w:t>
      </w:r>
      <w:r>
        <w:rPr>
          <w:rFonts w:ascii="仿宋" w:eastAsia="仿宋" w:hAnsi="仿宋" w:cs="仿宋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个。</w:t>
      </w:r>
    </w:p>
    <w:p w:rsidR="00B704E4" w:rsidRDefault="00B704E4" w:rsidP="00CD21AE">
      <w:pPr>
        <w:spacing w:line="360" w:lineRule="auto"/>
        <w:ind w:firstLineChars="200" w:firstLine="640"/>
        <w:jc w:val="left"/>
        <w:rPr>
          <w:rFonts w:ascii="楷体" w:eastAsia="楷体" w:hAnsi="楷体" w:cs="Times New Roman"/>
          <w:b/>
          <w:bCs/>
          <w:sz w:val="32"/>
          <w:szCs w:val="32"/>
        </w:rPr>
      </w:pPr>
      <w:r w:rsidRPr="00BD7F5C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>
        <w:rPr>
          <w:rFonts w:ascii="楷体" w:eastAsia="楷体" w:hAnsi="楷体" w:cs="楷体"/>
          <w:b/>
          <w:bCs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、机构设置：</w:t>
      </w:r>
    </w:p>
    <w:p w:rsidR="00B704E4" w:rsidRDefault="00B704E4">
      <w:pPr>
        <w:jc w:val="center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部门机构设置情况</w:t>
      </w:r>
    </w:p>
    <w:tbl>
      <w:tblPr>
        <w:tblW w:w="86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317"/>
        <w:gridCol w:w="1134"/>
        <w:gridCol w:w="1276"/>
        <w:gridCol w:w="2902"/>
      </w:tblGrid>
      <w:tr w:rsidR="00B704E4" w:rsidRPr="00404A82">
        <w:trPr>
          <w:trHeight w:val="300"/>
          <w:tblHeader/>
          <w:jc w:val="center"/>
        </w:trPr>
        <w:tc>
          <w:tcPr>
            <w:tcW w:w="3317" w:type="dxa"/>
            <w:vMerge w:val="restart"/>
            <w:vAlign w:val="center"/>
          </w:tcPr>
          <w:p w:rsidR="00B704E4" w:rsidRDefault="00B704E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仿宋_GB2312" w:hint="eastAsia"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B704E4" w:rsidRDefault="00B704E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仿宋_GB2312" w:hint="eastAsia"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B704E4" w:rsidRDefault="00B704E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仿宋_GB2312" w:hint="eastAsia"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B704E4" w:rsidRDefault="00B704E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仿宋_GB2312" w:hint="eastAsia"/>
              </w:rPr>
              <w:t>经费保障形式</w:t>
            </w:r>
          </w:p>
        </w:tc>
      </w:tr>
      <w:tr w:rsidR="00B704E4" w:rsidRPr="00404A82">
        <w:trPr>
          <w:trHeight w:val="300"/>
          <w:tblHeader/>
          <w:jc w:val="center"/>
        </w:trPr>
        <w:tc>
          <w:tcPr>
            <w:tcW w:w="3317" w:type="dxa"/>
            <w:vMerge/>
            <w:vAlign w:val="center"/>
          </w:tcPr>
          <w:p w:rsidR="00B704E4" w:rsidRDefault="00B704E4">
            <w:pPr>
              <w:spacing w:line="300" w:lineRule="exact"/>
              <w:jc w:val="left"/>
              <w:outlineLvl w:val="0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704E4" w:rsidRDefault="00B704E4">
            <w:pPr>
              <w:spacing w:line="300" w:lineRule="exact"/>
              <w:jc w:val="left"/>
              <w:outlineLvl w:val="0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704E4" w:rsidRDefault="00B704E4">
            <w:pPr>
              <w:spacing w:line="300" w:lineRule="exact"/>
              <w:jc w:val="left"/>
              <w:outlineLvl w:val="0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902" w:type="dxa"/>
            <w:vMerge/>
            <w:vAlign w:val="center"/>
          </w:tcPr>
          <w:p w:rsidR="00B704E4" w:rsidRDefault="00B704E4">
            <w:pPr>
              <w:spacing w:line="300" w:lineRule="exact"/>
              <w:jc w:val="left"/>
              <w:outlineLvl w:val="0"/>
              <w:rPr>
                <w:rFonts w:ascii="仿宋_GB2312" w:eastAsia="仿宋_GB2312" w:hAnsi="Times New Roman" w:cs="Times New Roman"/>
              </w:rPr>
            </w:pPr>
          </w:p>
        </w:tc>
      </w:tr>
      <w:tr w:rsidR="00B704E4" w:rsidRPr="00404A82">
        <w:trPr>
          <w:trHeight w:val="716"/>
          <w:jc w:val="center"/>
        </w:trPr>
        <w:tc>
          <w:tcPr>
            <w:tcW w:w="3317" w:type="dxa"/>
            <w:vAlign w:val="center"/>
          </w:tcPr>
          <w:p w:rsidR="00B704E4" w:rsidRDefault="00B704E4" w:rsidP="006E25E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仿宋_GB2312" w:hint="eastAsia"/>
              </w:rPr>
              <w:t>成安县水利局机关</w:t>
            </w:r>
          </w:p>
        </w:tc>
        <w:tc>
          <w:tcPr>
            <w:tcW w:w="1134" w:type="dxa"/>
            <w:vAlign w:val="center"/>
          </w:tcPr>
          <w:p w:rsidR="00B704E4" w:rsidRDefault="00B704E4" w:rsidP="006E25E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仿宋_GB2312" w:hint="eastAsia"/>
              </w:rPr>
              <w:t>行政</w:t>
            </w:r>
          </w:p>
        </w:tc>
        <w:tc>
          <w:tcPr>
            <w:tcW w:w="1276" w:type="dxa"/>
            <w:vAlign w:val="center"/>
          </w:tcPr>
          <w:p w:rsidR="00B704E4" w:rsidRDefault="00B704E4" w:rsidP="006E25E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仿宋_GB2312" w:hint="eastAsia"/>
              </w:rPr>
              <w:t>正科级</w:t>
            </w:r>
          </w:p>
        </w:tc>
        <w:tc>
          <w:tcPr>
            <w:tcW w:w="2902" w:type="dxa"/>
            <w:vAlign w:val="center"/>
          </w:tcPr>
          <w:p w:rsidR="00B704E4" w:rsidRDefault="00B704E4" w:rsidP="006E25E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仿宋_GB2312" w:hint="eastAsia"/>
              </w:rPr>
              <w:t>财政拨款</w:t>
            </w:r>
          </w:p>
        </w:tc>
      </w:tr>
    </w:tbl>
    <w:p w:rsidR="00B704E4" w:rsidRDefault="00B704E4">
      <w:pPr>
        <w:spacing w:line="560" w:lineRule="exact"/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二、部门预算安排的总体情况</w:t>
      </w:r>
    </w:p>
    <w:p w:rsidR="00B704E4" w:rsidRDefault="00B704E4">
      <w:p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按照预算管理有关规定，目前我部门预算的编制实行综合预算制度，即全部收入和支出都反映在预算中。</w:t>
      </w:r>
    </w:p>
    <w:p w:rsidR="00B704E4" w:rsidRDefault="00B704E4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、收入说明</w:t>
      </w:r>
    </w:p>
    <w:p w:rsidR="00B704E4" w:rsidRPr="00844338" w:rsidRDefault="00B704E4" w:rsidP="00CD21AE">
      <w:pPr>
        <w:widowControl/>
        <w:spacing w:line="360" w:lineRule="auto"/>
        <w:ind w:firstLineChars="200" w:firstLine="640"/>
        <w:jc w:val="left"/>
        <w:rPr>
          <w:rFonts w:eastAsia="仿宋_GB2312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2018</w:t>
      </w:r>
      <w:r>
        <w:rPr>
          <w:rFonts w:ascii="仿宋_GB2312" w:eastAsia="仿宋_GB2312" w:hAnsi="Times New Roman" w:cs="仿宋_GB2312" w:hint="eastAsia"/>
          <w:sz w:val="32"/>
          <w:szCs w:val="32"/>
        </w:rPr>
        <w:t>年预算收入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933.94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</w:t>
      </w:r>
      <w:r>
        <w:rPr>
          <w:rFonts w:eastAsia="仿宋_GB2312" w:cs="仿宋_GB2312" w:hint="eastAsia"/>
          <w:kern w:val="0"/>
          <w:sz w:val="32"/>
          <w:szCs w:val="32"/>
        </w:rPr>
        <w:t>一般公共预算拨款收入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933.94</w:t>
      </w:r>
      <w:r>
        <w:rPr>
          <w:rFonts w:eastAsia="仿宋_GB2312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政府性基金收入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B704E4" w:rsidRDefault="00B704E4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lastRenderedPageBreak/>
        <w:t>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、支出说明</w:t>
      </w:r>
    </w:p>
    <w:p w:rsidR="00B704E4" w:rsidRDefault="00B704E4">
      <w:p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2018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年支出预算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933.94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万元，其中基本支出</w:t>
      </w:r>
      <w:r>
        <w:rPr>
          <w:rFonts w:ascii="仿宋_GB2312" w:eastAsia="仿宋_GB2312" w:hAnsi="Times New Roman" w:cs="仿宋_GB2312"/>
          <w:sz w:val="32"/>
          <w:szCs w:val="32"/>
        </w:rPr>
        <w:t>365.94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，包括人员经费和日常公用经费；项目支出</w:t>
      </w:r>
      <w:r>
        <w:rPr>
          <w:rFonts w:ascii="仿宋_GB2312" w:eastAsia="仿宋_GB2312" w:hAnsi="Times New Roman" w:cs="仿宋_GB2312"/>
          <w:sz w:val="32"/>
          <w:szCs w:val="32"/>
        </w:rPr>
        <w:t>568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万元，主要为农业结构调整补贴支出、水利工程建设支出、其他水利支出等。</w:t>
      </w:r>
    </w:p>
    <w:p w:rsidR="00B704E4" w:rsidRDefault="00B704E4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3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、比上年增减变化情况</w:t>
      </w:r>
    </w:p>
    <w:p w:rsidR="00B704E4" w:rsidRPr="00CE2464" w:rsidRDefault="00B704E4" w:rsidP="00CE2464">
      <w:pPr>
        <w:spacing w:line="560" w:lineRule="exact"/>
        <w:ind w:firstLine="640"/>
        <w:rPr>
          <w:rFonts w:ascii="仿宋_GB2312" w:eastAsia="仿宋_GB2312" w:hAnsi="Times New Roman" w:cs="Times New Roman"/>
          <w:color w:val="FF0000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2018</w:t>
      </w:r>
      <w:r>
        <w:rPr>
          <w:rFonts w:ascii="仿宋_GB2312" w:eastAsia="仿宋_GB2312" w:hAnsi="Times New Roman" w:cs="仿宋_GB2312" w:hint="eastAsia"/>
          <w:sz w:val="32"/>
          <w:szCs w:val="32"/>
        </w:rPr>
        <w:t>年预算收支安排</w:t>
      </w:r>
      <w:r>
        <w:rPr>
          <w:rFonts w:ascii="仿宋_GB2312" w:eastAsia="仿宋_GB2312" w:hAnsi="Times New Roman" w:cs="仿宋_GB2312"/>
          <w:sz w:val="32"/>
          <w:szCs w:val="32"/>
        </w:rPr>
        <w:t>933.94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万元，较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年预算减少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90.12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</w:t>
      </w:r>
      <w:r w:rsidRPr="00CE2464">
        <w:rPr>
          <w:rFonts w:ascii="仿宋_GB2312" w:eastAsia="仿宋_GB2312" w:hAnsi="Times New Roman" w:cs="仿宋_GB2312" w:hint="eastAsia"/>
          <w:sz w:val="32"/>
          <w:szCs w:val="32"/>
        </w:rPr>
        <w:t>基本支出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减少</w:t>
      </w:r>
      <w:r>
        <w:rPr>
          <w:rFonts w:ascii="仿宋_GB2312" w:eastAsia="仿宋_GB2312" w:hAnsi="Times New Roman" w:cs="仿宋_GB2312"/>
          <w:sz w:val="32"/>
          <w:szCs w:val="32"/>
        </w:rPr>
        <w:t>15.12</w:t>
      </w:r>
      <w:r w:rsidRPr="00CE2464"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 w:rsidRPr="00B80C4A">
        <w:rPr>
          <w:rFonts w:ascii="仿宋_GB2312" w:eastAsia="仿宋_GB2312" w:hAnsi="仿宋" w:cs="仿宋_GB2312" w:hint="eastAsia"/>
          <w:kern w:val="0"/>
          <w:sz w:val="32"/>
          <w:szCs w:val="32"/>
        </w:rPr>
        <w:t>积极贯彻落实新《预算法》，按照讲求绩效的原则，对于当年未使用的预算，在调整预算中予以调减</w:t>
      </w:r>
      <w:r w:rsidRPr="000C04A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；</w:t>
      </w:r>
      <w:r w:rsidRPr="00CE2464">
        <w:rPr>
          <w:rFonts w:ascii="仿宋_GB2312" w:eastAsia="仿宋_GB2312" w:hAnsi="Times New Roman" w:cs="仿宋_GB2312" w:hint="eastAsia"/>
          <w:sz w:val="32"/>
          <w:szCs w:val="32"/>
        </w:rPr>
        <w:t>项目支出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减少</w:t>
      </w:r>
      <w:r>
        <w:rPr>
          <w:rFonts w:ascii="仿宋_GB2312" w:eastAsia="仿宋_GB2312" w:hAnsi="Times New Roman" w:cs="仿宋_GB2312"/>
          <w:sz w:val="32"/>
          <w:szCs w:val="32"/>
        </w:rPr>
        <w:t>75</w:t>
      </w:r>
      <w:r w:rsidRPr="00CE2464"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>
        <w:rPr>
          <w:rFonts w:ascii="仿宋_GB2312" w:eastAsia="仿宋_GB2312" w:hAnsi="Times New Roman" w:cs="仿宋_GB2312" w:hint="eastAsia"/>
          <w:sz w:val="32"/>
          <w:szCs w:val="32"/>
        </w:rPr>
        <w:t>原因是水利工程建设项目减少。</w:t>
      </w:r>
    </w:p>
    <w:p w:rsidR="00B704E4" w:rsidRDefault="00B704E4" w:rsidP="00CD21AE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三、机关运行经费安排情况</w:t>
      </w:r>
    </w:p>
    <w:p w:rsidR="00B704E4" w:rsidRPr="009113FA" w:rsidRDefault="00B704E4" w:rsidP="00CD21AE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机关运行经费共计安排</w:t>
      </w:r>
      <w:r>
        <w:rPr>
          <w:rFonts w:ascii="仿宋_GB2312" w:eastAsia="仿宋_GB2312" w:hAnsi="Times New Roman" w:cs="仿宋_GB2312"/>
          <w:sz w:val="32"/>
          <w:szCs w:val="32"/>
        </w:rPr>
        <w:t>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 w:rsidRPr="009113FA">
        <w:rPr>
          <w:rFonts w:ascii="仿宋_GB2312" w:eastAsia="仿宋_GB2312" w:hAnsi="Times New Roman" w:cs="仿宋_GB2312" w:hint="eastAsia"/>
          <w:sz w:val="32"/>
          <w:szCs w:val="32"/>
        </w:rPr>
        <w:t>主要用于</w:t>
      </w:r>
      <w:r w:rsidRPr="009113FA">
        <w:rPr>
          <w:rFonts w:ascii="仿宋" w:eastAsia="仿宋_GB2312" w:hAnsi="仿宋" w:cs="仿宋_GB2312" w:hint="eastAsia"/>
          <w:kern w:val="0"/>
          <w:sz w:val="32"/>
          <w:szCs w:val="32"/>
        </w:rPr>
        <w:t>：办公费、差旅费、交通费、会议费、招待费、其他支出等</w:t>
      </w:r>
      <w:r w:rsidRPr="009113FA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B704E4" w:rsidRDefault="00B704E4" w:rsidP="00CD21AE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四、财政拨款“三公”经费预算情况及增减变化原因</w:t>
      </w:r>
    </w:p>
    <w:p w:rsidR="00B704E4" w:rsidRDefault="00B704E4" w:rsidP="00CD21AE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sz w:val="32"/>
          <w:szCs w:val="32"/>
        </w:rPr>
        <w:t>年，我单位“三公”经费预算安排</w:t>
      </w:r>
      <w:r>
        <w:rPr>
          <w:rFonts w:ascii="仿宋_GB2312" w:eastAsia="仿宋_GB2312" w:hAnsi="仿宋" w:cs="仿宋_GB2312"/>
          <w:sz w:val="32"/>
          <w:szCs w:val="32"/>
        </w:rPr>
        <w:t>1.4</w:t>
      </w:r>
      <w:r>
        <w:rPr>
          <w:rFonts w:ascii="仿宋_GB2312" w:eastAsia="仿宋_GB2312" w:hAnsi="仿宋" w:cs="仿宋_GB2312" w:hint="eastAsia"/>
          <w:sz w:val="32"/>
          <w:szCs w:val="32"/>
        </w:rPr>
        <w:t>万元，其中因公出国（境）费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万元；公务用车购置及运维护费</w:t>
      </w:r>
      <w:r>
        <w:rPr>
          <w:rFonts w:ascii="仿宋_GB2312" w:eastAsia="仿宋_GB2312" w:hAnsi="仿宋" w:cs="仿宋_GB2312"/>
          <w:sz w:val="32"/>
          <w:szCs w:val="32"/>
        </w:rPr>
        <w:t>1.4</w:t>
      </w:r>
      <w:r>
        <w:rPr>
          <w:rFonts w:ascii="仿宋_GB2312" w:eastAsia="仿宋_GB2312" w:hAnsi="仿宋" w:cs="仿宋_GB2312" w:hint="eastAsia"/>
          <w:sz w:val="32"/>
          <w:szCs w:val="32"/>
        </w:rPr>
        <w:t>万元。（其中：公务用车购置费为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万元，公务用车运行维护费</w:t>
      </w:r>
      <w:r>
        <w:rPr>
          <w:rFonts w:ascii="仿宋_GB2312" w:eastAsia="仿宋_GB2312" w:hAnsi="仿宋" w:cs="仿宋_GB2312"/>
          <w:sz w:val="32"/>
          <w:szCs w:val="32"/>
        </w:rPr>
        <w:t>1.4</w:t>
      </w:r>
      <w:r>
        <w:rPr>
          <w:rFonts w:ascii="仿宋_GB2312" w:eastAsia="仿宋_GB2312" w:hAnsi="仿宋" w:cs="仿宋_GB2312" w:hint="eastAsia"/>
          <w:sz w:val="32"/>
          <w:szCs w:val="32"/>
        </w:rPr>
        <w:t>万元</w:t>
      </w:r>
      <w:r>
        <w:rPr>
          <w:rFonts w:ascii="仿宋_GB2312" w:eastAsia="仿宋_GB2312" w:hAnsi="仿宋" w:cs="仿宋_GB2312"/>
          <w:sz w:val="32"/>
          <w:szCs w:val="32"/>
        </w:rPr>
        <w:t>)</w:t>
      </w:r>
      <w:r>
        <w:rPr>
          <w:rFonts w:ascii="仿宋_GB2312" w:eastAsia="仿宋_GB2312" w:hAnsi="仿宋" w:cs="仿宋_GB2312" w:hint="eastAsia"/>
          <w:sz w:val="32"/>
          <w:szCs w:val="32"/>
        </w:rPr>
        <w:t>；公务接待费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万元。与</w:t>
      </w:r>
      <w:r>
        <w:rPr>
          <w:rFonts w:ascii="仿宋_GB2312" w:eastAsia="仿宋_GB2312" w:hAnsi="仿宋" w:cs="仿宋_GB2312"/>
          <w:sz w:val="32"/>
          <w:szCs w:val="32"/>
        </w:rPr>
        <w:t>2017</w:t>
      </w:r>
      <w:r>
        <w:rPr>
          <w:rFonts w:ascii="仿宋_GB2312" w:eastAsia="仿宋_GB2312" w:hAnsi="仿宋" w:cs="仿宋_GB2312" w:hint="eastAsia"/>
          <w:sz w:val="32"/>
          <w:szCs w:val="32"/>
        </w:rPr>
        <w:t>年比较，减少</w:t>
      </w:r>
      <w:r>
        <w:rPr>
          <w:rFonts w:ascii="仿宋_GB2312" w:eastAsia="仿宋_GB2312" w:hAnsi="仿宋" w:cs="仿宋_GB2312"/>
          <w:sz w:val="32"/>
          <w:szCs w:val="32"/>
        </w:rPr>
        <w:t>11</w:t>
      </w:r>
      <w:r>
        <w:rPr>
          <w:rFonts w:ascii="仿宋_GB2312" w:eastAsia="仿宋_GB2312" w:hAnsi="仿宋" w:cs="仿宋_GB2312" w:hint="eastAsia"/>
          <w:sz w:val="32"/>
          <w:szCs w:val="32"/>
        </w:rPr>
        <w:t>万元，主要原因是购置费为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元。</w:t>
      </w:r>
    </w:p>
    <w:p w:rsidR="00B704E4" w:rsidRDefault="00B704E4">
      <w:pPr>
        <w:spacing w:line="560" w:lineRule="exact"/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五、绩效预算信息</w:t>
      </w:r>
    </w:p>
    <w:p w:rsidR="00B704E4" w:rsidRDefault="00B704E4" w:rsidP="00CD21AE">
      <w:pPr>
        <w:spacing w:line="560" w:lineRule="exact"/>
        <w:ind w:firstLineChars="200" w:firstLine="643"/>
        <w:jc w:val="left"/>
        <w:rPr>
          <w:rFonts w:ascii="楷体" w:eastAsia="楷体" w:hAnsi="楷体" w:cs="Times New Roman"/>
          <w:b/>
          <w:bCs/>
          <w:sz w:val="32"/>
          <w:szCs w:val="32"/>
        </w:rPr>
      </w:pPr>
      <w:bookmarkStart w:id="1" w:name="_Toc471398463"/>
      <w:r>
        <w:rPr>
          <w:rFonts w:ascii="楷体" w:eastAsia="楷体" w:hAnsi="楷体" w:cs="楷体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、总体绩效目标：</w:t>
      </w:r>
    </w:p>
    <w:p w:rsidR="00B704E4" w:rsidRDefault="00B704E4" w:rsidP="002D046F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（一）推进两项改革。一是全面推进河长制。按照国家、省推行河长制的工作部署，全面推进河长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制各项工作，切实加强河湖管理保护，确保中央文件精神落地生根、取得实效。二是开展农业水权交易试点。在完成水权确权登记的基础上，利用中国水权交易平台，以成安县为试点，启动我县农业水权交易，并逐步在压采试点区推广。</w:t>
      </w:r>
    </w:p>
    <w:p w:rsidR="00B704E4" w:rsidRDefault="00B704E4" w:rsidP="002D046F">
      <w:pPr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二）抓好三个安全。一是供水安全。加大南水北调水源切换力度。充分发挥南水北调水厂作用，为全县工农业生产和生态环境建设提供可靠水源支撑。二是农村饮水安全。按照“十三五”农村饮水巩固提升标准，优先实施水毁饮水安全工程巩固提升。三是地下水安全。努力争取上级资金，继续推进河渠连通、高效节水工程和机井关停。</w:t>
      </w:r>
    </w:p>
    <w:p w:rsidR="00B704E4" w:rsidRDefault="00B704E4" w:rsidP="00CD21AE">
      <w:pPr>
        <w:spacing w:line="560" w:lineRule="exact"/>
        <w:ind w:firstLineChars="150" w:firstLine="482"/>
        <w:jc w:val="left"/>
        <w:outlineLvl w:val="0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、部门职责及工作活动绩效目标指标：</w:t>
      </w:r>
    </w:p>
    <w:p w:rsidR="00B704E4" w:rsidRDefault="00B704E4">
      <w:pPr>
        <w:spacing w:line="560" w:lineRule="exact"/>
        <w:jc w:val="center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部门职责</w:t>
      </w:r>
      <w:r>
        <w:rPr>
          <w:rFonts w:ascii="仿宋_GB2312" w:eastAsia="仿宋_GB2312" w:hAnsi="Times New Roman" w:cs="仿宋_GB2312"/>
          <w:sz w:val="32"/>
          <w:szCs w:val="32"/>
        </w:rPr>
        <w:t>-</w:t>
      </w:r>
      <w:r>
        <w:rPr>
          <w:rFonts w:ascii="仿宋_GB2312" w:eastAsia="仿宋_GB2312" w:hAnsi="Times New Roman" w:cs="仿宋_GB2312" w:hint="eastAsia"/>
          <w:sz w:val="32"/>
          <w:szCs w:val="32"/>
        </w:rPr>
        <w:t>工作活动绩效目标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B704E4" w:rsidRPr="00404A82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332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成安县水利局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704E4" w:rsidRDefault="00B704E4" w:rsidP="008B1C76">
            <w:pPr>
              <w:spacing w:line="300" w:lineRule="exact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单位：万元</w:t>
            </w:r>
          </w:p>
        </w:tc>
      </w:tr>
      <w:tr w:rsidR="00B704E4" w:rsidRPr="00404A82">
        <w:trPr>
          <w:trHeight w:val="227"/>
          <w:tblHeader/>
          <w:jc w:val="center"/>
        </w:trPr>
        <w:tc>
          <w:tcPr>
            <w:tcW w:w="2341" w:type="dxa"/>
            <w:vMerge w:val="restart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职责活动</w:t>
            </w:r>
          </w:p>
        </w:tc>
        <w:tc>
          <w:tcPr>
            <w:tcW w:w="1276" w:type="dxa"/>
            <w:vMerge w:val="restart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年度预算数</w:t>
            </w:r>
          </w:p>
        </w:tc>
        <w:tc>
          <w:tcPr>
            <w:tcW w:w="2976" w:type="dxa"/>
            <w:vMerge w:val="restart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内容描述</w:t>
            </w:r>
          </w:p>
        </w:tc>
        <w:tc>
          <w:tcPr>
            <w:tcW w:w="2976" w:type="dxa"/>
            <w:vMerge w:val="restart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绩效目标</w:t>
            </w:r>
          </w:p>
        </w:tc>
        <w:tc>
          <w:tcPr>
            <w:tcW w:w="1417" w:type="dxa"/>
            <w:vMerge w:val="restart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绩效指标</w:t>
            </w:r>
          </w:p>
        </w:tc>
        <w:tc>
          <w:tcPr>
            <w:tcW w:w="2948" w:type="dxa"/>
            <w:gridSpan w:val="4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评价标准</w:t>
            </w:r>
          </w:p>
        </w:tc>
      </w:tr>
      <w:tr w:rsidR="00B704E4" w:rsidRPr="00404A82">
        <w:trPr>
          <w:trHeight w:val="227"/>
          <w:tblHeader/>
          <w:jc w:val="center"/>
        </w:trPr>
        <w:tc>
          <w:tcPr>
            <w:tcW w:w="2341" w:type="dxa"/>
            <w:vMerge/>
            <w:vAlign w:val="center"/>
          </w:tcPr>
          <w:p w:rsidR="00B704E4" w:rsidRDefault="00B704E4" w:rsidP="008B1C76">
            <w:pPr>
              <w:spacing w:line="300" w:lineRule="exact"/>
              <w:jc w:val="left"/>
              <w:outlineLvl w:val="0"/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704E4" w:rsidRDefault="00B704E4" w:rsidP="008B1C76">
            <w:pPr>
              <w:spacing w:line="300" w:lineRule="exact"/>
              <w:jc w:val="left"/>
              <w:outlineLvl w:val="0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B704E4" w:rsidRDefault="00B704E4" w:rsidP="008B1C76">
            <w:pPr>
              <w:spacing w:line="300" w:lineRule="exact"/>
              <w:jc w:val="left"/>
              <w:outlineLvl w:val="0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B704E4" w:rsidRDefault="00B704E4" w:rsidP="008B1C76">
            <w:pPr>
              <w:spacing w:line="300" w:lineRule="exact"/>
              <w:jc w:val="left"/>
              <w:outlineLvl w:val="0"/>
              <w:rPr>
                <w:rFonts w:ascii="仿宋" w:eastAsia="仿宋" w:hAnsi="仿宋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704E4" w:rsidRDefault="00B704E4" w:rsidP="008B1C76">
            <w:pPr>
              <w:spacing w:line="300" w:lineRule="exact"/>
              <w:jc w:val="left"/>
              <w:outlineLvl w:val="0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优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良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中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差</w:t>
            </w: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水利水电项目建设与管理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水利水电项目的建设与维护管理。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按期完成水利水电项目建设和维修管护任务，对社会稳定和经济发展起到积极作用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水利工程建设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组织实施水利工程项目建设。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按期保质保量完成水利项目建设任务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项目完工率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70%</w:t>
            </w: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水利工程运行与维护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指导河道堤防、水库、水闸、排灌泵站、水文等水利工程运行管理和加强对全县水利行业的安全生产监督、检查。对水利工程进行维修养护，确保工程安全运行。</w:t>
            </w:r>
          </w:p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编制全县水利工程运行与维护计划，指导河道堤防、水库、水闸、排灌泵站、水文等水利工程运行管理和加强对全县水利行业的安全生产监督、检查。对水利工程进行维修养护，确保工程安全运行。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年度维修养护工程质量全部合格，工程正常运行。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工程质量验收合格率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70%</w:t>
            </w: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 xml:space="preserve">　　农田水利建设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建设小型农田水利设施，实施节水灌溉、灌区续建配套与节水改造等，推广综合节水技术，农业水价综合改革，开展乡镇水利站建设。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提高农业用水效率、改善农业生产条件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项目完工率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70%</w:t>
            </w: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保障农村饮水安全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在全县范围内通过实施农村饮水安全项目，解决农村居民饮水不安全问题。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保障农村供水安全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任务完成率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70%</w:t>
            </w: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水库移民安置及后期管理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落实水库移民政策，扶持移民发展生产，保持移民稳定。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增加移民收入，改善移民生产生活条件，促进移民稳定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移民政策落实率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70%</w:t>
            </w: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农村水电建设与管理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开展水能资源调查评价、水能资源开发利用规划编制。农村水电建设、质量和安全监督管理、绿色小水电建设。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充分利用水能资源，提供清洁可再生能源，促进节能减排，保护生态环境，服务“三农”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项目完成率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70%</w:t>
            </w: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农业灌溉水费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360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农业灌溉水费，进行全县农业灌溉。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保证全县农业灌溉用水。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农业灌溉水费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360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对全县农业灌溉进行全面覆盖。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全县农业灌溉进行全面覆盖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全面覆盖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60%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55%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50%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45%</w:t>
            </w: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南水北调水厂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810.15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供应全县生活用水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达到县城生活用水供应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南水北调水费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810.15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供应全县城镇生活用水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供应全县生活用水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达到城镇供水全覆盖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 xml:space="preserve">　　南水北调水厂建设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供应全县生活用水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供应全县生活用水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达到县城生活用水供应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水资源保护和生态建设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组织实施全县水资源管理和水土保持相关工作。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促进水资源可持续发展，保护生态环境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水资源管理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统一管理全县水资源，组织实施全县水资源节约、保护、配置、监督管理等工作。全面落实最严格水资源管理制度。协调实施跨流域调水，制定调水计划，组织做好输水管理工作。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促进水资源可持续发展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年度任务完成率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60</w:t>
            </w: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水土保持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组织全县水土保持工作。研究制定水土保持规划，承担水土流失综合防治工作；依法开展水土保持监督管理工作，组织全县水土流失监测、预报并公告；组织开展水土保持宣传教育工作。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保护和合理利用水土资源，改善生态环境，维护生态安全。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水土流失治理面积率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60</w:t>
            </w: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水利科技支撑和公共服务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组织指导全县水利事业建设的科技创新和技术示范推广，为水利事业科学发展提供公共支撑。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研制并示范推广水利工程和管理技术，提高水利事业管理水平。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水文测报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地表、地下水量水质监测，墒情监测，水文资料整编，水文设施运行、维护及更新，委托观测，水文情报、预报，水文信息系统运行。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为防汛、抗旱、减灾、水资源保护管理、水利工程建设准确、及时提供水文资料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水情报汛准确率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防汛抗旱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负责全县防汛抗旱组织管理、应急调度，指导水利行业信息化建设，建设应急度汛、抗旱</w:t>
            </w:r>
            <w:r>
              <w:rPr>
                <w:rFonts w:ascii="仿宋" w:eastAsia="仿宋" w:hAnsi="仿宋" w:cs="仿宋" w:hint="eastAsia"/>
              </w:rPr>
              <w:lastRenderedPageBreak/>
              <w:t>应急、海堤、山洪灾害防治项目，支持基层防汛抗旱组织建设，储备管理防汛抗旱物资，建设水利信息化基础设施，提高全县抗御水旱灾害能力。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发挥防汛抗旱减灾体系作用，最大限度地减少水旱灾害造成的人员伤亡和财产损失。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工程完成率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>水利政务管理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依法依规履行机关日常管理职责。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依法依规履行机关日常管理职责，确保水利工作正常运行。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综合业务管理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协调推动、普查统计、督促指导、对外合作、行政审批、业务监管、水利立法、执法、处理水事纠纷，监督检查、人事管理、表彰奖励及其他依法行政管理活动。</w:t>
            </w:r>
            <w:r w:rsidR="00EB43C9">
              <w:rPr>
                <w:rFonts w:ascii="仿宋" w:eastAsia="仿宋" w:hAnsi="仿宋" w:cs="仿宋" w:hint="eastAsia"/>
              </w:rPr>
              <w:t>县委、县政府</w:t>
            </w:r>
            <w:r>
              <w:rPr>
                <w:rFonts w:ascii="仿宋" w:eastAsia="仿宋" w:hAnsi="仿宋" w:cs="仿宋" w:hint="eastAsia"/>
              </w:rPr>
              <w:t>交办的其他事项等行政管理事项。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依法依规完成工作任务，推进科学决策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工作任务完成率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综合事务管理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加强机关事务性管理，开展机关自身能力建设。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确保机关工作正常运行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工作任务完成率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水库移民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对水库移民的补助情况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水库移民补助的实施及管理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水库移民补助项目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对水库移民的补助及管理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对水库移民的补助进行核实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水库移民补助情况完成率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</w:t>
            </w: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城西工业区居民、单位、工矿企业的生产生活用水水费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城西工业区居民、单位、工矿企业的生产生活用水供应及水费的征收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保证城西工业区居民、单位、工矿企业的生产生活用水供应及水费的征收。管道维修</w:t>
            </w:r>
            <w:r>
              <w:rPr>
                <w:rFonts w:ascii="仿宋" w:eastAsia="仿宋" w:hAnsi="仿宋" w:cs="仿宋"/>
              </w:rPr>
              <w:t>,</w:t>
            </w:r>
            <w:r>
              <w:rPr>
                <w:rFonts w:ascii="仿宋" w:eastAsia="仿宋" w:hAnsi="仿宋" w:cs="仿宋" w:hint="eastAsia"/>
              </w:rPr>
              <w:t>提高居民生活用水质量。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城西工业区居民、单位、工矿企业的生产生活用水供应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城西工业区居民、单位、工矿企业的生产生活用水供应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达到城西工业区生活用水供应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供应率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70%</w:t>
            </w: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县城老城区居民、单位</w:t>
            </w: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>水费征收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供应县城老城区用水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供应县城居民生活供水、水费</w:t>
            </w:r>
            <w:r>
              <w:rPr>
                <w:rFonts w:ascii="仿宋" w:eastAsia="仿宋" w:hAnsi="仿宋" w:cs="仿宋" w:hint="eastAsia"/>
              </w:rPr>
              <w:lastRenderedPageBreak/>
              <w:t>征收及维修管道，对社会稳定和经济发展起到积极作用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 xml:space="preserve">　　县城居民、单位水费征收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保证老城区居民生活供水、管道维修及水费征收。在全县范围内通过实施饮水安全项目，解决居民饮水不安全问题。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达到老城区生活用水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供应率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70%</w:t>
            </w: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全县农村供水正常运行等相关工作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确保全县各供水站正常供水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实现全县各村供水全覆盖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704E4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全县农村供水正常运行等相关工作</w:t>
            </w:r>
          </w:p>
        </w:tc>
        <w:tc>
          <w:tcPr>
            <w:tcW w:w="12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确保全县各供水站正常供水</w:t>
            </w:r>
          </w:p>
        </w:tc>
        <w:tc>
          <w:tcPr>
            <w:tcW w:w="2976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全县农村供水正常运行</w:t>
            </w:r>
          </w:p>
        </w:tc>
        <w:tc>
          <w:tcPr>
            <w:tcW w:w="1417" w:type="dxa"/>
            <w:vAlign w:val="center"/>
          </w:tcPr>
          <w:p w:rsidR="00B704E4" w:rsidRDefault="00B704E4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保证正常运行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</w:t>
            </w:r>
          </w:p>
        </w:tc>
        <w:tc>
          <w:tcPr>
            <w:tcW w:w="737" w:type="dxa"/>
            <w:vAlign w:val="center"/>
          </w:tcPr>
          <w:p w:rsidR="00B704E4" w:rsidRDefault="00B704E4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</w:t>
            </w:r>
          </w:p>
        </w:tc>
      </w:tr>
    </w:tbl>
    <w:p w:rsidR="00B704E4" w:rsidRDefault="00B704E4">
      <w:pPr>
        <w:spacing w:line="560" w:lineRule="exact"/>
        <w:jc w:val="center"/>
        <w:outlineLvl w:val="0"/>
        <w:rPr>
          <w:rFonts w:ascii="仿宋_GB2312" w:eastAsia="仿宋_GB2312" w:hAnsi="Times New Roman" w:cs="Times New Roman"/>
          <w:sz w:val="32"/>
          <w:szCs w:val="32"/>
        </w:rPr>
      </w:pPr>
    </w:p>
    <w:p w:rsidR="00B704E4" w:rsidRDefault="00B704E4">
      <w:pPr>
        <w:spacing w:line="300" w:lineRule="exact"/>
        <w:jc w:val="left"/>
        <w:outlineLvl w:val="0"/>
        <w:rPr>
          <w:rFonts w:cs="Times New Roman"/>
        </w:rPr>
        <w:sectPr w:rsidR="00B704E4">
          <w:headerReference w:type="default" r:id="rId6"/>
          <w:pgSz w:w="16839" w:h="11907" w:orient="landscape"/>
          <w:pgMar w:top="1020" w:right="1361" w:bottom="1020" w:left="1361" w:header="851" w:footer="992" w:gutter="0"/>
          <w:cols w:space="720"/>
          <w:docGrid w:type="lines" w:linePitch="312"/>
        </w:sectPr>
      </w:pPr>
    </w:p>
    <w:p w:rsidR="00B704E4" w:rsidRDefault="00B704E4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六、政府采购预算情况</w:t>
      </w:r>
    </w:p>
    <w:p w:rsidR="00B704E4" w:rsidRDefault="00B704E4">
      <w:pPr>
        <w:spacing w:line="560" w:lineRule="exact"/>
        <w:outlineLvl w:val="0"/>
        <w:rPr>
          <w:rFonts w:ascii="方正小标宋_GBK" w:eastAsia="方正小标宋_GBK" w:cs="Times New Roman"/>
          <w:sz w:val="32"/>
          <w:szCs w:val="32"/>
        </w:rPr>
      </w:pPr>
      <w:bookmarkStart w:id="2" w:name="_Toc471398468"/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2018</w:t>
      </w:r>
      <w:r>
        <w:rPr>
          <w:rFonts w:ascii="仿宋_GB2312" w:eastAsia="仿宋_GB2312" w:hAnsi="Times New Roman" w:cs="仿宋_GB2312" w:hint="eastAsia"/>
          <w:sz w:val="32"/>
          <w:szCs w:val="32"/>
        </w:rPr>
        <w:t>年，我单位安排政府采购预算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万元。具体内容见下表。</w:t>
      </w:r>
      <w:bookmarkStart w:id="3" w:name="_Toc477341519"/>
      <w:bookmarkEnd w:id="2"/>
    </w:p>
    <w:p w:rsidR="00B704E4" w:rsidRDefault="00B704E4">
      <w:pPr>
        <w:spacing w:line="560" w:lineRule="exact"/>
        <w:jc w:val="center"/>
        <w:outlineLvl w:val="0"/>
        <w:rPr>
          <w:rFonts w:ascii="方正小标宋_GBK" w:eastAsia="方正小标宋_GBK" w:cs="Times New Roman"/>
          <w:sz w:val="32"/>
          <w:szCs w:val="32"/>
        </w:rPr>
      </w:pPr>
      <w:r>
        <w:rPr>
          <w:rFonts w:ascii="方正小标宋_GBK" w:eastAsia="方正小标宋_GBK" w:cs="方正小标宋_GBK" w:hint="eastAsia"/>
          <w:sz w:val="32"/>
          <w:szCs w:val="32"/>
        </w:rPr>
        <w:t>部门政府采购预算</w:t>
      </w:r>
      <w:bookmarkEnd w:id="3"/>
    </w:p>
    <w:tbl>
      <w:tblPr>
        <w:tblW w:w="153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435"/>
        <w:gridCol w:w="1176"/>
        <w:gridCol w:w="1088"/>
        <w:gridCol w:w="1327"/>
        <w:gridCol w:w="691"/>
        <w:gridCol w:w="964"/>
        <w:gridCol w:w="986"/>
        <w:gridCol w:w="964"/>
        <w:gridCol w:w="964"/>
        <w:gridCol w:w="964"/>
        <w:gridCol w:w="964"/>
        <w:gridCol w:w="964"/>
        <w:gridCol w:w="964"/>
        <w:gridCol w:w="906"/>
      </w:tblGrid>
      <w:tr w:rsidR="00B704E4" w:rsidRPr="00404A82">
        <w:trPr>
          <w:tblHeader/>
          <w:jc w:val="center"/>
        </w:trPr>
        <w:tc>
          <w:tcPr>
            <w:tcW w:w="8667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704E4" w:rsidRPr="00404A82" w:rsidRDefault="00B704E4" w:rsidP="009825B0">
            <w:pPr>
              <w:spacing w:line="300" w:lineRule="exact"/>
              <w:jc w:val="left"/>
              <w:rPr>
                <w:rFonts w:ascii="方正小标宋_GBK" w:eastAsia="方正小标宋_GBK" w:cs="Times New Roman"/>
                <w:sz w:val="24"/>
                <w:szCs w:val="24"/>
              </w:rPr>
            </w:pPr>
            <w:r w:rsidRPr="00404A82">
              <w:rPr>
                <w:rFonts w:ascii="方正小标宋_GBK" w:cs="方正小标宋_GBK"/>
                <w:sz w:val="24"/>
                <w:szCs w:val="24"/>
              </w:rPr>
              <w:t>332</w:t>
            </w:r>
            <w:r w:rsidRPr="00404A82">
              <w:rPr>
                <w:rFonts w:ascii="方正小标宋_GBK" w:hint="eastAsia"/>
                <w:sz w:val="24"/>
                <w:szCs w:val="24"/>
              </w:rPr>
              <w:t>成安县水利</w:t>
            </w:r>
            <w:r w:rsidRPr="00404A82">
              <w:rPr>
                <w:rFonts w:ascii="方正小标宋_GBK" w:eastAsia="方正小标宋_GBK" w:cs="方正小标宋_GBK" w:hint="eastAsia"/>
                <w:sz w:val="24"/>
                <w:szCs w:val="24"/>
              </w:rPr>
              <w:t>局</w:t>
            </w:r>
          </w:p>
        </w:tc>
        <w:tc>
          <w:tcPr>
            <w:tcW w:w="6690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704E4" w:rsidRPr="00404A82" w:rsidRDefault="00B704E4">
            <w:pPr>
              <w:spacing w:line="300" w:lineRule="exact"/>
              <w:jc w:val="right"/>
              <w:rPr>
                <w:rFonts w:ascii="方正书宋_GBK" w:eastAsia="方正书宋_GBK" w:cs="Times New Roman"/>
                <w:sz w:val="24"/>
                <w:szCs w:val="24"/>
              </w:rPr>
            </w:pPr>
            <w:r w:rsidRPr="00404A82">
              <w:rPr>
                <w:rFonts w:ascii="方正书宋_GBK" w:eastAsia="方正书宋_GBK" w:cs="方正书宋_GBK" w:hint="eastAsia"/>
                <w:sz w:val="24"/>
                <w:szCs w:val="24"/>
              </w:rPr>
              <w:t>单位：万元</w:t>
            </w:r>
          </w:p>
        </w:tc>
      </w:tr>
      <w:tr w:rsidR="00B704E4" w:rsidRPr="00404A82">
        <w:trPr>
          <w:trHeight w:val="685"/>
          <w:tblHeader/>
          <w:jc w:val="center"/>
        </w:trPr>
        <w:tc>
          <w:tcPr>
            <w:tcW w:w="3611" w:type="dxa"/>
            <w:gridSpan w:val="2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政府采购项目来源</w:t>
            </w:r>
          </w:p>
        </w:tc>
        <w:tc>
          <w:tcPr>
            <w:tcW w:w="1088" w:type="dxa"/>
            <w:vMerge w:val="restart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采购物品名称</w:t>
            </w:r>
          </w:p>
        </w:tc>
        <w:tc>
          <w:tcPr>
            <w:tcW w:w="1327" w:type="dxa"/>
            <w:vMerge w:val="restart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政府采购目录序号</w:t>
            </w:r>
          </w:p>
        </w:tc>
        <w:tc>
          <w:tcPr>
            <w:tcW w:w="691" w:type="dxa"/>
            <w:vMerge w:val="restart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  <w:r w:rsidRPr="00404A82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964" w:type="dxa"/>
            <w:vMerge w:val="restart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</w:p>
        </w:tc>
        <w:tc>
          <w:tcPr>
            <w:tcW w:w="986" w:type="dxa"/>
            <w:vMerge w:val="restart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单价</w:t>
            </w:r>
          </w:p>
        </w:tc>
        <w:tc>
          <w:tcPr>
            <w:tcW w:w="6690" w:type="dxa"/>
            <w:gridSpan w:val="7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政府采购金额</w:t>
            </w:r>
          </w:p>
        </w:tc>
      </w:tr>
      <w:tr w:rsidR="00B704E4" w:rsidRPr="00404A82">
        <w:trPr>
          <w:trHeight w:val="1261"/>
          <w:tblHeader/>
          <w:jc w:val="center"/>
        </w:trPr>
        <w:tc>
          <w:tcPr>
            <w:tcW w:w="2435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1176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预算资金</w:t>
            </w:r>
          </w:p>
        </w:tc>
        <w:tc>
          <w:tcPr>
            <w:tcW w:w="1088" w:type="dxa"/>
            <w:vMerge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总计</w:t>
            </w: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一般公共预算拨款</w:t>
            </w: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基金预算拨款</w:t>
            </w: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财政专户核拨</w:t>
            </w: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其他来源收入</w:t>
            </w:r>
          </w:p>
        </w:tc>
        <w:tc>
          <w:tcPr>
            <w:tcW w:w="906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其他渠道资金</w:t>
            </w:r>
          </w:p>
        </w:tc>
      </w:tr>
      <w:tr w:rsidR="00B704E4" w:rsidRPr="00404A82">
        <w:trPr>
          <w:trHeight w:val="589"/>
          <w:jc w:val="center"/>
        </w:trPr>
        <w:tc>
          <w:tcPr>
            <w:tcW w:w="2435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合　计</w:t>
            </w:r>
          </w:p>
        </w:tc>
        <w:tc>
          <w:tcPr>
            <w:tcW w:w="1176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04E4" w:rsidRPr="00404A82">
        <w:trPr>
          <w:trHeight w:val="697"/>
          <w:jc w:val="center"/>
        </w:trPr>
        <w:tc>
          <w:tcPr>
            <w:tcW w:w="2435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704E4" w:rsidRPr="00073F13" w:rsidRDefault="00B704E4" w:rsidP="009825B0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691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704E4" w:rsidRPr="00404A82">
        <w:trPr>
          <w:trHeight w:val="679"/>
          <w:jc w:val="center"/>
        </w:trPr>
        <w:tc>
          <w:tcPr>
            <w:tcW w:w="2435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704E4" w:rsidRPr="00073F13" w:rsidRDefault="00B704E4" w:rsidP="009825B0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691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B704E4" w:rsidRPr="00404A82" w:rsidRDefault="00B704E4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B704E4" w:rsidRDefault="00B704E4" w:rsidP="00CD21AE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七、国有资产信息</w:t>
      </w:r>
    </w:p>
    <w:p w:rsidR="00B704E4" w:rsidRDefault="00B704E4">
      <w:pPr>
        <w:spacing w:line="560" w:lineRule="exact"/>
        <w:ind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成安县水利局上年末固定资产金额为</w:t>
      </w:r>
      <w:r>
        <w:rPr>
          <w:rFonts w:ascii="仿宋_GB2312" w:eastAsia="仿宋_GB2312" w:hAnsi="黑体" w:cs="仿宋_GB2312"/>
          <w:sz w:val="32"/>
          <w:szCs w:val="32"/>
        </w:rPr>
        <w:t>575.34</w:t>
      </w:r>
      <w:r>
        <w:rPr>
          <w:rFonts w:ascii="仿宋_GB2312" w:eastAsia="仿宋_GB2312" w:hAnsi="黑体" w:cs="仿宋_GB2312" w:hint="eastAsia"/>
          <w:sz w:val="32"/>
          <w:szCs w:val="32"/>
        </w:rPr>
        <w:t>万元，本年度拟购置固定资产</w:t>
      </w:r>
      <w:r>
        <w:rPr>
          <w:rFonts w:ascii="仿宋_GB2312" w:eastAsia="仿宋_GB2312" w:hAnsi="黑体" w:cs="仿宋_GB2312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万元，主要为办公家具，已列入政府采购预算。详见下表。</w:t>
      </w:r>
    </w:p>
    <w:p w:rsidR="00B704E4" w:rsidRDefault="00B704E4">
      <w:pPr>
        <w:spacing w:line="560" w:lineRule="exact"/>
        <w:ind w:firstLine="640"/>
        <w:rPr>
          <w:rFonts w:ascii="仿宋_GB2312" w:eastAsia="仿宋_GB2312" w:hAnsi="黑体" w:cs="Times New Roman"/>
          <w:sz w:val="32"/>
          <w:szCs w:val="32"/>
        </w:rPr>
      </w:pPr>
    </w:p>
    <w:tbl>
      <w:tblPr>
        <w:tblW w:w="12971" w:type="dxa"/>
        <w:tblInd w:w="-106" w:type="dxa"/>
        <w:tblLayout w:type="fixed"/>
        <w:tblLook w:val="00A0"/>
      </w:tblPr>
      <w:tblGrid>
        <w:gridCol w:w="5926"/>
        <w:gridCol w:w="1224"/>
        <w:gridCol w:w="5821"/>
      </w:tblGrid>
      <w:tr w:rsidR="00B704E4" w:rsidRPr="00404A82">
        <w:trPr>
          <w:trHeight w:val="705"/>
        </w:trPr>
        <w:tc>
          <w:tcPr>
            <w:tcW w:w="12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4E4" w:rsidRDefault="00B704E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lastRenderedPageBreak/>
              <w:t>部门固定资产占用情况表</w:t>
            </w:r>
          </w:p>
        </w:tc>
      </w:tr>
      <w:tr w:rsidR="00B704E4" w:rsidRPr="00404A82">
        <w:trPr>
          <w:trHeight w:val="510"/>
        </w:trPr>
        <w:tc>
          <w:tcPr>
            <w:tcW w:w="7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4E4" w:rsidRDefault="00B704E4" w:rsidP="006E25E1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编制部门：成安县水利局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4E4" w:rsidRDefault="00B704E4" w:rsidP="00CD21AE">
            <w:pPr>
              <w:widowControl/>
              <w:ind w:firstLineChars="250" w:firstLine="550"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截止时间：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31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</w:p>
        </w:tc>
      </w:tr>
      <w:tr w:rsidR="00B704E4" w:rsidRPr="00404A82">
        <w:trPr>
          <w:trHeight w:val="645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项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价值（金额单位：万元）</w:t>
            </w:r>
          </w:p>
        </w:tc>
      </w:tr>
      <w:tr w:rsidR="00B704E4" w:rsidRPr="00404A82">
        <w:trPr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资产总额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——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575.34</w:t>
            </w:r>
          </w:p>
        </w:tc>
      </w:tr>
      <w:tr w:rsidR="00B704E4" w:rsidRPr="00404A82">
        <w:trPr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、房屋（平方米）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1946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44.49</w:t>
            </w:r>
          </w:p>
        </w:tc>
      </w:tr>
      <w:tr w:rsidR="00B704E4" w:rsidRPr="00404A82">
        <w:trPr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其中：办公用房（平方米）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1786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42.00</w:t>
            </w:r>
          </w:p>
        </w:tc>
      </w:tr>
      <w:tr w:rsidR="00B704E4" w:rsidRPr="00404A82">
        <w:trPr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、车辆（台、辆）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13.94</w:t>
            </w:r>
          </w:p>
        </w:tc>
      </w:tr>
      <w:tr w:rsidR="00B704E4" w:rsidRPr="00404A82">
        <w:trPr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、单价在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50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万元以上的设备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——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</w:p>
        </w:tc>
      </w:tr>
      <w:tr w:rsidR="00B704E4" w:rsidRPr="00404A82">
        <w:trPr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、其他固定资产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 w:rsidP="003038C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——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4" w:rsidRDefault="00B704E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516.91</w:t>
            </w:r>
          </w:p>
        </w:tc>
      </w:tr>
    </w:tbl>
    <w:p w:rsidR="00B704E4" w:rsidRDefault="00B704E4" w:rsidP="00CD21AE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</w:p>
    <w:p w:rsidR="00B704E4" w:rsidRDefault="00B704E4" w:rsidP="00CD21AE">
      <w:pPr>
        <w:autoSpaceDE w:val="0"/>
        <w:autoSpaceDN w:val="0"/>
        <w:adjustRightInd w:val="0"/>
        <w:ind w:firstLineChars="300" w:firstLine="96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八、名词解释</w:t>
      </w:r>
    </w:p>
    <w:p w:rsidR="00B704E4" w:rsidRDefault="00B704E4" w:rsidP="00CD21AE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、一般预算收入：县级财政当年拨付的资金。</w:t>
      </w:r>
    </w:p>
    <w:p w:rsidR="00B704E4" w:rsidRDefault="00B704E4" w:rsidP="00CD21AE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、基本支出：为保障机构正常运转，完成日常工作任务，而发生的人员支出和公用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支出。</w:t>
      </w:r>
    </w:p>
    <w:p w:rsidR="00B704E4" w:rsidRDefault="00B704E4" w:rsidP="00CD21AE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、项目支出：是指在基本支出之外，为完成特定行政任务和事业发展目标，而发生的支出。</w:t>
      </w:r>
    </w:p>
    <w:p w:rsidR="00B704E4" w:rsidRDefault="00B704E4" w:rsidP="00CD21AE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机关运行费：是指为保证行政单位（包括参照公务员管理的事业单位）运行，用于购买货物和服务的各项资金。主要包括：办公费、印刷费，水费、电费、邮电费、福利费、日常维修费、办公取暖费、办公物业服务费、公务车运行维护费等。</w:t>
      </w:r>
    </w:p>
    <w:p w:rsidR="00B704E4" w:rsidRDefault="00B704E4" w:rsidP="00CD21AE">
      <w:pPr>
        <w:tabs>
          <w:tab w:val="left" w:pos="11490"/>
        </w:tabs>
        <w:ind w:firstLineChars="300" w:firstLine="96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九、其它需要说明的事项</w:t>
      </w:r>
    </w:p>
    <w:p w:rsidR="00B704E4" w:rsidRDefault="00B704E4" w:rsidP="00CD21AE">
      <w:pPr>
        <w:tabs>
          <w:tab w:val="left" w:pos="11490"/>
        </w:tabs>
        <w:ind w:firstLineChars="250" w:firstLine="8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无其它需要说明的事项。</w:t>
      </w:r>
    </w:p>
    <w:p w:rsidR="00B704E4" w:rsidRDefault="00B704E4">
      <w:pPr>
        <w:spacing w:line="560" w:lineRule="exact"/>
        <w:ind w:firstLine="645"/>
        <w:rPr>
          <w:rFonts w:ascii="黑体" w:eastAsia="黑体" w:hAnsi="黑体" w:cs="Times New Roman"/>
          <w:sz w:val="32"/>
          <w:szCs w:val="32"/>
        </w:rPr>
      </w:pPr>
    </w:p>
    <w:p w:rsidR="00B704E4" w:rsidRDefault="00B704E4">
      <w:pPr>
        <w:spacing w:line="560" w:lineRule="exact"/>
        <w:ind w:firstLine="645"/>
        <w:rPr>
          <w:rFonts w:ascii="仿宋" w:eastAsia="仿宋" w:hAnsi="仿宋" w:cs="Times New Roman"/>
          <w:sz w:val="32"/>
          <w:szCs w:val="32"/>
        </w:rPr>
      </w:pPr>
    </w:p>
    <w:sectPr w:rsidR="00B704E4" w:rsidSect="00C2770E">
      <w:footerReference w:type="default" r:id="rId7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7E" w:rsidRDefault="007C307E" w:rsidP="00C277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307E" w:rsidRDefault="007C307E" w:rsidP="00C277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E4" w:rsidRPr="006E25E1" w:rsidRDefault="00B24903">
    <w:pPr>
      <w:pStyle w:val="a3"/>
      <w:jc w:val="center"/>
      <w:rPr>
        <w:rFonts w:ascii="仿宋" w:eastAsia="仿宋" w:hAnsi="仿宋" w:cs="Times New Roman"/>
        <w:sz w:val="24"/>
        <w:szCs w:val="24"/>
      </w:rPr>
    </w:pPr>
    <w:r w:rsidRPr="006E25E1">
      <w:rPr>
        <w:rFonts w:ascii="仿宋" w:eastAsia="仿宋" w:hAnsi="仿宋" w:cs="仿宋"/>
        <w:sz w:val="24"/>
        <w:szCs w:val="24"/>
      </w:rPr>
      <w:fldChar w:fldCharType="begin"/>
    </w:r>
    <w:r w:rsidR="00B704E4" w:rsidRPr="006E25E1">
      <w:rPr>
        <w:rFonts w:ascii="仿宋" w:eastAsia="仿宋" w:hAnsi="仿宋" w:cs="仿宋"/>
        <w:sz w:val="24"/>
        <w:szCs w:val="24"/>
      </w:rPr>
      <w:instrText>PAGE   \* MERGEFORMAT</w:instrText>
    </w:r>
    <w:r w:rsidRPr="006E25E1">
      <w:rPr>
        <w:rFonts w:ascii="仿宋" w:eastAsia="仿宋" w:hAnsi="仿宋" w:cs="仿宋"/>
        <w:sz w:val="24"/>
        <w:szCs w:val="24"/>
      </w:rPr>
      <w:fldChar w:fldCharType="separate"/>
    </w:r>
    <w:r w:rsidR="00EB43C9" w:rsidRPr="00EB43C9">
      <w:rPr>
        <w:rFonts w:ascii="仿宋" w:eastAsia="仿宋" w:hAnsi="仿宋" w:cs="仿宋"/>
        <w:noProof/>
        <w:sz w:val="24"/>
        <w:szCs w:val="24"/>
        <w:lang w:val="zh-CN"/>
      </w:rPr>
      <w:t>12</w:t>
    </w:r>
    <w:r w:rsidRPr="006E25E1">
      <w:rPr>
        <w:rFonts w:ascii="仿宋" w:eastAsia="仿宋" w:hAnsi="仿宋" w:cs="仿宋"/>
        <w:sz w:val="24"/>
        <w:szCs w:val="24"/>
      </w:rPr>
      <w:fldChar w:fldCharType="end"/>
    </w:r>
  </w:p>
  <w:p w:rsidR="00B704E4" w:rsidRDefault="00B704E4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7E" w:rsidRDefault="007C307E" w:rsidP="00C277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307E" w:rsidRDefault="007C307E" w:rsidP="00C277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E4" w:rsidRDefault="00B704E4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AAA"/>
    <w:rsid w:val="00041CBC"/>
    <w:rsid w:val="00044B90"/>
    <w:rsid w:val="0004578F"/>
    <w:rsid w:val="00057AC8"/>
    <w:rsid w:val="000624C7"/>
    <w:rsid w:val="00073F13"/>
    <w:rsid w:val="00080A5A"/>
    <w:rsid w:val="000A796E"/>
    <w:rsid w:val="000C04A2"/>
    <w:rsid w:val="000D5AEA"/>
    <w:rsid w:val="000D7584"/>
    <w:rsid w:val="00101C7A"/>
    <w:rsid w:val="00124D36"/>
    <w:rsid w:val="0012792D"/>
    <w:rsid w:val="00131928"/>
    <w:rsid w:val="00134AD5"/>
    <w:rsid w:val="001402F0"/>
    <w:rsid w:val="0014320C"/>
    <w:rsid w:val="0014419A"/>
    <w:rsid w:val="001A3CB4"/>
    <w:rsid w:val="001E0232"/>
    <w:rsid w:val="00206B22"/>
    <w:rsid w:val="0021183F"/>
    <w:rsid w:val="00223610"/>
    <w:rsid w:val="0023395E"/>
    <w:rsid w:val="0025412C"/>
    <w:rsid w:val="00270593"/>
    <w:rsid w:val="00273AF9"/>
    <w:rsid w:val="002A5134"/>
    <w:rsid w:val="002B0964"/>
    <w:rsid w:val="002C0317"/>
    <w:rsid w:val="002D046F"/>
    <w:rsid w:val="002D05B8"/>
    <w:rsid w:val="002D340F"/>
    <w:rsid w:val="002F7AC9"/>
    <w:rsid w:val="003038CE"/>
    <w:rsid w:val="003069ED"/>
    <w:rsid w:val="0033146B"/>
    <w:rsid w:val="00371523"/>
    <w:rsid w:val="0037750D"/>
    <w:rsid w:val="003779A4"/>
    <w:rsid w:val="003C3F10"/>
    <w:rsid w:val="003C4C5D"/>
    <w:rsid w:val="003D22B1"/>
    <w:rsid w:val="003D2A1F"/>
    <w:rsid w:val="003E5451"/>
    <w:rsid w:val="003F5EDA"/>
    <w:rsid w:val="0040161D"/>
    <w:rsid w:val="00404A82"/>
    <w:rsid w:val="004108B7"/>
    <w:rsid w:val="00432089"/>
    <w:rsid w:val="00452A55"/>
    <w:rsid w:val="00453A06"/>
    <w:rsid w:val="00480474"/>
    <w:rsid w:val="00485AED"/>
    <w:rsid w:val="004868E4"/>
    <w:rsid w:val="00490249"/>
    <w:rsid w:val="00490E9A"/>
    <w:rsid w:val="00497BE6"/>
    <w:rsid w:val="004A02DE"/>
    <w:rsid w:val="004A6983"/>
    <w:rsid w:val="004C6CE1"/>
    <w:rsid w:val="00505C51"/>
    <w:rsid w:val="00524AAA"/>
    <w:rsid w:val="005412A2"/>
    <w:rsid w:val="00554472"/>
    <w:rsid w:val="00565ABB"/>
    <w:rsid w:val="005725CE"/>
    <w:rsid w:val="005838CA"/>
    <w:rsid w:val="00593619"/>
    <w:rsid w:val="0059726E"/>
    <w:rsid w:val="005A1846"/>
    <w:rsid w:val="005B3BB6"/>
    <w:rsid w:val="005F4345"/>
    <w:rsid w:val="005F738E"/>
    <w:rsid w:val="00615C9A"/>
    <w:rsid w:val="006262C4"/>
    <w:rsid w:val="00626438"/>
    <w:rsid w:val="00636876"/>
    <w:rsid w:val="0064269C"/>
    <w:rsid w:val="006463EC"/>
    <w:rsid w:val="006615F1"/>
    <w:rsid w:val="00663C2C"/>
    <w:rsid w:val="00676C43"/>
    <w:rsid w:val="0069518A"/>
    <w:rsid w:val="006979A7"/>
    <w:rsid w:val="006A4E08"/>
    <w:rsid w:val="006C34E8"/>
    <w:rsid w:val="006C5971"/>
    <w:rsid w:val="006E25E1"/>
    <w:rsid w:val="006E3F29"/>
    <w:rsid w:val="00747D9E"/>
    <w:rsid w:val="00762CF4"/>
    <w:rsid w:val="007723F9"/>
    <w:rsid w:val="007775CB"/>
    <w:rsid w:val="00792045"/>
    <w:rsid w:val="007C098C"/>
    <w:rsid w:val="007C307E"/>
    <w:rsid w:val="007C484E"/>
    <w:rsid w:val="007D18BA"/>
    <w:rsid w:val="007E001B"/>
    <w:rsid w:val="007F0D2E"/>
    <w:rsid w:val="007F0F56"/>
    <w:rsid w:val="00825F97"/>
    <w:rsid w:val="00830186"/>
    <w:rsid w:val="008327A0"/>
    <w:rsid w:val="00844338"/>
    <w:rsid w:val="00866339"/>
    <w:rsid w:val="0086688D"/>
    <w:rsid w:val="008734A1"/>
    <w:rsid w:val="00876E19"/>
    <w:rsid w:val="00896B3D"/>
    <w:rsid w:val="008A5E8C"/>
    <w:rsid w:val="008B1C76"/>
    <w:rsid w:val="008B2E78"/>
    <w:rsid w:val="008C2867"/>
    <w:rsid w:val="009108F1"/>
    <w:rsid w:val="009113FA"/>
    <w:rsid w:val="00933068"/>
    <w:rsid w:val="009536E5"/>
    <w:rsid w:val="00956B59"/>
    <w:rsid w:val="00965CD0"/>
    <w:rsid w:val="00970548"/>
    <w:rsid w:val="009825B0"/>
    <w:rsid w:val="00990CB9"/>
    <w:rsid w:val="009C264C"/>
    <w:rsid w:val="009D200B"/>
    <w:rsid w:val="009D222A"/>
    <w:rsid w:val="009D275F"/>
    <w:rsid w:val="009E7F94"/>
    <w:rsid w:val="009F0612"/>
    <w:rsid w:val="00A12AE7"/>
    <w:rsid w:val="00A15ADE"/>
    <w:rsid w:val="00A16538"/>
    <w:rsid w:val="00A302AC"/>
    <w:rsid w:val="00A36FC1"/>
    <w:rsid w:val="00A443E6"/>
    <w:rsid w:val="00A5174C"/>
    <w:rsid w:val="00A65644"/>
    <w:rsid w:val="00A72762"/>
    <w:rsid w:val="00A95F51"/>
    <w:rsid w:val="00AA23AC"/>
    <w:rsid w:val="00AC03E9"/>
    <w:rsid w:val="00AC6968"/>
    <w:rsid w:val="00AD7AB5"/>
    <w:rsid w:val="00B13EFE"/>
    <w:rsid w:val="00B24903"/>
    <w:rsid w:val="00B36C7B"/>
    <w:rsid w:val="00B43C9F"/>
    <w:rsid w:val="00B47857"/>
    <w:rsid w:val="00B50088"/>
    <w:rsid w:val="00B500A4"/>
    <w:rsid w:val="00B67BB5"/>
    <w:rsid w:val="00B704E4"/>
    <w:rsid w:val="00B75EC1"/>
    <w:rsid w:val="00B80C4A"/>
    <w:rsid w:val="00B9188E"/>
    <w:rsid w:val="00BA37E2"/>
    <w:rsid w:val="00BA4DC7"/>
    <w:rsid w:val="00BA6B82"/>
    <w:rsid w:val="00BA6EEF"/>
    <w:rsid w:val="00BD168A"/>
    <w:rsid w:val="00BD7F5C"/>
    <w:rsid w:val="00BF6801"/>
    <w:rsid w:val="00C2191D"/>
    <w:rsid w:val="00C2770E"/>
    <w:rsid w:val="00C4259A"/>
    <w:rsid w:val="00C43E48"/>
    <w:rsid w:val="00C53CF6"/>
    <w:rsid w:val="00C547CB"/>
    <w:rsid w:val="00C612A7"/>
    <w:rsid w:val="00C73787"/>
    <w:rsid w:val="00C80575"/>
    <w:rsid w:val="00C80BD2"/>
    <w:rsid w:val="00CD21AE"/>
    <w:rsid w:val="00CE2464"/>
    <w:rsid w:val="00CF1C16"/>
    <w:rsid w:val="00D02321"/>
    <w:rsid w:val="00D04994"/>
    <w:rsid w:val="00D27A25"/>
    <w:rsid w:val="00D312BA"/>
    <w:rsid w:val="00D409C0"/>
    <w:rsid w:val="00D53009"/>
    <w:rsid w:val="00D73351"/>
    <w:rsid w:val="00D92F55"/>
    <w:rsid w:val="00DA1103"/>
    <w:rsid w:val="00DA716B"/>
    <w:rsid w:val="00DC71C8"/>
    <w:rsid w:val="00DE10E7"/>
    <w:rsid w:val="00E06810"/>
    <w:rsid w:val="00E20E09"/>
    <w:rsid w:val="00E24B37"/>
    <w:rsid w:val="00E43FD0"/>
    <w:rsid w:val="00E46DF2"/>
    <w:rsid w:val="00E87B0C"/>
    <w:rsid w:val="00E93AB3"/>
    <w:rsid w:val="00EB43C9"/>
    <w:rsid w:val="00EC6EBD"/>
    <w:rsid w:val="00ED7902"/>
    <w:rsid w:val="00EF7D12"/>
    <w:rsid w:val="00F019CE"/>
    <w:rsid w:val="00F12708"/>
    <w:rsid w:val="00F14752"/>
    <w:rsid w:val="00F51A57"/>
    <w:rsid w:val="00F63202"/>
    <w:rsid w:val="00FE199B"/>
    <w:rsid w:val="3D0969D0"/>
    <w:rsid w:val="4038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0E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2770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2770E"/>
    <w:rPr>
      <w:sz w:val="18"/>
      <w:szCs w:val="18"/>
    </w:rPr>
  </w:style>
  <w:style w:type="paragraph" w:styleId="a4">
    <w:name w:val="header"/>
    <w:basedOn w:val="a"/>
    <w:link w:val="Char0"/>
    <w:uiPriority w:val="99"/>
    <w:rsid w:val="00C27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2770E"/>
    <w:rPr>
      <w:sz w:val="18"/>
      <w:szCs w:val="18"/>
    </w:rPr>
  </w:style>
  <w:style w:type="paragraph" w:customStyle="1" w:styleId="1">
    <w:name w:val="列出段落1"/>
    <w:basedOn w:val="a"/>
    <w:uiPriority w:val="99"/>
    <w:rsid w:val="00C2770E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rsid w:val="002D34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D340F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AA23AC"/>
    <w:pPr>
      <w:ind w:firstLineChars="200" w:firstLine="420"/>
    </w:pPr>
    <w:rPr>
      <w:rFonts w:ascii="Calibri" w:eastAsia="宋体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801</Words>
  <Characters>4570</Characters>
  <Application>Microsoft Office Word</Application>
  <DocSecurity>0</DocSecurity>
  <Lines>38</Lines>
  <Paragraphs>10</Paragraphs>
  <ScaleCrop>false</ScaleCrop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旭东</dc:creator>
  <cp:keywords/>
  <dc:description/>
  <cp:lastModifiedBy>Administrator</cp:lastModifiedBy>
  <cp:revision>130</cp:revision>
  <cp:lastPrinted>2017-03-28T03:35:00Z</cp:lastPrinted>
  <dcterms:created xsi:type="dcterms:W3CDTF">2017-06-24T03:13:00Z</dcterms:created>
  <dcterms:modified xsi:type="dcterms:W3CDTF">2024-01-29T08:37:00Z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