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仿宋_GB2312" w:asciiTheme="majorEastAsia" w:hAnsiTheme="majorEastAsia" w:eastAsiaTheme="majorEastAsia"/>
          <w:b/>
          <w:sz w:val="44"/>
          <w:szCs w:val="44"/>
          <w:lang w:eastAsia="zh-CN"/>
        </w:rPr>
      </w:pPr>
      <w:r>
        <w:rPr>
          <w:rFonts w:hint="eastAsia" w:ascii="方正小标宋_GBK" w:eastAsia="方正小标宋_GBK"/>
          <w:sz w:val="52"/>
          <w:lang w:val="en-US" w:eastAsia="zh-CN"/>
        </w:rPr>
        <w:t xml:space="preserve">  </w:t>
      </w:r>
    </w:p>
    <w:p>
      <w:pPr>
        <w:widowControl/>
        <w:jc w:val="center"/>
        <w:rPr>
          <w:rFonts w:hint="eastAsia"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成安县安全生产监督管理局</w:t>
      </w:r>
    </w:p>
    <w:p>
      <w:pPr>
        <w:widowControl/>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201</w:t>
      </w:r>
      <w:r>
        <w:rPr>
          <w:rFonts w:hint="eastAsia" w:cs="仿宋_GB2312" w:asciiTheme="majorEastAsia" w:hAnsiTheme="majorEastAsia" w:eastAsiaTheme="majorEastAsia"/>
          <w:b/>
          <w:sz w:val="44"/>
          <w:szCs w:val="44"/>
          <w:lang w:val="en-US" w:eastAsia="zh-CN"/>
        </w:rPr>
        <w:t>8</w:t>
      </w:r>
      <w:r>
        <w:rPr>
          <w:rFonts w:hint="eastAsia" w:cs="仿宋_GB2312" w:asciiTheme="majorEastAsia" w:hAnsiTheme="majorEastAsia" w:eastAsiaTheme="majorEastAsia"/>
          <w:b/>
          <w:sz w:val="44"/>
          <w:szCs w:val="44"/>
        </w:rPr>
        <w:t>年部门预算公开情况说明</w:t>
      </w:r>
    </w:p>
    <w:p>
      <w:pPr>
        <w:widowControl/>
        <w:ind w:firstLine="640" w:firstLineChars="200"/>
        <w:jc w:val="left"/>
        <w:rPr>
          <w:rFonts w:hint="eastAsia" w:ascii="仿宋_GB2312" w:hAnsi="Calibri" w:eastAsia="仿宋_GB2312" w:cs="仿宋_GB2312"/>
          <w:sz w:val="32"/>
          <w:szCs w:val="32"/>
        </w:rPr>
      </w:pPr>
    </w:p>
    <w:p>
      <w:pPr>
        <w:widowControl/>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sz w:val="32"/>
          <w:szCs w:val="32"/>
        </w:rPr>
        <w:t>按照</w:t>
      </w:r>
      <w:bookmarkStart w:id="3" w:name="_GoBack"/>
      <w:bookmarkEnd w:id="3"/>
      <w:r>
        <w:rPr>
          <w:rFonts w:hint="eastAsia" w:ascii="仿宋_GB2312" w:hAnsi="Calibri" w:eastAsia="仿宋_GB2312" w:cs="仿宋_GB2312"/>
          <w:sz w:val="32"/>
          <w:szCs w:val="32"/>
          <w:lang w:eastAsia="zh-CN"/>
        </w:rPr>
        <w:t>《中华人民共和国预算法》</w:t>
      </w:r>
      <w:r>
        <w:rPr>
          <w:rFonts w:hint="eastAsia" w:ascii="仿宋_GB2312" w:hAnsi="Calibri" w:eastAsia="仿宋_GB2312" w:cs="仿宋_GB2312"/>
          <w:sz w:val="32"/>
          <w:szCs w:val="32"/>
        </w:rPr>
        <w:t>有关规定和</w:t>
      </w:r>
      <w:r>
        <w:rPr>
          <w:rFonts w:hint="eastAsia" w:ascii="仿宋_GB2312" w:hAnsi="宋体" w:eastAsia="仿宋_GB2312" w:cs="楷体_GB2312"/>
          <w:sz w:val="32"/>
          <w:szCs w:val="32"/>
        </w:rPr>
        <w:t>财政部关于印发《地方预决算公开操作规程》的通知，</w:t>
      </w:r>
      <w:r>
        <w:rPr>
          <w:rFonts w:hint="eastAsia" w:ascii="仿宋_GB2312" w:hAnsi="Calibri" w:eastAsia="仿宋_GB2312" w:cs="仿宋_GB2312"/>
          <w:kern w:val="0"/>
          <w:sz w:val="32"/>
          <w:szCs w:val="32"/>
        </w:rPr>
        <w:t>现将安监局201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年部门预算公开如下：</w:t>
      </w:r>
    </w:p>
    <w:p>
      <w:pPr>
        <w:pStyle w:val="13"/>
        <w:widowControl/>
        <w:spacing w:line="360" w:lineRule="auto"/>
        <w:ind w:firstLine="0"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 xml:space="preserve">   一、部门职责及机构设置情况</w:t>
      </w:r>
    </w:p>
    <w:p>
      <w:pPr>
        <w:widowControl/>
        <w:spacing w:line="360" w:lineRule="auto"/>
        <w:ind w:firstLine="63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部门职责：</w:t>
      </w:r>
    </w:p>
    <w:p>
      <w:pPr>
        <w:widowControl/>
        <w:spacing w:line="360" w:lineRule="auto"/>
        <w:ind w:firstLine="63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（一）综合管理全县安全生产工作；</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（二）分析和预测全县安全生产形式；</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（三）拟定全县安全生产工作规划，依法形式安全生产监察管理职权；</w:t>
      </w:r>
    </w:p>
    <w:p>
      <w:pPr>
        <w:widowControl/>
        <w:spacing w:line="360" w:lineRule="auto"/>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（四）指导、协调和监督有关部门承担的专项安全监察、监督工作。</w:t>
      </w:r>
    </w:p>
    <w:p>
      <w:pPr>
        <w:widowControl/>
        <w:spacing w:line="360" w:lineRule="auto"/>
        <w:ind w:firstLine="800" w:firstLineChars="250"/>
        <w:jc w:val="left"/>
        <w:rPr>
          <w:rFonts w:ascii="华文楷体" w:hAnsi="华文楷体" w:eastAsia="华文楷体" w:cs="Calibri"/>
          <w:b/>
          <w:kern w:val="0"/>
          <w:sz w:val="32"/>
          <w:szCs w:val="32"/>
        </w:rPr>
      </w:pPr>
      <w:r>
        <w:rPr>
          <w:rFonts w:ascii="华文楷体" w:hAnsi="华文楷体" w:eastAsia="华文楷体" w:cs="Calibri"/>
          <w:b/>
          <w:kern w:val="0"/>
          <w:sz w:val="32"/>
          <w:szCs w:val="32"/>
        </w:rPr>
        <w:t>机构</w:t>
      </w:r>
      <w:r>
        <w:rPr>
          <w:rFonts w:hint="eastAsia" w:ascii="华文楷体" w:hAnsi="华文楷体" w:eastAsia="华文楷体" w:cs="Calibri"/>
          <w:b/>
          <w:kern w:val="0"/>
          <w:sz w:val="32"/>
          <w:szCs w:val="32"/>
        </w:rPr>
        <w:t>设置：</w:t>
      </w:r>
    </w:p>
    <w:p>
      <w:pPr>
        <w:widowControl/>
        <w:spacing w:line="360" w:lineRule="auto"/>
        <w:ind w:firstLine="800" w:firstLineChars="250"/>
        <w:jc w:val="center"/>
        <w:rPr>
          <w:rFonts w:ascii="Calibri" w:hAnsi="Calibri" w:eastAsia="仿宋_GB2312" w:cs="Calibri"/>
          <w:b/>
          <w:kern w:val="0"/>
          <w:sz w:val="32"/>
          <w:szCs w:val="32"/>
        </w:rPr>
      </w:pPr>
      <w:r>
        <w:rPr>
          <w:rFonts w:hint="eastAsia" w:ascii="Calibri" w:hAnsi="Calibri" w:eastAsia="仿宋_GB2312" w:cs="Calibri"/>
          <w:b/>
          <w:kern w:val="0"/>
          <w:sz w:val="32"/>
          <w:szCs w:val="32"/>
        </w:rPr>
        <w:t>部门机构设置情况</w:t>
      </w:r>
    </w:p>
    <w:tbl>
      <w:tblPr>
        <w:tblStyle w:val="8"/>
        <w:tblW w:w="101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1859"/>
        <w:gridCol w:w="1701"/>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54"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单位名称</w:t>
            </w:r>
          </w:p>
        </w:tc>
        <w:tc>
          <w:tcPr>
            <w:tcW w:w="1859"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单位性质</w:t>
            </w:r>
          </w:p>
        </w:tc>
        <w:tc>
          <w:tcPr>
            <w:tcW w:w="1701"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单位规格</w:t>
            </w:r>
          </w:p>
        </w:tc>
        <w:tc>
          <w:tcPr>
            <w:tcW w:w="2618" w:type="dxa"/>
          </w:tcPr>
          <w:p>
            <w:pPr>
              <w:widowControl/>
              <w:spacing w:line="360" w:lineRule="auto"/>
              <w:jc w:val="center"/>
              <w:rPr>
                <w:rFonts w:ascii="Calibri" w:hAnsi="Calibri" w:eastAsia="仿宋_GB2312" w:cs="Calibri"/>
                <w:b/>
                <w:kern w:val="0"/>
                <w:sz w:val="32"/>
                <w:szCs w:val="32"/>
              </w:rPr>
            </w:pPr>
            <w:r>
              <w:rPr>
                <w:rFonts w:hint="eastAsia" w:ascii="Calibri" w:hAnsi="Calibri" w:eastAsia="仿宋_GB2312" w:cs="Calibri"/>
                <w:b/>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954" w:type="dxa"/>
          </w:tcPr>
          <w:p>
            <w:pPr>
              <w:widowControl/>
              <w:spacing w:line="360" w:lineRule="auto"/>
              <w:jc w:val="center"/>
              <w:rPr>
                <w:rFonts w:ascii="Calibri" w:hAnsi="Calibri" w:eastAsia="仿宋_GB2312" w:cs="Calibri"/>
                <w:b/>
                <w:kern w:val="0"/>
                <w:sz w:val="28"/>
                <w:szCs w:val="28"/>
              </w:rPr>
            </w:pPr>
            <w:r>
              <w:rPr>
                <w:rFonts w:hint="eastAsia" w:ascii="仿宋" w:hAnsi="仿宋" w:eastAsia="仿宋" w:cs="仿宋"/>
                <w:bCs/>
                <w:kern w:val="0"/>
                <w:sz w:val="28"/>
                <w:szCs w:val="28"/>
              </w:rPr>
              <w:t>成安县安全生产监督管理局</w:t>
            </w:r>
          </w:p>
        </w:tc>
        <w:tc>
          <w:tcPr>
            <w:tcW w:w="1859"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直属事业</w:t>
            </w:r>
          </w:p>
        </w:tc>
        <w:tc>
          <w:tcPr>
            <w:tcW w:w="1701"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正科级</w:t>
            </w:r>
          </w:p>
        </w:tc>
        <w:tc>
          <w:tcPr>
            <w:tcW w:w="2618" w:type="dxa"/>
          </w:tcPr>
          <w:p>
            <w:pPr>
              <w:widowControl/>
              <w:spacing w:line="360" w:lineRule="auto"/>
              <w:jc w:val="center"/>
              <w:rPr>
                <w:rFonts w:ascii="Calibri" w:hAnsi="Calibri" w:eastAsia="仿宋_GB2312" w:cs="Calibri"/>
                <w:b/>
                <w:kern w:val="0"/>
                <w:sz w:val="28"/>
                <w:szCs w:val="28"/>
              </w:rPr>
            </w:pPr>
            <w:r>
              <w:rPr>
                <w:rFonts w:hint="eastAsia" w:ascii="Calibri" w:hAnsi="Calibri" w:eastAsia="仿宋_GB2312" w:cs="Calibri"/>
                <w:b/>
                <w:kern w:val="0"/>
                <w:sz w:val="28"/>
                <w:szCs w:val="28"/>
              </w:rPr>
              <w:t>财政拨款</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成安县安全生产监督管理局，预算编码是343002，内设2个内部机构，2个分局，6个安监站。</w:t>
      </w:r>
    </w:p>
    <w:p>
      <w:pPr>
        <w:widowControl/>
        <w:numPr>
          <w:ilvl w:val="0"/>
          <w:numId w:val="1"/>
        </w:numPr>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 xml:space="preserve">     主要负责：协调机关日常工作</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2、综合科室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主要负责：监督检查工矿商贸企业贯彻只想安全生产法律、法规情况，分析和预测全县安全生产形式等。</w:t>
      </w:r>
    </w:p>
    <w:p>
      <w:pPr>
        <w:widowControl/>
        <w:numPr>
          <w:ilvl w:val="0"/>
          <w:numId w:val="2"/>
        </w:numPr>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两个分局（经济开发区安全生产监督管理分局和商城工业区安全生产监督管理分局）</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主要职责：宣传贯彻国家安全生产法律、法规、规章、行业标准及安全生产方针政策，负责辖区内安全生产委员会的日常事务。</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4、6个安监站</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主要负责：宣传贯彻国家安全生产法律、法规、规章、行业标准及安全生产方针政策，负责辖区内安全生产委员会的日常事务。</w:t>
      </w:r>
    </w:p>
    <w:p>
      <w:pPr>
        <w:widowControl/>
        <w:spacing w:line="360" w:lineRule="auto"/>
        <w:ind w:firstLine="800" w:firstLineChars="250"/>
        <w:jc w:val="left"/>
        <w:rPr>
          <w:rFonts w:ascii="华文楷体" w:hAnsi="华文楷体" w:eastAsia="华文楷体" w:cs="Calibri"/>
          <w:b/>
          <w:kern w:val="0"/>
          <w:sz w:val="32"/>
          <w:szCs w:val="32"/>
        </w:rPr>
      </w:pPr>
      <w:r>
        <w:rPr>
          <w:rFonts w:hint="eastAsia" w:ascii="华文楷体" w:hAnsi="华文楷体" w:eastAsia="华文楷体" w:cs="Calibri"/>
          <w:b/>
          <w:kern w:val="0"/>
          <w:sz w:val="32"/>
          <w:szCs w:val="32"/>
        </w:rPr>
        <w:t>人员编制和领导职数：</w:t>
      </w:r>
    </w:p>
    <w:p>
      <w:pPr>
        <w:widowControl/>
        <w:spacing w:line="360" w:lineRule="auto"/>
        <w:jc w:val="left"/>
        <w:rPr>
          <w:rFonts w:ascii="仿宋" w:hAnsi="仿宋" w:eastAsia="仿宋" w:cs="仿宋"/>
          <w:bCs/>
          <w:kern w:val="0"/>
          <w:sz w:val="32"/>
          <w:szCs w:val="32"/>
        </w:rPr>
      </w:pPr>
      <w:r>
        <w:rPr>
          <w:rFonts w:hint="eastAsia" w:ascii="Calibri" w:hAnsi="Calibri" w:eastAsia="仿宋_GB2312" w:cs="Calibri"/>
          <w:b/>
          <w:kern w:val="0"/>
          <w:sz w:val="32"/>
          <w:szCs w:val="32"/>
        </w:rPr>
        <w:t xml:space="preserve">     </w:t>
      </w:r>
      <w:r>
        <w:rPr>
          <w:rFonts w:hint="eastAsia" w:ascii="仿宋" w:hAnsi="仿宋" w:eastAsia="仿宋" w:cs="仿宋"/>
          <w:bCs/>
          <w:kern w:val="0"/>
          <w:sz w:val="32"/>
          <w:szCs w:val="32"/>
        </w:rPr>
        <w:t>成安县安全生产监督管理局，人员编制72名，其中领导职数9个。</w:t>
      </w:r>
    </w:p>
    <w:p>
      <w:pPr>
        <w:widowControl/>
        <w:spacing w:line="360" w:lineRule="auto"/>
        <w:ind w:firstLine="977"/>
        <w:jc w:val="left"/>
        <w:rPr>
          <w:rFonts w:ascii="黑体" w:hAnsi="黑体" w:eastAsia="黑体" w:cs="仿宋_GB2312"/>
          <w:bCs/>
          <w:kern w:val="0"/>
          <w:sz w:val="32"/>
          <w:szCs w:val="32"/>
        </w:rPr>
      </w:pPr>
      <w:r>
        <w:rPr>
          <w:rFonts w:hint="eastAsia" w:ascii="黑体" w:hAnsi="黑体" w:eastAsia="黑体" w:cs="仿宋_GB2312"/>
          <w:bCs/>
          <w:kern w:val="0"/>
          <w:sz w:val="32"/>
          <w:szCs w:val="32"/>
        </w:rPr>
        <w:t>二、部门预算安排的总体情况。</w:t>
      </w:r>
    </w:p>
    <w:p>
      <w:pPr>
        <w:ind w:firstLine="977"/>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按照预算管理有关规定，目前我部门预算的编制实行综合预算制度，即全部收入和支出都反映在预算中。</w:t>
      </w:r>
    </w:p>
    <w:p>
      <w:pPr>
        <w:ind w:firstLine="977"/>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1.收入说明</w:t>
      </w:r>
    </w:p>
    <w:p>
      <w:pPr>
        <w:widowControl/>
        <w:spacing w:line="360" w:lineRule="auto"/>
        <w:ind w:firstLine="947" w:firstLineChars="2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年部门收入预算总额为</w:t>
      </w:r>
      <w:r>
        <w:rPr>
          <w:rFonts w:hint="eastAsia" w:ascii="仿宋_GB2312" w:hAnsi="Calibri" w:eastAsia="仿宋_GB2312" w:cs="仿宋_GB2312"/>
          <w:kern w:val="0"/>
          <w:sz w:val="32"/>
          <w:szCs w:val="32"/>
          <w:lang w:val="en-US" w:eastAsia="zh-CN"/>
        </w:rPr>
        <w:t>235.04</w:t>
      </w:r>
      <w:r>
        <w:rPr>
          <w:rFonts w:hint="eastAsia" w:ascii="仿宋_GB2312" w:hAnsi="Calibri" w:eastAsia="仿宋_GB2312" w:cs="仿宋_GB2312"/>
          <w:kern w:val="0"/>
          <w:sz w:val="32"/>
          <w:szCs w:val="32"/>
        </w:rPr>
        <w:t xml:space="preserve">万元，其中一般公共预算收 </w:t>
      </w:r>
      <w:r>
        <w:rPr>
          <w:rFonts w:hint="eastAsia" w:ascii="仿宋_GB2312" w:hAnsi="Calibri" w:eastAsia="仿宋_GB2312" w:cs="仿宋_GB2312"/>
          <w:kern w:val="0"/>
          <w:sz w:val="32"/>
          <w:szCs w:val="32"/>
          <w:lang w:val="en-US" w:eastAsia="zh-CN"/>
        </w:rPr>
        <w:t>235.04</w:t>
      </w:r>
      <w:r>
        <w:rPr>
          <w:rFonts w:hint="eastAsia" w:ascii="仿宋_GB2312" w:hAnsi="Calibri" w:eastAsia="仿宋_GB2312" w:cs="仿宋_GB2312"/>
          <w:kern w:val="0"/>
          <w:sz w:val="32"/>
          <w:szCs w:val="32"/>
        </w:rPr>
        <w:t xml:space="preserve"> 万元，政府性基金收入 </w:t>
      </w:r>
      <w:r>
        <w:rPr>
          <w:rFonts w:hint="eastAsia" w:ascii="仿宋_GB2312" w:hAnsi="Calibri" w:eastAsia="仿宋_GB2312" w:cs="仿宋_GB2312"/>
          <w:kern w:val="0"/>
          <w:sz w:val="32"/>
          <w:szCs w:val="32"/>
          <w:lang w:val="en-US" w:eastAsia="zh-CN"/>
        </w:rPr>
        <w:t>235.04</w:t>
      </w:r>
      <w:r>
        <w:rPr>
          <w:rFonts w:hint="eastAsia" w:ascii="仿宋_GB2312" w:hAnsi="Calibri" w:eastAsia="仿宋_GB2312" w:cs="仿宋_GB2312"/>
          <w:kern w:val="0"/>
          <w:sz w:val="32"/>
          <w:szCs w:val="32"/>
        </w:rPr>
        <w:t>万元，国有资本经营收入0万元，事业收入0万元。</w:t>
      </w:r>
    </w:p>
    <w:p>
      <w:pPr>
        <w:widowControl/>
        <w:spacing w:line="360" w:lineRule="auto"/>
        <w:ind w:firstLine="947" w:firstLineChars="296"/>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2、支出说明</w:t>
      </w:r>
    </w:p>
    <w:p>
      <w:pPr>
        <w:widowControl/>
        <w:spacing w:line="360" w:lineRule="auto"/>
        <w:ind w:firstLine="947" w:firstLineChars="2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部门支出预算总额为</w:t>
      </w:r>
      <w:r>
        <w:rPr>
          <w:rFonts w:hint="eastAsia" w:ascii="仿宋_GB2312" w:hAnsi="Calibri" w:eastAsia="仿宋_GB2312" w:cs="仿宋_GB2312"/>
          <w:kern w:val="0"/>
          <w:sz w:val="32"/>
          <w:szCs w:val="32"/>
          <w:lang w:val="en-US" w:eastAsia="zh-CN"/>
        </w:rPr>
        <w:t>235.04</w:t>
      </w:r>
      <w:r>
        <w:rPr>
          <w:rFonts w:hint="eastAsia" w:ascii="仿宋_GB2312" w:hAnsi="Calibri" w:eastAsia="仿宋_GB2312" w:cs="仿宋_GB2312"/>
          <w:kern w:val="0"/>
          <w:sz w:val="32"/>
          <w:szCs w:val="32"/>
        </w:rPr>
        <w:t>万元（其中人员经费</w:t>
      </w:r>
      <w:r>
        <w:rPr>
          <w:rFonts w:hint="eastAsia" w:ascii="仿宋_GB2312" w:hAnsi="Calibri" w:eastAsia="仿宋_GB2312" w:cs="仿宋_GB2312"/>
          <w:kern w:val="0"/>
          <w:sz w:val="32"/>
          <w:szCs w:val="32"/>
          <w:lang w:val="en-US" w:eastAsia="zh-CN"/>
        </w:rPr>
        <w:t>224.83万</w:t>
      </w:r>
      <w:r>
        <w:rPr>
          <w:rFonts w:hint="eastAsia" w:ascii="仿宋_GB2312" w:hAnsi="Calibri" w:eastAsia="仿宋_GB2312" w:cs="仿宋_GB2312"/>
          <w:kern w:val="0"/>
          <w:sz w:val="32"/>
          <w:szCs w:val="32"/>
        </w:rPr>
        <w:t>元，经费</w:t>
      </w:r>
      <w:r>
        <w:rPr>
          <w:rFonts w:hint="eastAsia" w:ascii="仿宋_GB2312" w:hAnsi="Calibri" w:eastAsia="仿宋_GB2312" w:cs="仿宋_GB2312"/>
          <w:kern w:val="0"/>
          <w:sz w:val="32"/>
          <w:szCs w:val="32"/>
          <w:lang w:val="en-US" w:eastAsia="zh-CN"/>
        </w:rPr>
        <w:t>10.21万</w:t>
      </w:r>
      <w:r>
        <w:rPr>
          <w:rFonts w:hint="eastAsia" w:ascii="仿宋_GB2312" w:hAnsi="Calibri" w:eastAsia="仿宋_GB2312" w:cs="仿宋_GB2312"/>
          <w:kern w:val="0"/>
          <w:sz w:val="32"/>
          <w:szCs w:val="32"/>
        </w:rPr>
        <w:t>元）。201</w:t>
      </w:r>
      <w:r>
        <w:rPr>
          <w:rFonts w:hint="eastAsia" w:ascii="仿宋_GB2312" w:hAnsi="Calibri" w:eastAsia="仿宋_GB2312" w:cs="仿宋_GB2312"/>
          <w:kern w:val="0"/>
          <w:sz w:val="32"/>
          <w:szCs w:val="32"/>
          <w:lang w:val="en-US" w:eastAsia="zh-CN"/>
        </w:rPr>
        <w:t>8</w:t>
      </w:r>
      <w:r>
        <w:rPr>
          <w:rFonts w:ascii="仿宋_GB2312" w:hAnsi="Calibri" w:eastAsia="仿宋_GB2312" w:cs="仿宋_GB2312"/>
          <w:kern w:val="0"/>
          <w:sz w:val="32"/>
          <w:szCs w:val="32"/>
        </w:rPr>
        <w:t>年</w:t>
      </w:r>
      <w:r>
        <w:rPr>
          <w:rFonts w:hint="eastAsia" w:ascii="仿宋_GB2312" w:hAnsi="Calibri" w:eastAsia="仿宋_GB2312" w:cs="仿宋_GB2312"/>
          <w:kern w:val="0"/>
          <w:sz w:val="32"/>
          <w:szCs w:val="32"/>
        </w:rPr>
        <w:t>成安县安监局</w:t>
      </w:r>
      <w:r>
        <w:rPr>
          <w:rFonts w:ascii="仿宋_GB2312" w:hAnsi="Calibri" w:eastAsia="仿宋_GB2312" w:cs="仿宋_GB2312"/>
          <w:kern w:val="0"/>
          <w:sz w:val="32"/>
          <w:szCs w:val="32"/>
        </w:rPr>
        <w:t>财政拨款收入</w:t>
      </w:r>
      <w:r>
        <w:rPr>
          <w:rFonts w:hint="eastAsia" w:ascii="仿宋_GB2312" w:hAnsi="Calibri" w:eastAsia="仿宋_GB2312" w:cs="仿宋_GB2312"/>
          <w:kern w:val="0"/>
          <w:sz w:val="32"/>
          <w:szCs w:val="32"/>
          <w:lang w:val="en-US" w:eastAsia="zh-CN"/>
        </w:rPr>
        <w:t>235.04</w:t>
      </w:r>
      <w:r>
        <w:rPr>
          <w:rFonts w:ascii="仿宋_GB2312" w:hAnsi="Calibri" w:eastAsia="仿宋_GB2312" w:cs="仿宋_GB2312"/>
          <w:kern w:val="0"/>
          <w:sz w:val="32"/>
          <w:szCs w:val="32"/>
        </w:rPr>
        <w:t>万元，总支出</w:t>
      </w:r>
      <w:r>
        <w:rPr>
          <w:rFonts w:hint="eastAsia" w:ascii="仿宋_GB2312" w:hAnsi="Calibri" w:eastAsia="仿宋_GB2312" w:cs="仿宋_GB2312"/>
          <w:kern w:val="0"/>
          <w:sz w:val="32"/>
          <w:szCs w:val="32"/>
          <w:lang w:val="en-US" w:eastAsia="zh-CN"/>
        </w:rPr>
        <w:t>235.04</w:t>
      </w:r>
      <w:r>
        <w:rPr>
          <w:rFonts w:ascii="仿宋_GB2312" w:hAnsi="Calibri" w:eastAsia="仿宋_GB2312" w:cs="仿宋_GB2312"/>
          <w:kern w:val="0"/>
          <w:sz w:val="32"/>
          <w:szCs w:val="32"/>
        </w:rPr>
        <w:t>万元。</w:t>
      </w:r>
    </w:p>
    <w:p>
      <w:pPr>
        <w:widowControl/>
        <w:spacing w:line="360" w:lineRule="auto"/>
        <w:ind w:firstLine="640" w:firstLineChars="200"/>
        <w:jc w:val="left"/>
        <w:rPr>
          <w:rFonts w:ascii="华文楷体" w:hAnsi="华文楷体" w:eastAsia="华文楷体" w:cs="仿宋_GB2312"/>
          <w:b/>
          <w:kern w:val="0"/>
          <w:sz w:val="32"/>
          <w:szCs w:val="32"/>
        </w:rPr>
      </w:pPr>
      <w:r>
        <w:rPr>
          <w:rFonts w:hint="eastAsia" w:ascii="华文楷体" w:hAnsi="华文楷体" w:eastAsia="华文楷体" w:cs="仿宋_GB2312"/>
          <w:b/>
          <w:kern w:val="0"/>
          <w:sz w:val="32"/>
          <w:szCs w:val="32"/>
        </w:rPr>
        <w:t>3、比去年增减变化情况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年部门收入预算总额为</w:t>
      </w:r>
      <w:r>
        <w:rPr>
          <w:rFonts w:hint="eastAsia" w:ascii="仿宋_GB2312" w:hAnsi="Calibri" w:eastAsia="仿宋_GB2312" w:cs="仿宋_GB2312"/>
          <w:kern w:val="0"/>
          <w:sz w:val="32"/>
          <w:szCs w:val="32"/>
          <w:lang w:val="en-US" w:eastAsia="zh-CN"/>
        </w:rPr>
        <w:t>235.04</w:t>
      </w:r>
      <w:r>
        <w:rPr>
          <w:rFonts w:hint="eastAsia" w:ascii="仿宋_GB2312" w:hAnsi="Calibri" w:eastAsia="仿宋_GB2312" w:cs="仿宋_GB2312"/>
          <w:kern w:val="0"/>
          <w:sz w:val="32"/>
          <w:szCs w:val="32"/>
        </w:rPr>
        <w:t>万元，与去年相比增加了</w:t>
      </w:r>
      <w:r>
        <w:rPr>
          <w:rFonts w:hint="eastAsia" w:ascii="仿宋_GB2312" w:hAnsi="Calibri" w:eastAsia="仿宋_GB2312" w:cs="仿宋_GB2312"/>
          <w:kern w:val="0"/>
          <w:sz w:val="32"/>
          <w:szCs w:val="32"/>
          <w:lang w:val="en-US" w:eastAsia="zh-CN"/>
        </w:rPr>
        <w:t>64.56</w:t>
      </w:r>
      <w:r>
        <w:rPr>
          <w:rFonts w:hint="eastAsia" w:ascii="仿宋_GB2312" w:hAnsi="Calibri" w:eastAsia="仿宋_GB2312" w:cs="仿宋_GB2312"/>
          <w:kern w:val="0"/>
          <w:sz w:val="32"/>
          <w:szCs w:val="32"/>
        </w:rPr>
        <w:t>万元，主要原因增加了经费</w:t>
      </w:r>
      <w:r>
        <w:rPr>
          <w:rFonts w:hint="eastAsia" w:ascii="仿宋_GB2312" w:hAnsi="Calibri" w:eastAsia="仿宋_GB2312" w:cs="仿宋_GB2312"/>
          <w:kern w:val="0"/>
          <w:sz w:val="32"/>
          <w:szCs w:val="32"/>
          <w:lang w:val="en-US" w:eastAsia="zh-CN"/>
        </w:rPr>
        <w:t>64.56</w:t>
      </w:r>
      <w:r>
        <w:rPr>
          <w:rFonts w:hint="eastAsia" w:ascii="仿宋_GB2312" w:hAnsi="Calibri" w:eastAsia="仿宋_GB2312" w:cs="仿宋_GB2312"/>
          <w:kern w:val="0"/>
          <w:sz w:val="32"/>
          <w:szCs w:val="32"/>
        </w:rPr>
        <w:t>万元。</w:t>
      </w:r>
    </w:p>
    <w:p>
      <w:pPr>
        <w:widowControl/>
        <w:spacing w:line="360" w:lineRule="auto"/>
        <w:jc w:val="left"/>
        <w:rPr>
          <w:rFonts w:ascii="黑体" w:hAnsi="黑体" w:eastAsia="黑体" w:cs="仿宋_GB2312"/>
          <w:bCs/>
          <w:kern w:val="0"/>
          <w:sz w:val="32"/>
          <w:szCs w:val="32"/>
        </w:rPr>
      </w:pPr>
      <w:r>
        <w:rPr>
          <w:rFonts w:hint="eastAsia" w:ascii="黑体" w:hAnsi="黑体" w:eastAsia="黑体" w:cs="仿宋_GB2312"/>
          <w:bCs/>
          <w:kern w:val="0"/>
          <w:sz w:val="32"/>
          <w:szCs w:val="32"/>
        </w:rPr>
        <w:t>　　三、机关运行经费安排情况</w:t>
      </w:r>
    </w:p>
    <w:p>
      <w:pPr>
        <w:widowControl/>
        <w:spacing w:line="360" w:lineRule="auto"/>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　　日常公用经费安排</w:t>
      </w:r>
      <w:r>
        <w:rPr>
          <w:rFonts w:hint="eastAsia" w:ascii="仿宋_GB2312" w:hAnsi="Calibri" w:eastAsia="仿宋_GB2312" w:cs="仿宋_GB2312"/>
          <w:kern w:val="0"/>
          <w:sz w:val="32"/>
          <w:szCs w:val="32"/>
          <w:lang w:val="en-US" w:eastAsia="zh-CN"/>
        </w:rPr>
        <w:t>10.21</w:t>
      </w:r>
      <w:r>
        <w:rPr>
          <w:rFonts w:hint="eastAsia" w:ascii="仿宋_GB2312" w:hAnsi="Calibri" w:eastAsia="仿宋_GB2312" w:cs="仿宋_GB2312"/>
          <w:kern w:val="0"/>
          <w:sz w:val="32"/>
          <w:szCs w:val="32"/>
        </w:rPr>
        <w:t>万元，包括：办公费、差旅费、水费、电费、会议费、招待费、转移支付，其他支出等。</w:t>
      </w:r>
      <w:r>
        <w:rPr>
          <w:rFonts w:ascii="Calibri" w:hAnsi="Calibri" w:eastAsia="仿宋_GB2312" w:cs="Calibri"/>
          <w:kern w:val="0"/>
          <w:sz w:val="32"/>
          <w:szCs w:val="32"/>
        </w:rPr>
        <w:t>人员经费支出</w:t>
      </w:r>
      <w:r>
        <w:rPr>
          <w:rFonts w:hint="eastAsia" w:ascii="Calibri" w:hAnsi="Calibri" w:eastAsia="仿宋_GB2312" w:cs="Calibri"/>
          <w:kern w:val="0"/>
          <w:sz w:val="32"/>
          <w:szCs w:val="32"/>
          <w:lang w:val="en-US" w:eastAsia="zh-CN"/>
        </w:rPr>
        <w:t>224.83</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r>
        <w:rPr>
          <w:rFonts w:ascii="Calibri" w:hAnsi="Calibri" w:eastAsia="仿宋_GB2312" w:cs="Calibri"/>
          <w:kern w:val="0"/>
          <w:sz w:val="32"/>
          <w:szCs w:val="32"/>
        </w:rPr>
        <w:t>同比去年增长</w:t>
      </w:r>
      <w:r>
        <w:rPr>
          <w:rFonts w:hint="eastAsia" w:ascii="Calibri" w:hAnsi="Calibri" w:eastAsia="仿宋_GB2312" w:cs="Calibri"/>
          <w:kern w:val="0"/>
          <w:sz w:val="32"/>
          <w:szCs w:val="32"/>
        </w:rPr>
        <w:t>15</w:t>
      </w:r>
      <w:r>
        <w:rPr>
          <w:rFonts w:ascii="Calibri" w:hAnsi="Calibri" w:eastAsia="仿宋_GB2312" w:cs="Calibri"/>
          <w:kern w:val="0"/>
          <w:sz w:val="32"/>
          <w:szCs w:val="32"/>
        </w:rPr>
        <w:t>%。增长原因是201</w:t>
      </w:r>
      <w:r>
        <w:rPr>
          <w:rFonts w:hint="eastAsia" w:ascii="Calibri" w:hAnsi="Calibri" w:eastAsia="仿宋_GB2312" w:cs="Calibri"/>
          <w:kern w:val="0"/>
          <w:sz w:val="32"/>
          <w:szCs w:val="32"/>
          <w:lang w:val="en-US" w:eastAsia="zh-CN"/>
        </w:rPr>
        <w:t>8</w:t>
      </w:r>
      <w:r>
        <w:rPr>
          <w:rFonts w:ascii="Calibri" w:hAnsi="Calibri" w:eastAsia="仿宋_GB2312" w:cs="Calibri"/>
          <w:kern w:val="0"/>
          <w:sz w:val="32"/>
          <w:szCs w:val="32"/>
        </w:rPr>
        <w:t>年机关事业单位统一调高了工资标准。其中，工资福利支出</w:t>
      </w:r>
      <w:r>
        <w:rPr>
          <w:rFonts w:hint="eastAsia" w:ascii="Calibri" w:hAnsi="Calibri" w:eastAsia="仿宋_GB2312" w:cs="Calibri"/>
          <w:kern w:val="0"/>
          <w:sz w:val="32"/>
          <w:szCs w:val="32"/>
          <w:lang w:val="en-US" w:eastAsia="zh-CN"/>
        </w:rPr>
        <w:t>206.33</w:t>
      </w:r>
      <w:r>
        <w:rPr>
          <w:rFonts w:ascii="Calibri" w:hAnsi="Calibri" w:eastAsia="仿宋_GB2312" w:cs="Calibri"/>
          <w:kern w:val="0"/>
          <w:sz w:val="32"/>
          <w:szCs w:val="32"/>
        </w:rPr>
        <w:t>万元，对个人和家庭的补助支出</w:t>
      </w:r>
      <w:r>
        <w:rPr>
          <w:rFonts w:hint="eastAsia" w:ascii="Calibri" w:hAnsi="Calibri" w:eastAsia="仿宋_GB2312" w:cs="Calibri"/>
          <w:kern w:val="0"/>
          <w:sz w:val="32"/>
          <w:szCs w:val="32"/>
          <w:lang w:val="en-US" w:eastAsia="zh-CN"/>
        </w:rPr>
        <w:t>18.5</w:t>
      </w:r>
      <w:r>
        <w:rPr>
          <w:rFonts w:ascii="Calibri" w:hAnsi="Calibri" w:eastAsia="仿宋_GB2312" w:cs="Calibri"/>
          <w:kern w:val="0"/>
          <w:sz w:val="32"/>
          <w:szCs w:val="32"/>
        </w:rPr>
        <w:t>万元。</w:t>
      </w:r>
    </w:p>
    <w:p>
      <w:pPr>
        <w:pStyle w:val="12"/>
        <w:widowControl/>
        <w:numPr>
          <w:ilvl w:val="0"/>
          <w:numId w:val="3"/>
        </w:numPr>
        <w:spacing w:line="360" w:lineRule="auto"/>
        <w:ind w:firstLineChars="0"/>
        <w:jc w:val="left"/>
        <w:rPr>
          <w:rFonts w:ascii="黑体" w:hAnsi="黑体" w:eastAsia="黑体" w:cs="仿宋_GB2312"/>
          <w:kern w:val="0"/>
          <w:sz w:val="32"/>
          <w:szCs w:val="32"/>
        </w:rPr>
      </w:pPr>
      <w:r>
        <w:rPr>
          <w:rFonts w:hint="eastAsia" w:ascii="黑体" w:hAnsi="黑体" w:eastAsia="黑体" w:cs="仿宋_GB2312"/>
          <w:kern w:val="0"/>
          <w:sz w:val="32"/>
          <w:szCs w:val="32"/>
        </w:rPr>
        <w:t>财政拨款“三公”经费预算情况及增减变化原因</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xml:space="preserve">   2017年度“三公”预算支出20.5万元，其中，因公出国（境）费0元，安排公务用车维护费</w:t>
      </w:r>
      <w:r>
        <w:rPr>
          <w:rFonts w:hint="eastAsia" w:ascii="仿宋_GB2312" w:hAnsi="Calibri" w:eastAsia="仿宋_GB2312" w:cs="仿宋_GB2312"/>
          <w:kern w:val="0"/>
          <w:sz w:val="32"/>
          <w:szCs w:val="32"/>
          <w:lang w:val="en-US" w:eastAsia="zh-CN"/>
        </w:rPr>
        <w:t>1.5</w:t>
      </w:r>
      <w:r>
        <w:rPr>
          <w:rFonts w:hint="eastAsia" w:ascii="仿宋_GB2312" w:hAnsi="Calibri" w:eastAsia="仿宋_GB2312" w:cs="仿宋_GB2312"/>
          <w:kern w:val="0"/>
          <w:sz w:val="32"/>
          <w:szCs w:val="32"/>
        </w:rPr>
        <w:t>元，（其中公务用车购置费0元，公务用车运行维护费</w:t>
      </w:r>
      <w:r>
        <w:rPr>
          <w:rFonts w:hint="eastAsia" w:ascii="仿宋_GB2312" w:hAnsi="Calibri" w:eastAsia="仿宋_GB2312" w:cs="仿宋_GB2312"/>
          <w:kern w:val="0"/>
          <w:sz w:val="32"/>
          <w:szCs w:val="32"/>
          <w:lang w:val="en-US" w:eastAsia="zh-CN"/>
        </w:rPr>
        <w:t>1.5</w:t>
      </w:r>
      <w:r>
        <w:rPr>
          <w:rFonts w:hint="eastAsia" w:ascii="仿宋_GB2312" w:hAnsi="Calibri" w:eastAsia="仿宋_GB2312" w:cs="仿宋_GB2312"/>
          <w:kern w:val="0"/>
          <w:sz w:val="32"/>
          <w:szCs w:val="32"/>
        </w:rPr>
        <w:t>万元），公务接等费0.5万元，201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年“三公”经费预算减少了</w:t>
      </w:r>
      <w:r>
        <w:rPr>
          <w:rFonts w:hint="eastAsia" w:ascii="仿宋_GB2312" w:hAnsi="Calibri" w:eastAsia="仿宋_GB2312" w:cs="仿宋_GB2312"/>
          <w:kern w:val="0"/>
          <w:sz w:val="32"/>
          <w:szCs w:val="32"/>
          <w:lang w:val="en-US" w:eastAsia="zh-CN"/>
        </w:rPr>
        <w:t>20</w:t>
      </w:r>
      <w:r>
        <w:rPr>
          <w:rFonts w:hint="eastAsia" w:ascii="仿宋_GB2312" w:hAnsi="Calibri" w:eastAsia="仿宋_GB2312" w:cs="仿宋_GB2312"/>
          <w:kern w:val="0"/>
          <w:sz w:val="32"/>
          <w:szCs w:val="32"/>
        </w:rPr>
        <w:t>%。由于201</w:t>
      </w:r>
      <w:r>
        <w:rPr>
          <w:rFonts w:hint="eastAsia" w:ascii="仿宋_GB2312" w:hAnsi="Calibri" w:eastAsia="仿宋_GB2312" w:cs="仿宋_GB2312"/>
          <w:kern w:val="0"/>
          <w:sz w:val="32"/>
          <w:szCs w:val="32"/>
          <w:lang w:val="en-US" w:eastAsia="zh-CN"/>
        </w:rPr>
        <w:t>6</w:t>
      </w:r>
      <w:r>
        <w:rPr>
          <w:rFonts w:hint="eastAsia" w:ascii="仿宋_GB2312" w:hAnsi="Calibri" w:eastAsia="仿宋_GB2312" w:cs="仿宋_GB2312"/>
          <w:kern w:val="0"/>
          <w:sz w:val="32"/>
          <w:szCs w:val="32"/>
        </w:rPr>
        <w:t>年公车拍卖，201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年实行车补，油修费用预算</w:t>
      </w:r>
      <w:r>
        <w:rPr>
          <w:rFonts w:hint="eastAsia" w:ascii="仿宋_GB2312" w:hAnsi="Calibri" w:eastAsia="仿宋_GB2312" w:cs="仿宋_GB2312"/>
          <w:kern w:val="0"/>
          <w:sz w:val="32"/>
          <w:szCs w:val="32"/>
          <w:lang w:eastAsia="zh-CN"/>
        </w:rPr>
        <w:t>安排</w:t>
      </w:r>
      <w:r>
        <w:rPr>
          <w:rFonts w:hint="eastAsia" w:ascii="仿宋_GB2312" w:hAnsi="Calibri" w:eastAsia="仿宋_GB2312" w:cs="仿宋_GB2312"/>
          <w:kern w:val="0"/>
          <w:sz w:val="32"/>
          <w:szCs w:val="32"/>
        </w:rPr>
        <w:t>减少。</w:t>
      </w:r>
    </w:p>
    <w:p>
      <w:pPr>
        <w:pStyle w:val="13"/>
        <w:widowControl/>
        <w:numPr>
          <w:ilvl w:val="0"/>
          <w:numId w:val="3"/>
        </w:numPr>
        <w:spacing w:line="360" w:lineRule="auto"/>
        <w:ind w:firstLineChars="0"/>
        <w:jc w:val="left"/>
        <w:rPr>
          <w:rFonts w:ascii="黑体" w:hAnsi="黑体" w:eastAsia="黑体" w:cs="Calibri"/>
          <w:kern w:val="0"/>
          <w:sz w:val="32"/>
          <w:szCs w:val="32"/>
        </w:rPr>
      </w:pPr>
      <w:r>
        <w:rPr>
          <w:rFonts w:hint="eastAsia" w:ascii="黑体" w:hAnsi="黑体" w:eastAsia="黑体" w:cs="Calibri"/>
          <w:kern w:val="0"/>
          <w:sz w:val="32"/>
          <w:szCs w:val="32"/>
        </w:rPr>
        <w:t>绩效预算情况</w:t>
      </w:r>
    </w:p>
    <w:p>
      <w:pPr>
        <w:widowControl/>
        <w:spacing w:line="360" w:lineRule="auto"/>
        <w:ind w:left="420" w:leftChars="200" w:firstLine="480" w:firstLineChars="150"/>
        <w:jc w:val="left"/>
        <w:rPr>
          <w:rFonts w:ascii="仿宋_GB2312" w:hAnsi="Calibri" w:eastAsia="仿宋_GB2312" w:cs="仿宋_GB2312"/>
          <w:kern w:val="0"/>
          <w:sz w:val="32"/>
          <w:szCs w:val="32"/>
        </w:rPr>
      </w:pPr>
      <w:r>
        <w:rPr>
          <w:rFonts w:hint="eastAsia" w:ascii="Calibri" w:hAnsi="Calibri" w:eastAsia="仿宋_GB2312" w:cs="Calibri"/>
          <w:b/>
          <w:kern w:val="0"/>
          <w:sz w:val="32"/>
          <w:szCs w:val="32"/>
        </w:rPr>
        <w:t>总体绩效目标：</w:t>
      </w:r>
      <w:r>
        <w:rPr>
          <w:rFonts w:hint="eastAsia" w:ascii="仿宋_GB2312" w:hAnsi="Calibri" w:eastAsia="仿宋_GB2312" w:cs="仿宋_GB2312"/>
          <w:kern w:val="0"/>
          <w:sz w:val="32"/>
          <w:szCs w:val="32"/>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p>
      <w:pPr>
        <w:widowControl/>
        <w:spacing w:line="360" w:lineRule="auto"/>
        <w:jc w:val="left"/>
        <w:rPr>
          <w:rFonts w:ascii="Calibri" w:hAnsi="Calibri" w:eastAsia="仿宋_GB2312" w:cs="Calibri"/>
          <w:b/>
          <w:kern w:val="0"/>
          <w:sz w:val="32"/>
          <w:szCs w:val="32"/>
        </w:rPr>
      </w:pPr>
    </w:p>
    <w:p>
      <w:pPr>
        <w:widowControl/>
        <w:spacing w:line="360" w:lineRule="auto"/>
        <w:jc w:val="left"/>
        <w:rPr>
          <w:rFonts w:ascii="Calibri" w:hAnsi="Calibri" w:eastAsia="仿宋_GB2312" w:cs="Calibri"/>
          <w:b/>
          <w:kern w:val="0"/>
          <w:sz w:val="32"/>
          <w:szCs w:val="32"/>
        </w:rPr>
      </w:pPr>
    </w:p>
    <w:p>
      <w:pPr>
        <w:widowControl/>
        <w:spacing w:line="360" w:lineRule="auto"/>
        <w:jc w:val="left"/>
        <w:rPr>
          <w:rFonts w:ascii="Calibri" w:hAnsi="Calibri" w:eastAsia="仿宋_GB2312" w:cs="Calibri"/>
          <w:b/>
          <w:kern w:val="0"/>
          <w:sz w:val="32"/>
          <w:szCs w:val="32"/>
        </w:rPr>
        <w:sectPr>
          <w:pgSz w:w="11907" w:h="16839"/>
          <w:pgMar w:top="1020" w:right="1134" w:bottom="1020" w:left="1134" w:header="851" w:footer="992" w:gutter="0"/>
          <w:cols w:space="425" w:num="1"/>
          <w:docGrid w:type="linesAndChars" w:linePitch="312" w:charSpace="0"/>
        </w:sectPr>
      </w:pPr>
    </w:p>
    <w:p>
      <w:pPr>
        <w:jc w:val="center"/>
        <w:outlineLvl w:val="0"/>
        <w:rPr>
          <w:rFonts w:ascii="方正小标宋_GBK" w:eastAsia="方正小标宋_GBK"/>
          <w:sz w:val="32"/>
        </w:rPr>
      </w:pPr>
      <w:bookmarkStart w:id="0" w:name="_Toc482003504"/>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343</w:t>
            </w:r>
            <w:r>
              <w:rPr>
                <w:rFonts w:hint="eastAsia" w:ascii="方正小标宋_GBK" w:eastAsia="方正小标宋_GBK"/>
                <w:sz w:val="24"/>
              </w:rPr>
              <w:t>成安县安全生产监督管理局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组织全县安全生产综合监督管理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定期组织在全县开展安全生产督导检查活动，对重点行业和作业场所职业卫生安全生产加强行政执法监察，依法对违法行为实施行政处罚；不断加强安全生产监管能力建设，改善执法检测、监察检查等能力。</w:t>
            </w:r>
          </w:p>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w:t>
            </w:r>
          </w:p>
          <w:p>
            <w:pPr>
              <w:spacing w:line="300" w:lineRule="exact"/>
              <w:jc w:val="left"/>
              <w:rPr>
                <w:rFonts w:ascii="方正书宋_GBK" w:eastAsia="方正书宋_GBK"/>
              </w:rPr>
            </w:pPr>
            <w:r>
              <w:rPr>
                <w:rFonts w:hint="eastAsia" w:ascii="方正书宋_GBK" w:eastAsia="方正书宋_GBK"/>
              </w:rPr>
              <w:t>承担工矿商贸作业场所（煤矿作业场所除外）职业卫生监督检查责任，依法颁发和管理职业卫生安全许可证，组织调查处理职业危害事故和违法违规行为；完成国家和省、市确定的水泥、石材加工行业以及重点行业的专项治理，组织查处用人单位职业病危害事故。</w:t>
            </w:r>
          </w:p>
          <w:p>
            <w:pPr>
              <w:spacing w:line="300" w:lineRule="exact"/>
              <w:jc w:val="left"/>
              <w:rPr>
                <w:rFonts w:ascii="方正书宋_GBK" w:eastAsia="方正书宋_GBK"/>
              </w:rPr>
            </w:pPr>
            <w:r>
              <w:rPr>
                <w:rFonts w:hint="eastAsia" w:ascii="方正书宋_GBK" w:eastAsia="方正书宋_GBK"/>
              </w:rPr>
              <w:t>组织制订全县各行业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加强安全生产执法监察检查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全县开展安全生产督导检查活动，对重点行业和作业场所职业卫生安全生产进行督导检查，加强行政执法监察，依法对违法行为实施行政处罚；不断加强安全生产监管能力建设，改善执法检测、监察检查等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通过督导检查全县安全生产，最大限度地发现、纠正、督促企业消除各类隐患，预防和减少事故的发生，确保全县安全生产形势持续稳定好转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构建和完善安全生产监管体系</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县级隐患排查治理信息系统平台；加强全县安全生产技术服务机构及注册安全工程师管理；组织开展安全生产事故专项调查；审核提出安全生产举报奖励意见；开展安全生产宣传教育活动，定期向社会公布安全生产重大事项情况；组织全县安全生产目标管理及考核工作；促进企业全面落实安全生产诚信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基本建成全县安全生产隐患排查治理体系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诚信等级评定覆盖率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信息平台功能实现率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目标考核次数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76</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安全生产标准化达标率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专项抽查覆盖率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59</w:t>
            </w:r>
          </w:p>
        </w:tc>
      </w:tr>
    </w:tbl>
    <w:p>
      <w:pPr>
        <w:spacing w:line="300" w:lineRule="exact"/>
        <w:jc w:val="left"/>
        <w:outlineLvl w:val="0"/>
        <w:sectPr>
          <w:pgSz w:w="16839" w:h="11907" w:orient="landscape"/>
          <w:pgMar w:top="1020" w:right="1361" w:bottom="1020" w:left="1361" w:header="851" w:footer="992" w:gutter="0"/>
          <w:cols w:space="425" w:num="1"/>
          <w:docGrid w:type="linesAndChars" w:linePitch="312" w:charSpace="0"/>
        </w:sectPr>
      </w:pPr>
    </w:p>
    <w:p>
      <w:pPr>
        <w:widowControl/>
        <w:snapToGrid w:val="0"/>
        <w:spacing w:line="560" w:lineRule="exact"/>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napToGrid w:val="0"/>
        <w:spacing w:line="560" w:lineRule="exact"/>
        <w:jc w:val="left"/>
        <w:rPr>
          <w:rFonts w:ascii="仿宋_GB2312" w:hAnsi="Calibri" w:eastAsia="仿宋_GB2312" w:cs="仿宋_GB2312"/>
          <w:kern w:val="0"/>
          <w:sz w:val="32"/>
          <w:szCs w:val="32"/>
        </w:rPr>
      </w:pPr>
      <w:r>
        <w:rPr>
          <w:rFonts w:hint="eastAsia" w:ascii="Calibri" w:hAnsi="Calibri" w:eastAsia="仿宋_GB2312" w:cs="Calibri"/>
          <w:b/>
          <w:kern w:val="0"/>
          <w:sz w:val="32"/>
          <w:szCs w:val="32"/>
        </w:rPr>
        <w:t xml:space="preserve">   </w:t>
      </w: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微软雅黑" w:hAnsi="微软雅黑" w:eastAsia="微软雅黑" w:cs="微软雅黑"/>
          <w:kern w:val="0"/>
          <w:sz w:val="24"/>
          <w:szCs w:val="24"/>
        </w:rPr>
        <w:t xml:space="preserve"> </w:t>
      </w:r>
      <w:r>
        <w:rPr>
          <w:rFonts w:ascii="仿宋_GB2312" w:hAnsi="微软雅黑" w:eastAsia="仿宋_GB2312" w:cs="仿宋_GB2312"/>
          <w:kern w:val="0"/>
          <w:sz w:val="32"/>
          <w:szCs w:val="32"/>
        </w:rPr>
        <w:t>按照政府采购相关法律法规要求，结合我局实际，201</w:t>
      </w:r>
      <w:r>
        <w:rPr>
          <w:rFonts w:hint="eastAsia" w:ascii="仿宋_GB2312" w:hAnsi="微软雅黑" w:eastAsia="仿宋_GB2312" w:cs="仿宋_GB2312"/>
          <w:kern w:val="0"/>
          <w:sz w:val="32"/>
          <w:szCs w:val="32"/>
          <w:lang w:val="en-US" w:eastAsia="zh-CN"/>
        </w:rPr>
        <w:t>8</w:t>
      </w:r>
      <w:r>
        <w:rPr>
          <w:rFonts w:ascii="仿宋_GB2312" w:hAnsi="微软雅黑" w:eastAsia="仿宋_GB2312" w:cs="仿宋_GB2312"/>
          <w:kern w:val="0"/>
          <w:sz w:val="32"/>
          <w:szCs w:val="32"/>
        </w:rPr>
        <w:t>年我局政府采购事项为</w:t>
      </w:r>
      <w:r>
        <w:rPr>
          <w:rFonts w:hint="eastAsia" w:ascii="仿宋_GB2312" w:hAnsi="微软雅黑" w:eastAsia="仿宋_GB2312" w:cs="仿宋_GB2312"/>
          <w:kern w:val="0"/>
          <w:sz w:val="32"/>
          <w:szCs w:val="32"/>
        </w:rPr>
        <w:t>10万元。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，其中：打印机10台，每台2000元，合计：2万元；电脑6台，每台3500，合计：2.1万元；办公桌椅20套，每套950元，合计：1.9万元。其他4万元，其中：文件柜40个，每个1000元，合计：4万元。具体内容见下表。</w:t>
      </w:r>
    </w:p>
    <w:p>
      <w:pPr>
        <w:jc w:val="center"/>
        <w:outlineLvl w:val="0"/>
        <w:rPr>
          <w:rFonts w:ascii="方正小标宋_GBK" w:eastAsia="方正小标宋_GBK"/>
          <w:sz w:val="32"/>
        </w:rPr>
      </w:pPr>
      <w:bookmarkStart w:id="1" w:name="_Toc477338848"/>
      <w:bookmarkStart w:id="2" w:name="_Toc471398468"/>
      <w:r>
        <w:rPr>
          <w:rFonts w:hint="eastAsia" w:ascii="方正小标宋_GBK" w:eastAsia="方正小标宋_GBK"/>
          <w:sz w:val="32"/>
        </w:rPr>
        <w:t>部门政府采购预算</w:t>
      </w:r>
      <w:bookmarkEnd w:id="1"/>
    </w:p>
    <w:tbl>
      <w:tblPr>
        <w:tblStyle w:val="7"/>
        <w:tblW w:w="127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709"/>
        <w:gridCol w:w="1276"/>
        <w:gridCol w:w="1275"/>
        <w:gridCol w:w="567"/>
        <w:gridCol w:w="709"/>
        <w:gridCol w:w="992"/>
        <w:gridCol w:w="993"/>
        <w:gridCol w:w="850"/>
        <w:gridCol w:w="992"/>
        <w:gridCol w:w="709"/>
        <w:gridCol w:w="683"/>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82"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w:t>
            </w:r>
            <w:r>
              <w:rPr>
                <w:rFonts w:hint="eastAsia" w:ascii="方正小标宋_GBK" w:eastAsia="方正小标宋_GBK"/>
                <w:sz w:val="24"/>
              </w:rPr>
              <w:t>43成安县安全生产监督管理局</w:t>
            </w:r>
          </w:p>
        </w:tc>
        <w:tc>
          <w:tcPr>
            <w:tcW w:w="5645"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63"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75"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645"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4"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943"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54"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1275"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09"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993" w:type="dxa"/>
            <w:vMerge w:val="continue"/>
            <w:vAlign w:val="center"/>
          </w:tcPr>
          <w:p>
            <w:pPr>
              <w:spacing w:line="300" w:lineRule="exact"/>
              <w:jc w:val="left"/>
              <w:outlineLvl w:val="0"/>
            </w:pPr>
          </w:p>
        </w:tc>
        <w:tc>
          <w:tcPr>
            <w:tcW w:w="850"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683"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70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center"/>
              <w:rPr>
                <w:rFonts w:ascii="方正书宋_GBK" w:eastAsia="方正书宋_GBK"/>
                <w:b/>
              </w:rPr>
            </w:pPr>
          </w:p>
        </w:tc>
        <w:tc>
          <w:tcPr>
            <w:tcW w:w="709"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1276" w:type="dxa"/>
            <w:vAlign w:val="center"/>
          </w:tcPr>
          <w:p>
            <w:pPr>
              <w:spacing w:line="300" w:lineRule="exact"/>
              <w:jc w:val="left"/>
              <w:rPr>
                <w:rFonts w:ascii="方正书宋_GBK" w:eastAsia="方正书宋_GBK"/>
                <w:b/>
              </w:rPr>
            </w:pPr>
          </w:p>
        </w:tc>
        <w:tc>
          <w:tcPr>
            <w:tcW w:w="1275" w:type="dxa"/>
            <w:vAlign w:val="center"/>
          </w:tcPr>
          <w:p>
            <w:pPr>
              <w:spacing w:line="300" w:lineRule="exact"/>
              <w:jc w:val="left"/>
              <w:rPr>
                <w:rFonts w:ascii="方正书宋_GBK" w:eastAsia="方正书宋_GBK"/>
                <w:b/>
              </w:rPr>
            </w:pPr>
          </w:p>
        </w:tc>
        <w:tc>
          <w:tcPr>
            <w:tcW w:w="567" w:type="dxa"/>
            <w:vAlign w:val="center"/>
          </w:tcPr>
          <w:p>
            <w:pPr>
              <w:spacing w:line="300" w:lineRule="exact"/>
              <w:jc w:val="lef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992" w:type="dxa"/>
            <w:vAlign w:val="center"/>
          </w:tcPr>
          <w:p>
            <w:pPr>
              <w:spacing w:line="300" w:lineRule="exact"/>
              <w:jc w:val="right"/>
              <w:rPr>
                <w:rFonts w:ascii="方正书宋_GBK" w:eastAsia="方正书宋_GBK"/>
                <w:b/>
              </w:rPr>
            </w:pPr>
          </w:p>
        </w:tc>
        <w:tc>
          <w:tcPr>
            <w:tcW w:w="993"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850"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992" w:type="dxa"/>
            <w:vAlign w:val="center"/>
          </w:tcPr>
          <w:p>
            <w:pPr>
              <w:spacing w:line="300" w:lineRule="exact"/>
              <w:jc w:val="right"/>
              <w:rPr>
                <w:rFonts w:ascii="方正书宋_GBK" w:eastAsia="方正书宋_GBK"/>
                <w:b/>
              </w:rPr>
            </w:pPr>
            <w:r>
              <w:rPr>
                <w:rFonts w:hint="eastAsia" w:ascii="方正书宋_GBK" w:eastAsia="方正书宋_GBK"/>
                <w:b/>
              </w:rPr>
              <w:t>10</w:t>
            </w:r>
          </w:p>
        </w:tc>
        <w:tc>
          <w:tcPr>
            <w:tcW w:w="709" w:type="dxa"/>
            <w:vAlign w:val="center"/>
          </w:tcPr>
          <w:p>
            <w:pPr>
              <w:spacing w:line="300" w:lineRule="exact"/>
              <w:jc w:val="right"/>
              <w:rPr>
                <w:rFonts w:ascii="方正书宋_GBK" w:eastAsia="方正书宋_GBK"/>
                <w:b/>
              </w:rPr>
            </w:pPr>
          </w:p>
        </w:tc>
        <w:tc>
          <w:tcPr>
            <w:tcW w:w="683"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c>
          <w:tcPr>
            <w:tcW w:w="709"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w:t>
            </w:r>
            <w:r>
              <w:rPr>
                <w:rFonts w:ascii="方正书宋_GBK" w:eastAsia="方正书宋_GBK"/>
              </w:rPr>
              <w:t>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275" w:type="dxa"/>
            <w:vAlign w:val="center"/>
          </w:tcPr>
          <w:p>
            <w:pPr>
              <w:spacing w:line="300" w:lineRule="exact"/>
              <w:jc w:val="left"/>
              <w:rPr>
                <w:rFonts w:ascii="方正书宋_GBK" w:eastAsia="方正书宋_GBK"/>
              </w:rPr>
            </w:pPr>
            <w:r>
              <w:rPr>
                <w:rFonts w:ascii="方正书宋_GBK" w:eastAsia="方正书宋_GBK"/>
              </w:rPr>
              <w:t>A020101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6</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0.35</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w:t>
            </w:r>
            <w:r>
              <w:rPr>
                <w:rFonts w:hint="eastAsia" w:ascii="方正书宋_GBK" w:eastAsia="方正书宋_GBK"/>
              </w:rPr>
              <w:t>10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1.90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办公桌椅</w:t>
            </w:r>
          </w:p>
        </w:tc>
        <w:tc>
          <w:tcPr>
            <w:tcW w:w="1275" w:type="dxa"/>
            <w:vAlign w:val="center"/>
          </w:tcPr>
          <w:p>
            <w:pPr>
              <w:spacing w:line="300" w:lineRule="exact"/>
              <w:jc w:val="left"/>
              <w:rPr>
                <w:rFonts w:ascii="方正书宋_GBK" w:eastAsia="方正书宋_GBK"/>
              </w:rPr>
            </w:pPr>
          </w:p>
        </w:tc>
        <w:tc>
          <w:tcPr>
            <w:tcW w:w="567" w:type="dxa"/>
            <w:vAlign w:val="center"/>
          </w:tcPr>
          <w:p>
            <w:pPr>
              <w:spacing w:line="300" w:lineRule="exact"/>
              <w:jc w:val="left"/>
              <w:rPr>
                <w:rFonts w:ascii="方正书宋_GBK" w:eastAsia="方正书宋_GBK"/>
              </w:rPr>
            </w:pPr>
          </w:p>
        </w:tc>
        <w:tc>
          <w:tcPr>
            <w:tcW w:w="709"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0.01</w:t>
            </w:r>
          </w:p>
        </w:tc>
        <w:tc>
          <w:tcPr>
            <w:tcW w:w="993" w:type="dxa"/>
            <w:vAlign w:val="center"/>
          </w:tcPr>
          <w:p>
            <w:pPr>
              <w:spacing w:line="300" w:lineRule="exact"/>
              <w:jc w:val="right"/>
              <w:rPr>
                <w:rFonts w:ascii="方正书宋_GBK" w:eastAsia="方正书宋_GBK"/>
              </w:rPr>
            </w:pPr>
            <w:r>
              <w:rPr>
                <w:rFonts w:ascii="方正书宋_GBK" w:eastAsia="方正书宋_GBK"/>
              </w:rPr>
              <w:t>2.00</w:t>
            </w:r>
          </w:p>
        </w:tc>
        <w:tc>
          <w:tcPr>
            <w:tcW w:w="850" w:type="dxa"/>
            <w:vAlign w:val="center"/>
          </w:tcPr>
          <w:p>
            <w:pPr>
              <w:spacing w:line="300" w:lineRule="exact"/>
              <w:jc w:val="right"/>
              <w:rPr>
                <w:rFonts w:ascii="方正书宋_GBK" w:eastAsia="方正书宋_GBK"/>
              </w:rPr>
            </w:pPr>
            <w:r>
              <w:rPr>
                <w:rFonts w:ascii="方正书宋_GBK" w:eastAsia="方正书宋_GBK"/>
              </w:rPr>
              <w:t>2.00</w:t>
            </w:r>
          </w:p>
        </w:tc>
        <w:tc>
          <w:tcPr>
            <w:tcW w:w="992" w:type="dxa"/>
            <w:vAlign w:val="center"/>
          </w:tcPr>
          <w:p>
            <w:pPr>
              <w:spacing w:line="300" w:lineRule="exact"/>
              <w:jc w:val="right"/>
              <w:rPr>
                <w:rFonts w:ascii="方正书宋_GBK" w:eastAsia="方正书宋_GBK"/>
              </w:rPr>
            </w:pPr>
            <w:r>
              <w:rPr>
                <w:rFonts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275" w:type="dxa"/>
            <w:vAlign w:val="center"/>
          </w:tcPr>
          <w:p>
            <w:pPr>
              <w:spacing w:line="300" w:lineRule="exact"/>
              <w:jc w:val="left"/>
              <w:rPr>
                <w:rFonts w:ascii="方正书宋_GBK" w:eastAsia="方正书宋_GBK"/>
              </w:rPr>
            </w:pPr>
            <w:r>
              <w:rPr>
                <w:rFonts w:ascii="方正书宋_GBK" w:eastAsia="方正书宋_GBK"/>
              </w:rPr>
              <w:t>A02010601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10</w:t>
            </w:r>
          </w:p>
        </w:tc>
        <w:tc>
          <w:tcPr>
            <w:tcW w:w="992" w:type="dxa"/>
            <w:vAlign w:val="center"/>
          </w:tcPr>
          <w:p>
            <w:pPr>
              <w:spacing w:line="300" w:lineRule="exact"/>
              <w:jc w:val="right"/>
              <w:rPr>
                <w:rFonts w:ascii="方正书宋_GBK" w:eastAsia="方正书宋_GBK"/>
              </w:rPr>
            </w:pPr>
            <w:r>
              <w:rPr>
                <w:rFonts w:ascii="方正书宋_GBK" w:eastAsia="方正书宋_GBK"/>
              </w:rPr>
              <w:t>0.2</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2.00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5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文件柜</w:t>
            </w:r>
          </w:p>
        </w:tc>
        <w:tc>
          <w:tcPr>
            <w:tcW w:w="1275" w:type="dxa"/>
            <w:vAlign w:val="center"/>
          </w:tcPr>
          <w:p>
            <w:pPr>
              <w:spacing w:line="300" w:lineRule="exact"/>
              <w:jc w:val="left"/>
              <w:rPr>
                <w:rFonts w:ascii="方正书宋_GBK" w:eastAsia="方正书宋_GBK"/>
              </w:rPr>
            </w:pPr>
            <w:r>
              <w:rPr>
                <w:rFonts w:ascii="方正书宋_GBK" w:eastAsia="方正书宋_GBK"/>
              </w:rPr>
              <w:t>A020204</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709" w:type="dxa"/>
            <w:vAlign w:val="center"/>
          </w:tcPr>
          <w:p>
            <w:pPr>
              <w:spacing w:line="300" w:lineRule="exact"/>
              <w:jc w:val="right"/>
              <w:rPr>
                <w:rFonts w:ascii="方正书宋_GBK" w:eastAsia="方正书宋_GBK"/>
              </w:rPr>
            </w:pPr>
            <w:r>
              <w:rPr>
                <w:rFonts w:hint="eastAsia" w:ascii="方正书宋_GBK" w:eastAsia="方正书宋_GBK"/>
              </w:rPr>
              <w:t>40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0.10</w:t>
            </w:r>
          </w:p>
        </w:tc>
        <w:tc>
          <w:tcPr>
            <w:tcW w:w="993"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850"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992" w:type="dxa"/>
            <w:vAlign w:val="center"/>
          </w:tcPr>
          <w:p>
            <w:pPr>
              <w:spacing w:line="300" w:lineRule="exact"/>
              <w:jc w:val="right"/>
              <w:rPr>
                <w:rFonts w:ascii="方正书宋_GBK" w:eastAsia="方正书宋_GBK"/>
              </w:rPr>
            </w:pPr>
            <w:r>
              <w:rPr>
                <w:rFonts w:hint="eastAsia" w:ascii="方正书宋_GBK" w:eastAsia="方正书宋_GBK"/>
              </w:rPr>
              <w:t>4.00</w:t>
            </w:r>
          </w:p>
        </w:tc>
        <w:tc>
          <w:tcPr>
            <w:tcW w:w="709" w:type="dxa"/>
            <w:vAlign w:val="center"/>
          </w:tcPr>
          <w:p>
            <w:pPr>
              <w:spacing w:line="300" w:lineRule="exact"/>
              <w:jc w:val="right"/>
              <w:rPr>
                <w:rFonts w:ascii="方正书宋_GBK" w:eastAsia="方正书宋_GBK"/>
              </w:rPr>
            </w:pPr>
          </w:p>
        </w:tc>
        <w:tc>
          <w:tcPr>
            <w:tcW w:w="683"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c>
          <w:tcPr>
            <w:tcW w:w="709" w:type="dxa"/>
            <w:vAlign w:val="center"/>
          </w:tcPr>
          <w:p>
            <w:pPr>
              <w:spacing w:line="300" w:lineRule="exact"/>
              <w:jc w:val="right"/>
              <w:rPr>
                <w:rFonts w:ascii="方正书宋_GBK" w:eastAsia="方正书宋_GBK"/>
              </w:rPr>
            </w:pPr>
          </w:p>
        </w:tc>
      </w:tr>
      <w:bookmarkEnd w:id="2"/>
    </w:tbl>
    <w:p>
      <w:pPr>
        <w:autoSpaceDE w:val="0"/>
        <w:autoSpaceDN w:val="0"/>
        <w:adjustRightIn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 w:hAnsi="仿宋" w:eastAsia="仿宋"/>
          <w:sz w:val="32"/>
          <w:szCs w:val="32"/>
        </w:rPr>
      </w:pPr>
      <w:r>
        <w:rPr>
          <w:rFonts w:hint="eastAsia" w:ascii="仿宋" w:hAnsi="仿宋" w:eastAsia="仿宋"/>
          <w:sz w:val="32"/>
          <w:szCs w:val="32"/>
        </w:rPr>
        <w:t>成安县安全生产监督管理局</w:t>
      </w:r>
      <w:r>
        <w:rPr>
          <w:rFonts w:ascii="仿宋_GB2312" w:hAnsi="宋体" w:eastAsia="仿宋_GB2312" w:cs="宋体"/>
          <w:color w:val="333333"/>
          <w:kern w:val="0"/>
          <w:sz w:val="32"/>
          <w:szCs w:val="32"/>
        </w:rPr>
        <w:t>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36.5</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其中：车辆价值25万元，其它资产办公用电脑、办公家具、专用设备等价值11.5万元。201</w:t>
      </w: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年我单位拟购置10万元。</w:t>
      </w:r>
      <w:r>
        <w:rPr>
          <w:rFonts w:hint="eastAsia" w:ascii="仿宋" w:hAnsi="仿宋" w:eastAsia="仿宋"/>
          <w:sz w:val="32"/>
          <w:szCs w:val="32"/>
        </w:rPr>
        <w:t>主要为计算机设备、打印设备、办公桌椅等，已列入政府采购预算。详见下表。</w:t>
      </w:r>
    </w:p>
    <w:tbl>
      <w:tblPr>
        <w:tblStyle w:val="7"/>
        <w:tblW w:w="15013" w:type="dxa"/>
        <w:tblInd w:w="0" w:type="dxa"/>
        <w:tblLayout w:type="fixed"/>
        <w:tblCellMar>
          <w:top w:w="0" w:type="dxa"/>
          <w:left w:w="108" w:type="dxa"/>
          <w:bottom w:w="0" w:type="dxa"/>
          <w:right w:w="108" w:type="dxa"/>
        </w:tblCellMar>
      </w:tblPr>
      <w:tblGrid>
        <w:gridCol w:w="6858"/>
        <w:gridCol w:w="1417"/>
        <w:gridCol w:w="6738"/>
      </w:tblGrid>
      <w:tr>
        <w:tblPrEx>
          <w:tblCellMar>
            <w:top w:w="0" w:type="dxa"/>
            <w:left w:w="108" w:type="dxa"/>
            <w:bottom w:w="0" w:type="dxa"/>
            <w:right w:w="108" w:type="dxa"/>
          </w:tblCellMar>
        </w:tblPrEx>
        <w:trPr>
          <w:trHeight w:val="705" w:hRule="atLeast"/>
        </w:trPr>
        <w:tc>
          <w:tcPr>
            <w:tcW w:w="15013" w:type="dxa"/>
            <w:gridSpan w:val="3"/>
            <w:tcBorders>
              <w:top w:val="nil"/>
              <w:left w:val="nil"/>
              <w:bottom w:val="nil"/>
              <w:right w:val="nil"/>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275" w:type="dxa"/>
            <w:gridSpan w:val="2"/>
            <w:tcBorders>
              <w:top w:val="nil"/>
              <w:left w:val="nil"/>
              <w:bottom w:val="nil"/>
              <w:right w:val="nil"/>
            </w:tcBorders>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编制部门：</w:t>
            </w:r>
            <w:r>
              <w:rPr>
                <w:rFonts w:hint="eastAsia" w:ascii="仿宋_GB2312" w:eastAsia="仿宋_GB2312"/>
                <w:sz w:val="32"/>
                <w:szCs w:val="32"/>
              </w:rPr>
              <w:t>成安县安全生产监督管理局</w:t>
            </w:r>
          </w:p>
        </w:tc>
        <w:tc>
          <w:tcPr>
            <w:tcW w:w="6738" w:type="dxa"/>
            <w:tcBorders>
              <w:top w:val="nil"/>
              <w:left w:val="nil"/>
              <w:bottom w:val="nil"/>
              <w:right w:val="nil"/>
            </w:tcBorders>
            <w:vAlign w:val="center"/>
          </w:tcPr>
          <w:p>
            <w:pPr>
              <w:widowControl/>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ascii="仿宋" w:hAnsi="仿宋" w:eastAsia="仿宋" w:cs="宋体"/>
                <w:kern w:val="0"/>
                <w:sz w:val="32"/>
                <w:szCs w:val="32"/>
              </w:rPr>
              <w:t xml:space="preserve">  </w:t>
            </w:r>
          </w:p>
        </w:tc>
      </w:tr>
      <w:tr>
        <w:tblPrEx>
          <w:tblCellMar>
            <w:top w:w="0" w:type="dxa"/>
            <w:left w:w="108" w:type="dxa"/>
            <w:bottom w:w="0" w:type="dxa"/>
            <w:right w:w="108" w:type="dxa"/>
          </w:tblCellMar>
        </w:tblPrEx>
        <w:trPr>
          <w:trHeight w:val="645" w:hRule="atLeast"/>
        </w:trPr>
        <w:tc>
          <w:tcPr>
            <w:tcW w:w="6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项</w:t>
            </w:r>
            <w:r>
              <w:rPr>
                <w:rFonts w:ascii="仿宋" w:hAnsi="仿宋" w:eastAsia="仿宋" w:cs="宋体"/>
                <w:bCs/>
                <w:kern w:val="0"/>
                <w:sz w:val="32"/>
                <w:szCs w:val="32"/>
              </w:rPr>
              <w:t xml:space="preserve">   </w:t>
            </w:r>
            <w:r>
              <w:rPr>
                <w:rFonts w:hint="eastAsia" w:ascii="仿宋" w:hAnsi="仿宋" w:eastAsia="仿宋" w:cs="宋体"/>
                <w:bCs/>
                <w:kern w:val="0"/>
                <w:sz w:val="32"/>
                <w:szCs w:val="32"/>
              </w:rPr>
              <w:t>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数量</w:t>
            </w:r>
          </w:p>
        </w:tc>
        <w:tc>
          <w:tcPr>
            <w:tcW w:w="67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Cs/>
                <w:kern w:val="0"/>
                <w:sz w:val="32"/>
                <w:szCs w:val="32"/>
              </w:rPr>
            </w:pPr>
            <w:r>
              <w:rPr>
                <w:rFonts w:hint="eastAsia" w:ascii="仿宋" w:hAnsi="仿宋" w:eastAsia="仿宋" w:cs="宋体"/>
                <w:bCs/>
                <w:kern w:val="0"/>
                <w:sz w:val="32"/>
                <w:szCs w:val="32"/>
              </w:rPr>
              <w:t>价值（金额单位：万元）</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资产总额</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36.5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2</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25</w:t>
            </w: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6858"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14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526</w:t>
            </w:r>
          </w:p>
        </w:tc>
        <w:tc>
          <w:tcPr>
            <w:tcW w:w="673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11.5</w:t>
            </w:r>
          </w:p>
        </w:tc>
      </w:tr>
    </w:tbl>
    <w:p>
      <w:pPr>
        <w:spacing w:line="560" w:lineRule="exact"/>
        <w:ind w:firstLine="640"/>
        <w:rPr>
          <w:rFonts w:ascii="仿宋" w:hAnsi="仿宋" w:eastAsia="仿宋"/>
          <w:sz w:val="32"/>
          <w:szCs w:val="32"/>
        </w:rPr>
      </w:pPr>
    </w:p>
    <w:p>
      <w:pPr>
        <w:spacing w:line="560" w:lineRule="exact"/>
        <w:ind w:firstLine="640"/>
        <w:rPr>
          <w:rFonts w:ascii="仿宋" w:hAnsi="仿宋" w:eastAsia="仿宋"/>
          <w:sz w:val="32"/>
          <w:szCs w:val="32"/>
        </w:rPr>
      </w:pPr>
    </w:p>
    <w:p>
      <w:pPr>
        <w:widowControl/>
        <w:spacing w:line="360" w:lineRule="auto"/>
        <w:jc w:val="left"/>
        <w:rPr>
          <w:rFonts w:ascii="仿宋_GB2312" w:hAnsi="Calibri" w:eastAsia="仿宋_GB2312" w:cs="仿宋_GB2312"/>
          <w:kern w:val="0"/>
          <w:sz w:val="32"/>
          <w:szCs w:val="32"/>
        </w:rPr>
      </w:pPr>
    </w:p>
    <w:p>
      <w:pPr>
        <w:widowControl/>
        <w:spacing w:line="360" w:lineRule="auto"/>
        <w:ind w:firstLine="960" w:firstLineChars="3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szCs w:val="24"/>
        </w:rPr>
        <w:t xml:space="preserve"> </w:t>
      </w:r>
      <w:r>
        <w:rPr>
          <w:rFonts w:hint="eastAsia" w:ascii="宋体" w:hAnsi="宋体" w:eastAsia="宋体" w:cs="宋体"/>
          <w:kern w:val="0"/>
          <w:sz w:val="32"/>
          <w:szCs w:val="32"/>
        </w:rPr>
        <w:t> </w:t>
      </w:r>
    </w:p>
    <w:p>
      <w:pPr>
        <w:widowControl/>
        <w:spacing w:line="360" w:lineRule="auto"/>
        <w:ind w:firstLine="960" w:firstLineChars="3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960" w:firstLineChars="3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widowControl/>
        <w:spacing w:line="360" w:lineRule="auto"/>
        <w:ind w:firstLine="720" w:firstLineChars="3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微软雅黑" w:hAnsi="微软雅黑" w:eastAsia="微软雅黑" w:cs="微软雅黑"/>
          <w:kern w:val="0"/>
          <w:sz w:val="24"/>
          <w:szCs w:val="24"/>
        </w:rPr>
        <w:t xml:space="preserve"> </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p>
      <w:pPr>
        <w:widowControl/>
        <w:spacing w:line="360" w:lineRule="auto"/>
        <w:ind w:firstLine="420" w:firstLineChars="200"/>
        <w:jc w:val="left"/>
      </w:pPr>
    </w:p>
    <w:sectPr>
      <w:pgSz w:w="16839" w:h="11907" w:orient="landscape"/>
      <w:pgMar w:top="1134" w:right="1020" w:bottom="1134" w:left="10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decorative"/>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decorative"/>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2A657B"/>
    <w:multiLevelType w:val="multilevel"/>
    <w:tmpl w:val="0C2A657B"/>
    <w:lvl w:ilvl="0" w:tentative="0">
      <w:start w:val="4"/>
      <w:numFmt w:val="japaneseCounting"/>
      <w:lvlText w:val="%1、"/>
      <w:lvlJc w:val="left"/>
      <w:pPr>
        <w:ind w:left="1523" w:hanging="7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
    <w:nsid w:val="58BCCB38"/>
    <w:multiLevelType w:val="multilevel"/>
    <w:tmpl w:val="58BCCB3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1EB01B"/>
    <w:multiLevelType w:val="singleLevel"/>
    <w:tmpl w:val="591EB01B"/>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Zjc5MTUxMjdlNmUwMmQwMmVkNmY2M2E4MGRkZmUifQ=="/>
  </w:docVars>
  <w:rsids>
    <w:rsidRoot w:val="00E810D6"/>
    <w:rsid w:val="002E3A95"/>
    <w:rsid w:val="003F0FB0"/>
    <w:rsid w:val="004A5303"/>
    <w:rsid w:val="0055387B"/>
    <w:rsid w:val="005D136A"/>
    <w:rsid w:val="00625463"/>
    <w:rsid w:val="0062621A"/>
    <w:rsid w:val="00685811"/>
    <w:rsid w:val="006D1C5B"/>
    <w:rsid w:val="007516BC"/>
    <w:rsid w:val="007A507B"/>
    <w:rsid w:val="007D6BF0"/>
    <w:rsid w:val="0080486E"/>
    <w:rsid w:val="008058DC"/>
    <w:rsid w:val="00832BE4"/>
    <w:rsid w:val="008C7744"/>
    <w:rsid w:val="00922239"/>
    <w:rsid w:val="009A2D48"/>
    <w:rsid w:val="009B001C"/>
    <w:rsid w:val="009D0C04"/>
    <w:rsid w:val="00A07D70"/>
    <w:rsid w:val="00A70FC0"/>
    <w:rsid w:val="00AB3C63"/>
    <w:rsid w:val="00B1126C"/>
    <w:rsid w:val="00BB5950"/>
    <w:rsid w:val="00BC2272"/>
    <w:rsid w:val="00C05E5B"/>
    <w:rsid w:val="00C40B35"/>
    <w:rsid w:val="00C60A65"/>
    <w:rsid w:val="00D346D5"/>
    <w:rsid w:val="00D96CC2"/>
    <w:rsid w:val="00DE5574"/>
    <w:rsid w:val="00E20D34"/>
    <w:rsid w:val="00E23ABF"/>
    <w:rsid w:val="00E31FCC"/>
    <w:rsid w:val="00E42745"/>
    <w:rsid w:val="00E70669"/>
    <w:rsid w:val="00E810D6"/>
    <w:rsid w:val="00E86FCD"/>
    <w:rsid w:val="00F0464E"/>
    <w:rsid w:val="00FE531C"/>
    <w:rsid w:val="013B67CD"/>
    <w:rsid w:val="01CA412B"/>
    <w:rsid w:val="037D3281"/>
    <w:rsid w:val="037D399A"/>
    <w:rsid w:val="03B213E5"/>
    <w:rsid w:val="05F83A01"/>
    <w:rsid w:val="06096D52"/>
    <w:rsid w:val="06550E5D"/>
    <w:rsid w:val="06616BDD"/>
    <w:rsid w:val="06D362B3"/>
    <w:rsid w:val="0726741C"/>
    <w:rsid w:val="08B07B1F"/>
    <w:rsid w:val="08D34D69"/>
    <w:rsid w:val="09E50DB9"/>
    <w:rsid w:val="0A365E9E"/>
    <w:rsid w:val="0BB759F9"/>
    <w:rsid w:val="0BF41E7F"/>
    <w:rsid w:val="0CBF7A43"/>
    <w:rsid w:val="0D567C03"/>
    <w:rsid w:val="0DD4180B"/>
    <w:rsid w:val="0EB87EC2"/>
    <w:rsid w:val="130B706D"/>
    <w:rsid w:val="13617533"/>
    <w:rsid w:val="139106CF"/>
    <w:rsid w:val="13A12522"/>
    <w:rsid w:val="13DE0FA8"/>
    <w:rsid w:val="163506CD"/>
    <w:rsid w:val="17252863"/>
    <w:rsid w:val="175940C0"/>
    <w:rsid w:val="17C16AC9"/>
    <w:rsid w:val="180D78B9"/>
    <w:rsid w:val="19F02EA6"/>
    <w:rsid w:val="1AEF7278"/>
    <w:rsid w:val="1B2A5EA4"/>
    <w:rsid w:val="1C0D0DA4"/>
    <w:rsid w:val="1CC97251"/>
    <w:rsid w:val="1CEB0A1C"/>
    <w:rsid w:val="1D430EC5"/>
    <w:rsid w:val="1D4E50CC"/>
    <w:rsid w:val="1D8D712F"/>
    <w:rsid w:val="1E8167C1"/>
    <w:rsid w:val="1EAA0AE1"/>
    <w:rsid w:val="20A51812"/>
    <w:rsid w:val="21B66276"/>
    <w:rsid w:val="21BD14FC"/>
    <w:rsid w:val="228819EE"/>
    <w:rsid w:val="22A568F1"/>
    <w:rsid w:val="264E15DE"/>
    <w:rsid w:val="267B23D6"/>
    <w:rsid w:val="2716314B"/>
    <w:rsid w:val="2828180A"/>
    <w:rsid w:val="285222A8"/>
    <w:rsid w:val="288A4B30"/>
    <w:rsid w:val="28E516DB"/>
    <w:rsid w:val="299267B6"/>
    <w:rsid w:val="2AD57C75"/>
    <w:rsid w:val="2BAA47A7"/>
    <w:rsid w:val="2DCE40BA"/>
    <w:rsid w:val="2E066AE5"/>
    <w:rsid w:val="2E2777CE"/>
    <w:rsid w:val="2EE04A84"/>
    <w:rsid w:val="30B41A68"/>
    <w:rsid w:val="312F543B"/>
    <w:rsid w:val="31D059F4"/>
    <w:rsid w:val="321F67D1"/>
    <w:rsid w:val="32D45244"/>
    <w:rsid w:val="332A0BBD"/>
    <w:rsid w:val="3387759D"/>
    <w:rsid w:val="33FA5420"/>
    <w:rsid w:val="351C5D1D"/>
    <w:rsid w:val="36DF5EE5"/>
    <w:rsid w:val="372D0BBC"/>
    <w:rsid w:val="385749E7"/>
    <w:rsid w:val="38963AA1"/>
    <w:rsid w:val="39461E7C"/>
    <w:rsid w:val="39A75722"/>
    <w:rsid w:val="3B2D1E80"/>
    <w:rsid w:val="3B6E7B6E"/>
    <w:rsid w:val="3C712CD5"/>
    <w:rsid w:val="3CEC5D53"/>
    <w:rsid w:val="3D794EA0"/>
    <w:rsid w:val="417B37FD"/>
    <w:rsid w:val="4311232D"/>
    <w:rsid w:val="441C57E9"/>
    <w:rsid w:val="44240E6E"/>
    <w:rsid w:val="44986D47"/>
    <w:rsid w:val="45185251"/>
    <w:rsid w:val="456A5D0D"/>
    <w:rsid w:val="457C0C14"/>
    <w:rsid w:val="45B90BF3"/>
    <w:rsid w:val="460143F1"/>
    <w:rsid w:val="475B18CD"/>
    <w:rsid w:val="498634E1"/>
    <w:rsid w:val="4A4F1F05"/>
    <w:rsid w:val="4B7040C7"/>
    <w:rsid w:val="4CA957E7"/>
    <w:rsid w:val="4D9730D4"/>
    <w:rsid w:val="4E4335D2"/>
    <w:rsid w:val="4FC24473"/>
    <w:rsid w:val="5284615E"/>
    <w:rsid w:val="52AB63BE"/>
    <w:rsid w:val="535E33E8"/>
    <w:rsid w:val="59AF56D7"/>
    <w:rsid w:val="5A43186E"/>
    <w:rsid w:val="5AF556D9"/>
    <w:rsid w:val="5B2B3FCD"/>
    <w:rsid w:val="5BAE356C"/>
    <w:rsid w:val="5CB07A05"/>
    <w:rsid w:val="5ED17601"/>
    <w:rsid w:val="5FA34814"/>
    <w:rsid w:val="612F2391"/>
    <w:rsid w:val="61897173"/>
    <w:rsid w:val="61E34898"/>
    <w:rsid w:val="62EA79E7"/>
    <w:rsid w:val="63F21B1B"/>
    <w:rsid w:val="65493192"/>
    <w:rsid w:val="656B739A"/>
    <w:rsid w:val="666C26EF"/>
    <w:rsid w:val="69696E33"/>
    <w:rsid w:val="6B304A7A"/>
    <w:rsid w:val="6B511389"/>
    <w:rsid w:val="6D5763C1"/>
    <w:rsid w:val="6D81148F"/>
    <w:rsid w:val="6E8006EE"/>
    <w:rsid w:val="6ECC4D84"/>
    <w:rsid w:val="70942A71"/>
    <w:rsid w:val="70BA2DA1"/>
    <w:rsid w:val="71B87B2B"/>
    <w:rsid w:val="726F0014"/>
    <w:rsid w:val="729B4F6A"/>
    <w:rsid w:val="733E01F4"/>
    <w:rsid w:val="73746DB7"/>
    <w:rsid w:val="737C0229"/>
    <w:rsid w:val="7424079F"/>
    <w:rsid w:val="74D4598A"/>
    <w:rsid w:val="76FD3FC3"/>
    <w:rsid w:val="795410C4"/>
    <w:rsid w:val="7AA5545A"/>
    <w:rsid w:val="7BAA5900"/>
    <w:rsid w:val="7C0B49FE"/>
    <w:rsid w:val="7D533B53"/>
    <w:rsid w:val="7D9A3104"/>
    <w:rsid w:val="7DB94919"/>
    <w:rsid w:val="7DDF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paragraph" w:styleId="6">
    <w:name w:val="Normal (Web)"/>
    <w:basedOn w:val="1"/>
    <w:qFormat/>
    <w:uiPriority w:val="0"/>
    <w:rPr>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3"/>
    <w:semiHidden/>
    <w:qFormat/>
    <w:uiPriority w:val="99"/>
    <w:rPr>
      <w:sz w:val="18"/>
      <w:szCs w:val="18"/>
    </w:rPr>
  </w:style>
  <w:style w:type="character" w:customStyle="1" w:styleId="11">
    <w:name w:val="页脚 Char"/>
    <w:basedOn w:val="9"/>
    <w:link w:val="2"/>
    <w:semiHidden/>
    <w:qFormat/>
    <w:uiPriority w:val="99"/>
    <w:rPr>
      <w:sz w:val="18"/>
      <w:szCs w:val="18"/>
    </w:rPr>
  </w:style>
  <w:style w:type="paragraph" w:customStyle="1" w:styleId="12">
    <w:name w:val="列出段落1"/>
    <w:basedOn w:val="1"/>
    <w:unhideWhenUsed/>
    <w:qFormat/>
    <w:uiPriority w:val="99"/>
    <w:pPr>
      <w:ind w:firstLine="420" w:firstLineChars="200"/>
    </w:p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3188</Words>
  <Characters>3497</Characters>
  <Lines>27</Lines>
  <Paragraphs>7</Paragraphs>
  <TotalTime>1</TotalTime>
  <ScaleCrop>false</ScaleCrop>
  <LinksUpToDate>false</LinksUpToDate>
  <CharactersWithSpaces>3559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WPS_1477576254</cp:lastModifiedBy>
  <cp:lastPrinted>2016-04-01T02:44:00Z</cp:lastPrinted>
  <dcterms:modified xsi:type="dcterms:W3CDTF">2024-01-19T07:18:20Z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54A3F16D90C14CC1A3D30C8854D766C6_12</vt:lpwstr>
  </property>
</Properties>
</file>