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宋体" w:hAnsi="宋体" w:eastAsia="宋体" w:cs="宋体"/>
          <w:b/>
          <w:sz w:val="36"/>
          <w:szCs w:val="36"/>
        </w:rPr>
        <w:t>2018年部门预算公开情况说明</w:t>
      </w:r>
    </w:p>
    <w:p>
      <w:pPr>
        <w:jc w:val="center"/>
        <w:rPr>
          <w:rFonts w:ascii="仿宋_GB2312" w:hAnsi="黑体" w:eastAsia="仿宋_GB2312"/>
          <w:sz w:val="10"/>
          <w:szCs w:val="10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按照《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中华人民共和国</w:t>
      </w:r>
      <w:r>
        <w:rPr>
          <w:rFonts w:hint="eastAsia" w:ascii="仿宋" w:hAnsi="仿宋" w:eastAsia="仿宋" w:cs="仿宋"/>
          <w:sz w:val="32"/>
          <w:szCs w:val="32"/>
        </w:rPr>
        <w:t>预算法》有关规定和财政部关于印发《地方预决算公开操作规程》的通知，</w:t>
      </w:r>
      <w:r>
        <w:rPr>
          <w:rFonts w:hint="eastAsia" w:ascii="仿宋" w:hAnsi="仿宋" w:eastAsia="仿宋" w:cs="仿宋"/>
          <w:kern w:val="0"/>
          <w:sz w:val="32"/>
          <w:szCs w:val="32"/>
        </w:rPr>
        <w:t>现将交通运输局2018年部门预算公开如下：</w:t>
      </w:r>
    </w:p>
    <w:p>
      <w:pPr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一、部门职责及机构设置情况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（一）根据县委，县政府及市交通运输局指示，制定我县交通发展规划。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负责综合运输体系的规划协调工作，负责交通运输枢纽规划，建设和管理，负责县城区公共交通的经营及其场站设施的建设管理，负责城区营运线路的新辟和调整，推进全县城乡公交一体化的实施，指导协调运输企业、个体经营者客运线路运营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（三）负责全县公路运输市场管理。贯彻落实公路运输有关政策、法规、技术标准和运营规范并监督实施。负责 运输市场、运输服务、车辆维修、停车场、搬运装卸、机动车性能检测、机动车驾驶学校和驾驶员培训的行业管理。负责和指导城乡客运及相关设施规划和管理，负责出租汽车行业管理工作。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（四）承担全县公路路政管理，维护公路路产、路权及公路设施，治理公路运输车辆超载。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（五）承担全县城乡公路建设规划。负责辖区内公路及其设施建设、养护和管理。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（六）负责全局人事、劳动管理和工资、社会福利保险等工作，负责局属股、站领导班子建设管理工作。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（七）组织指导交通运输系统干部职工的业务、专业技术培训教育，负责组织职工技能和技术等级申报、考核。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（八）搞好交通运输系统财务管理，加强对直属单位的财务、审计、监督。收集整理交通运输行业数据信息。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（九）指导交通运输系统的精神文明建设，整顿职工的思想工作作风，搞好行风建设。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（十）承担全县公路行业安全生产和应急管理工作。按规定组织协调国家、省、市、县重点物资和紧急客货运输。承担国防交通战备工作。</w:t>
      </w:r>
    </w:p>
    <w:p>
      <w:pPr>
        <w:spacing w:line="360" w:lineRule="auto"/>
        <w:ind w:firstLine="640" w:firstLineChars="200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（十一）承办县委、县政府，市交通运输局交办的其他项。</w:t>
      </w:r>
    </w:p>
    <w:p>
      <w:pPr>
        <w:widowControl/>
        <w:spacing w:line="360" w:lineRule="auto"/>
        <w:ind w:firstLine="630" w:firstLineChars="196"/>
        <w:jc w:val="left"/>
        <w:rPr>
          <w:rFonts w:ascii="楷体" w:hAnsi="楷体" w:eastAsia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>人员编制和领导职数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人员编制11名，其中领导职数6个。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机构设置：</w:t>
      </w:r>
    </w:p>
    <w:p>
      <w:pPr>
        <w:jc w:val="center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部门机构设置情况</w:t>
      </w:r>
    </w:p>
    <w:tbl>
      <w:tblPr>
        <w:tblStyle w:val="4"/>
        <w:tblW w:w="862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7"/>
        <w:gridCol w:w="1134"/>
        <w:gridCol w:w="1276"/>
        <w:gridCol w:w="29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3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单位规格</w:t>
            </w:r>
          </w:p>
        </w:tc>
        <w:tc>
          <w:tcPr>
            <w:tcW w:w="29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317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02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317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  <w:r>
              <w:rPr>
                <w:rFonts w:hint="eastAsia" w:ascii="Times New Roman" w:hAnsi="Times New Roman" w:eastAsia="方正书宋_GBK" w:cs="Times New Roman"/>
              </w:rPr>
              <w:t>成安县交通运输局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  <w:r>
              <w:rPr>
                <w:rFonts w:hint="eastAsia" w:ascii="Times New Roman" w:hAnsi="Times New Roman" w:eastAsia="方正书宋_GBK" w:cs="Times New Roman"/>
              </w:rPr>
              <w:t>行政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  <w:r>
              <w:rPr>
                <w:rFonts w:hint="eastAsia" w:ascii="Times New Roman" w:hAnsi="Times New Roman" w:eastAsia="方正书宋_GBK" w:cs="Times New Roman"/>
              </w:rPr>
              <w:t>局级</w:t>
            </w:r>
          </w:p>
        </w:tc>
        <w:tc>
          <w:tcPr>
            <w:tcW w:w="290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  <w:r>
              <w:rPr>
                <w:rFonts w:hint="eastAsia" w:ascii="Times New Roman" w:hAnsi="Times New Roman" w:eastAsia="方正书宋_GBK" w:cs="Times New Roman"/>
              </w:rPr>
              <w:t>财政拨款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317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</w:p>
        </w:tc>
        <w:tc>
          <w:tcPr>
            <w:tcW w:w="290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</w:p>
        </w:tc>
      </w:tr>
    </w:tbl>
    <w:p>
      <w:pPr>
        <w:widowControl/>
        <w:spacing w:line="360" w:lineRule="auto"/>
        <w:ind w:left="628"/>
        <w:jc w:val="left"/>
        <w:rPr>
          <w:rFonts w:ascii="Calibri" w:hAnsi="Calibri" w:eastAsia="仿宋_GB2312" w:cs="Calibri"/>
          <w:b/>
          <w:kern w:val="0"/>
          <w:sz w:val="32"/>
          <w:szCs w:val="32"/>
        </w:rPr>
      </w:pPr>
      <w:r>
        <w:rPr>
          <w:rFonts w:hint="eastAsia" w:ascii="Calibri" w:hAnsi="Calibri" w:eastAsia="仿宋_GB2312" w:cs="Calibri"/>
          <w:b/>
          <w:kern w:val="0"/>
          <w:sz w:val="32"/>
          <w:szCs w:val="32"/>
        </w:rPr>
        <w:t>内设主要</w:t>
      </w:r>
      <w:r>
        <w:rPr>
          <w:rFonts w:ascii="Calibri" w:hAnsi="Calibri" w:eastAsia="仿宋_GB2312" w:cs="Calibri"/>
          <w:b/>
          <w:kern w:val="0"/>
          <w:sz w:val="32"/>
          <w:szCs w:val="32"/>
        </w:rPr>
        <w:t>机构</w:t>
      </w:r>
      <w:r>
        <w:rPr>
          <w:rFonts w:hint="eastAsia" w:ascii="Calibri" w:hAnsi="Calibri" w:eastAsia="仿宋_GB2312" w:cs="Calibri"/>
          <w:b/>
          <w:kern w:val="0"/>
          <w:sz w:val="32"/>
          <w:szCs w:val="32"/>
        </w:rPr>
        <w:t>及职责</w:t>
      </w:r>
    </w:p>
    <w:p>
      <w:pPr>
        <w:widowControl/>
        <w:spacing w:line="360" w:lineRule="auto"/>
        <w:ind w:left="628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成安县成安县交通运输局，预算编码是348002，内设7个内部机构。</w:t>
      </w:r>
    </w:p>
    <w:p>
      <w:pPr>
        <w:widowControl/>
        <w:numPr>
          <w:ilvl w:val="0"/>
          <w:numId w:val="1"/>
        </w:numPr>
        <w:spacing w:line="360" w:lineRule="auto"/>
        <w:ind w:left="628"/>
        <w:jc w:val="left"/>
        <w:rPr>
          <w:rFonts w:ascii="楷体" w:hAnsi="楷体" w:eastAsia="楷体" w:cs="楷体"/>
          <w:b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>办公室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  主要负责：</w:t>
      </w:r>
      <w:r>
        <w:rPr>
          <w:rFonts w:hint="eastAsia" w:ascii="仿宋" w:hAnsi="仿宋" w:eastAsia="仿宋" w:cs="仿宋"/>
          <w:sz w:val="32"/>
          <w:szCs w:val="32"/>
        </w:rPr>
        <w:t>负责组织协调局机关工作，机要、保密、提案、来信、来访督查、目标管理，安全保卫和后勤行政等管理工作</w:t>
      </w:r>
    </w:p>
    <w:p>
      <w:pPr>
        <w:widowControl/>
        <w:spacing w:line="360" w:lineRule="auto"/>
        <w:jc w:val="left"/>
        <w:rPr>
          <w:rFonts w:ascii="楷体" w:hAnsi="楷体" w:eastAsia="楷体" w:cs="楷体"/>
          <w:b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 xml:space="preserve">    2、人事股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主要负责：</w:t>
      </w:r>
      <w:r>
        <w:rPr>
          <w:rFonts w:hint="eastAsia" w:ascii="仿宋" w:hAnsi="仿宋" w:eastAsia="仿宋" w:cs="仿宋"/>
          <w:sz w:val="32"/>
          <w:szCs w:val="32"/>
        </w:rPr>
        <w:t>负责全局人事工作；负责归口管理专业技术干部职称评聘、继续教育、人才交流与引进和培养工作；负责归口管理技术工人技术等级考核，评定和申报等工作；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 xml:space="preserve">    3、财务股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负责：负责全局财务工作；负责交通建设资金的筹集、调度、使用和管理工作；负责局下属单位财务监督、检查及财务管理的指导工作；加强财务管理、纠正违反财经纪律的行为；负责交通系统国有资产管理。</w:t>
      </w:r>
    </w:p>
    <w:p>
      <w:pPr>
        <w:widowControl/>
        <w:spacing w:line="360" w:lineRule="auto"/>
        <w:jc w:val="left"/>
        <w:rPr>
          <w:rFonts w:ascii="楷体" w:hAnsi="楷体" w:eastAsia="楷体" w:cs="楷体"/>
          <w:b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 xml:space="preserve">    4、纪检室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主要负责：交通系统的纪律检查和行政监察工作，抓好党风、党纪、廉政建设，负责交通系统党员和干部职工违反党的纪律及有关规定的案件督查。</w:t>
      </w:r>
    </w:p>
    <w:p>
      <w:pPr>
        <w:widowControl/>
        <w:spacing w:line="360" w:lineRule="auto"/>
        <w:jc w:val="left"/>
        <w:rPr>
          <w:rFonts w:ascii="楷体" w:hAnsi="楷体" w:eastAsia="楷体" w:cs="楷体"/>
          <w:b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 xml:space="preserve">   5、工程股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主要负责：改造工程预算；负责对公路设计文件、施工单位资质审核；监督工程质量；负责落实有关变更设计，审定工程决算等。</w:t>
      </w:r>
    </w:p>
    <w:p>
      <w:pPr>
        <w:widowControl/>
        <w:spacing w:line="360" w:lineRule="auto"/>
        <w:jc w:val="left"/>
        <w:rPr>
          <w:rFonts w:ascii="楷体" w:hAnsi="楷体" w:eastAsia="楷体" w:cs="楷体"/>
          <w:b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 xml:space="preserve">   6、项目办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主要负责：交通基础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</w:t>
      </w:r>
      <w:bookmarkStart w:id="2" w:name="_GoBack"/>
      <w:bookmarkEnd w:id="2"/>
      <w:r>
        <w:rPr>
          <w:rFonts w:hint="eastAsia" w:ascii="仿宋" w:hAnsi="仿宋" w:eastAsia="仿宋" w:cs="仿宋"/>
          <w:sz w:val="32"/>
          <w:szCs w:val="32"/>
        </w:rPr>
        <w:t>施建设，项目管理。</w:t>
      </w:r>
    </w:p>
    <w:p>
      <w:pPr>
        <w:widowControl/>
        <w:spacing w:line="360" w:lineRule="auto"/>
        <w:jc w:val="left"/>
        <w:rPr>
          <w:rFonts w:ascii="楷体" w:hAnsi="楷体" w:eastAsia="楷体" w:cs="楷体"/>
          <w:b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 xml:space="preserve">   7、规划科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主要负责：负责项目规划管理。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二、部门预算安排的总体情况</w:t>
      </w:r>
    </w:p>
    <w:p>
      <w:pPr>
        <w:widowControl/>
        <w:spacing w:line="360" w:lineRule="auto"/>
        <w:ind w:firstLine="627" w:firstLineChars="196"/>
        <w:jc w:val="left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 xml:space="preserve"> 2017年部门收入预算总额为606.88万元，部门支出预算总额为606.88万元（其中人员经费92.23万元，项目经费514.65万元）。</w:t>
      </w:r>
      <w:r>
        <w:rPr>
          <w:rFonts w:ascii="仿宋_GB2312" w:hAnsi="Calibri" w:eastAsia="仿宋_GB2312" w:cs="仿宋_GB2312"/>
          <w:kern w:val="0"/>
          <w:sz w:val="32"/>
          <w:szCs w:val="32"/>
        </w:rPr>
        <w:t>201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7</w:t>
      </w:r>
      <w:r>
        <w:rPr>
          <w:rFonts w:ascii="仿宋_GB2312" w:hAnsi="Calibri" w:eastAsia="仿宋_GB2312" w:cs="仿宋_GB2312"/>
          <w:kern w:val="0"/>
          <w:sz w:val="32"/>
          <w:szCs w:val="32"/>
        </w:rPr>
        <w:t>年财政拨款收入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606.88</w:t>
      </w:r>
      <w:r>
        <w:rPr>
          <w:rFonts w:ascii="仿宋_GB2312" w:hAnsi="Calibri" w:eastAsia="仿宋_GB2312" w:cs="仿宋_GB2312"/>
          <w:kern w:val="0"/>
          <w:sz w:val="32"/>
          <w:szCs w:val="32"/>
        </w:rPr>
        <w:t>万元，总支出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3392.33</w:t>
      </w:r>
      <w:r>
        <w:rPr>
          <w:rFonts w:ascii="仿宋_GB2312" w:hAnsi="Calibri" w:eastAsia="仿宋_GB2312" w:cs="仿宋_GB2312"/>
          <w:kern w:val="0"/>
          <w:sz w:val="32"/>
          <w:szCs w:val="32"/>
        </w:rPr>
        <w:t>万元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，比去年减少了2785.45万元，主要原因上级资金文未下达。</w:t>
      </w:r>
    </w:p>
    <w:p>
      <w:pPr>
        <w:spacing w:line="56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1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、收入说明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2018年预算收入606.88万元，其中：一般公共预算收入606.88万元，政府性基金收入０万元，国有资本经营收入０万元，事业收入０万元，其他收入０万元。</w:t>
      </w:r>
    </w:p>
    <w:p>
      <w:pPr>
        <w:spacing w:line="560" w:lineRule="exact"/>
        <w:ind w:firstLine="64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2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、支出说明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2017年支出预算606.88万元，其中基本支出92.23万元，包括人员经费和日常公用经费；项目支出514.65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万元，主要为农村道路建设和交通运输支出。</w:t>
      </w:r>
    </w:p>
    <w:p>
      <w:pPr>
        <w:spacing w:line="560" w:lineRule="exact"/>
        <w:ind w:firstLine="64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3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、比上年增减变化情况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2018年预算收支安排606.88万元，较2017年预算减少2785.45万元，其中：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主要原因上级资金文件未下达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三、机关运行经费安排情况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机关运行经费共计安排92.23万元，</w:t>
      </w:r>
      <w:r>
        <w:rPr>
          <w:rFonts w:hint="eastAsia" w:ascii="仿宋" w:hAnsi="仿宋" w:eastAsia="仿宋" w:cs="仿宋"/>
          <w:kern w:val="0"/>
          <w:sz w:val="32"/>
          <w:szCs w:val="32"/>
        </w:rPr>
        <w:t>主要用于人员经费。其中工资福利支出63.57万元，对个人和家庭的补助支出28.66万元。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四、财政拨款“三公”经费预算情况及增减变化原因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，我单位“三公”经费预算安排万元，其中因公出国（境）费万元；公务用车购置及运维费万元（其中：公务用车购置费为万元，公务用车运行费0万元)；公务接待费万元。无增减变化。与去年相比降低了0%，我单位无“三公”经费支出。</w:t>
      </w:r>
    </w:p>
    <w:p>
      <w:pPr>
        <w:spacing w:line="560" w:lineRule="exact"/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五、绩效预算信息</w:t>
      </w:r>
    </w:p>
    <w:p>
      <w:pPr>
        <w:spacing w:line="560" w:lineRule="exact"/>
        <w:ind w:firstLine="643" w:firstLineChars="200"/>
        <w:jc w:val="left"/>
        <w:rPr>
          <w:rFonts w:ascii="楷体" w:hAnsi="楷体" w:eastAsia="楷体" w:cs="楷体"/>
          <w:b/>
          <w:bCs/>
          <w:sz w:val="32"/>
          <w:szCs w:val="32"/>
        </w:rPr>
      </w:pPr>
      <w:bookmarkStart w:id="0" w:name="_Toc471398463"/>
      <w:r>
        <w:rPr>
          <w:rFonts w:hint="eastAsia" w:ascii="楷体" w:hAnsi="楷体" w:eastAsia="楷体" w:cs="楷体"/>
          <w:b/>
          <w:bCs/>
          <w:sz w:val="32"/>
          <w:szCs w:val="32"/>
        </w:rPr>
        <w:t>总体绩效目标：</w:t>
      </w:r>
    </w:p>
    <w:p>
      <w:pPr>
        <w:spacing w:line="560" w:lineRule="exact"/>
        <w:ind w:firstLine="640" w:firstLineChars="200"/>
        <w:jc w:val="left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我局在县委、县政府和市交通运输局的正确领导下，认真落实各级绩效考核目标要求，切实改进作风，创新工作机制，提升服务效能；</w:t>
      </w:r>
    </w:p>
    <w:p>
      <w:pPr>
        <w:spacing w:line="560" w:lineRule="exact"/>
        <w:ind w:firstLine="643" w:firstLineChars="200"/>
        <w:jc w:val="left"/>
        <w:outlineLvl w:val="0"/>
        <w:rPr>
          <w:rFonts w:ascii="楷体_GB2312" w:hAnsi="黑体" w:eastAsia="楷体_GB2312" w:cs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 w:cs="楷体_GB2312"/>
          <w:b/>
          <w:bCs/>
          <w:sz w:val="32"/>
          <w:szCs w:val="32"/>
        </w:rPr>
        <w:t>部门职责及工作活动绩效目标指标：</w:t>
      </w:r>
      <w:bookmarkEnd w:id="0"/>
    </w:p>
    <w:p>
      <w:pPr>
        <w:spacing w:line="560" w:lineRule="exact"/>
        <w:ind w:firstLine="1920" w:firstLineChars="600"/>
        <w:outlineLvl w:val="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2560" w:firstLineChars="800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部门职责-工作活动绩效目标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tbl>
      <w:tblPr>
        <w:tblStyle w:val="4"/>
        <w:tblW w:w="962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881"/>
        <w:gridCol w:w="2054"/>
        <w:gridCol w:w="2055"/>
        <w:gridCol w:w="978"/>
        <w:gridCol w:w="509"/>
        <w:gridCol w:w="509"/>
        <w:gridCol w:w="508"/>
        <w:gridCol w:w="5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tblHeader/>
          <w:jc w:val="center"/>
        </w:trPr>
        <w:tc>
          <w:tcPr>
            <w:tcW w:w="7585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348</w:t>
            </w:r>
            <w:r>
              <w:rPr>
                <w:rFonts w:hint="eastAsia" w:ascii="方正小标宋_GBK" w:eastAsia="方正小标宋_GBK"/>
                <w:sz w:val="24"/>
              </w:rPr>
              <w:t>成安县交通局</w:t>
            </w:r>
          </w:p>
        </w:tc>
        <w:tc>
          <w:tcPr>
            <w:tcW w:w="20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tblHeader/>
          <w:jc w:val="center"/>
        </w:trPr>
        <w:tc>
          <w:tcPr>
            <w:tcW w:w="16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职责活动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年度预算数</w:t>
            </w:r>
          </w:p>
        </w:tc>
        <w:tc>
          <w:tcPr>
            <w:tcW w:w="205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内容描述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97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</w:t>
            </w:r>
          </w:p>
        </w:tc>
        <w:tc>
          <w:tcPr>
            <w:tcW w:w="20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tblHeader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978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优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良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中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  <w:jc w:val="center"/>
        </w:trPr>
        <w:tc>
          <w:tcPr>
            <w:tcW w:w="16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交通运输基础设施养护、维护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349.88</w:t>
            </w:r>
          </w:p>
        </w:tc>
        <w:tc>
          <w:tcPr>
            <w:tcW w:w="205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组织交通运输基础设施养护、维护，对招投标活动进行监督管理。</w:t>
            </w:r>
          </w:p>
        </w:tc>
        <w:tc>
          <w:tcPr>
            <w:tcW w:w="205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路基路面大中修公里；普通国省干线公路大中修里程公里，治理隐患里程公里；普通国省干线绿化里程公里，提升普通国省干线日常养护作业效率；对农村公路养护实施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以奖代补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；完善更新公路建设管理养护基础数据。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617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普通国省干线公路养护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对普通国省干线公路主体及其附属设施、设备进行保养中修、大修、维护等。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完成全年普通干线公路大中修里程公里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hint="eastAsia" w:ascii="方正书宋_GBK" w:eastAsia="方正书宋_GBK"/>
              </w:rPr>
              <w:t xml:space="preserve"> 治理隐患里程公里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hint="eastAsia" w:ascii="方正书宋_GBK" w:eastAsia="方正书宋_GBK"/>
              </w:rPr>
              <w:t xml:space="preserve">绿化里程公里， 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公路技术状况指数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年度普通干线公路养护工程量完成率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年度普通干线公路养护投资完成率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恢复设计功能（恢复率）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1617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农村公路养护以奖代补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32</w:t>
            </w:r>
          </w:p>
        </w:tc>
        <w:tc>
          <w:tcPr>
            <w:tcW w:w="2054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通过以奖代补等形式对农村公路保养与维护进行资金补助，引导带动各地加强农村公路养护。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恢复、提升农村公路原有技术指标，维护、完善交通工程、安全设施、服务管理等附属设施，保持良好的技术状况。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年度农村公路养护工程量完成率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年度农村公路养护投资完成率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617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公路建设管理养护基础数据采集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225</w:t>
            </w:r>
          </w:p>
        </w:tc>
        <w:tc>
          <w:tcPr>
            <w:tcW w:w="2054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通过公路各项指标地理信息、数据采集及桥梁隧道检测、交通量调查等方式，适时采集相关数据并及时更新；管理维护设备及数据采集信息系统。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按时、保质、保量完成数据采集分析，为公路管理提供依据和支持。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公路基础信息数据使用率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公路基础信息数据更新率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17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公路、水运工程养护监督和管理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对公路、水运工程及其设施养护工程质量安全及招投标活动进行监督和管理。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各项业务顺利开展，按时完成工作。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项目质量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工作质量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16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交通运输管理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承担全县综合运输体系的规划协调，指导城乡客运及有关设施规划和管理，对全县公路及其设施的建设和养护进行管理，指导出租汽车行业管理工作。</w:t>
            </w:r>
          </w:p>
        </w:tc>
        <w:tc>
          <w:tcPr>
            <w:tcW w:w="205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保障道路通畅，完成运输生产任务，确保安全生产，提高服务保障水平。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17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公路管理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对公路建设、养护、运营及路政、治理超限超载进行管理。审批公路建设项目施工图并进行现场管理，依法行使公路方面行政处罚权，对全县公路超限治理进行监督管理。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 xml:space="preserve"> 缓解繁忙路段交通压力；维护路产路权，治理超限运输，保障通行能力，提高服务水平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超限超载率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审批完成率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安全生产维稳控制目标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617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道路运输管理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对全县道路旅客运输、货物运输、从业人员、道路运输相关业务进行行业管理、市场监管及安全检查，依法行使道路运输行政许可、行政处罚强制权，监督检查有关道路运输法律法规的执行情况，对全县货运源头治超工作进行监督检查。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旅客周转量人公里，公路货物周转量吨公里。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安全生产控制目标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超限超载率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年营业性客货运周转量目标完成率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17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城市客运管理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对全县客运（含公共汽电车、出租汽车、汽车租赁）进行行业管理。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客运管理业务顺利开展，按时完成工作。并保障行业安全稳与稳定。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乘客满意率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安全生产维稳控制目标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地方成品油价格和税费改革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油价更好的控制，税费进一步完善</w:t>
            </w:r>
          </w:p>
        </w:tc>
        <w:tc>
          <w:tcPr>
            <w:tcW w:w="205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使成品油价格和税费得到稳固的改革目标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6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成品油和税费改革措施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按照上级要求，对地方成品油和税费进行改革</w:t>
            </w:r>
          </w:p>
        </w:tc>
        <w:tc>
          <w:tcPr>
            <w:tcW w:w="205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使成品油价格和税费得到稳固的改革目标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油价和税费改革得到的效益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6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交通政务管理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负责交通运输综合交通运输体系建设，综合业务管理和综合事物管理。</w:t>
            </w:r>
          </w:p>
        </w:tc>
        <w:tc>
          <w:tcPr>
            <w:tcW w:w="205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机动车维修与检测人员考试人次，信息管理系统正常运行，修订公路定额，应急事项处理及时，各项事务运行正常。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6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综合业务管理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指导交通运输行业继续教育和中等专业技术教育，开展行业干部教育培训。指导行业体制改革、安全生产和应急管理等</w:t>
            </w:r>
          </w:p>
        </w:tc>
        <w:tc>
          <w:tcPr>
            <w:tcW w:w="205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保障各项业务工作畅通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综合业务保障率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98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86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74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16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交通运输基础设施建设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按县政府规定权限审批、核准县规划内和年度计划规模内的固定资产投资项目，完成交通基础设施投资；对重点工程建设、工程质量和安全生产进行监管，对招投标活动进行监督管理。</w:t>
            </w:r>
          </w:p>
        </w:tc>
        <w:tc>
          <w:tcPr>
            <w:tcW w:w="205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 xml:space="preserve"> 普通干线公路投资总额亿元，在建里程公里；农村公路投资总额亿元，新增里程公里；保障交通基础设施建设项目质量；按时偿还到期公路建设贷款，无贷款违约。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16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普通国省干线公路建设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安排补助资金，组织实施各项普通国省干线公路建设，完成投资任务。</w:t>
            </w:r>
          </w:p>
        </w:tc>
        <w:tc>
          <w:tcPr>
            <w:tcW w:w="205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完成全年普通干线公路投资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年度普通干线公路建设项目工程质量合格率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96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69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58</w:t>
            </w:r>
          </w:p>
        </w:tc>
      </w:tr>
    </w:tbl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960" w:firstLineChars="3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六、政府采购预算情况</w:t>
      </w:r>
    </w:p>
    <w:p>
      <w:pPr>
        <w:spacing w:line="560" w:lineRule="exact"/>
        <w:outlineLvl w:val="0"/>
        <w:rPr>
          <w:rFonts w:ascii="宋体" w:hAnsi="宋体" w:eastAsia="宋体" w:cs="Times New Roman"/>
          <w:sz w:val="32"/>
          <w:szCs w:val="32"/>
        </w:rPr>
      </w:pPr>
      <w:bookmarkStart w:id="1" w:name="_Toc471398468"/>
      <w:r>
        <w:rPr>
          <w:rFonts w:ascii="宋体" w:hAnsi="宋体" w:eastAsia="宋体" w:cs="Times New Roman"/>
          <w:sz w:val="32"/>
          <w:szCs w:val="32"/>
        </w:rPr>
        <w:t>201</w:t>
      </w:r>
      <w:r>
        <w:rPr>
          <w:rFonts w:hint="eastAsia" w:ascii="宋体" w:hAnsi="宋体" w:eastAsia="宋体" w:cs="Times New Roman"/>
          <w:sz w:val="32"/>
          <w:szCs w:val="32"/>
        </w:rPr>
        <w:t>8</w:t>
      </w:r>
      <w:r>
        <w:rPr>
          <w:rFonts w:hint="eastAsia" w:ascii="宋体" w:hAnsi="宋体" w:eastAsia="宋体" w:cs="方正仿宋_GBK"/>
          <w:sz w:val="32"/>
          <w:szCs w:val="32"/>
        </w:rPr>
        <w:t>年，我单位安排政府采购预算12.65万元。具体内容见下表。</w:t>
      </w:r>
    </w:p>
    <w:p>
      <w:pPr>
        <w:spacing w:line="560" w:lineRule="exact"/>
        <w:ind w:firstLine="3200" w:firstLineChars="1000"/>
        <w:outlineLvl w:val="0"/>
        <w:rPr>
          <w:rFonts w:ascii="宋体" w:hAnsi="宋体" w:eastAsia="宋体" w:cs="方正小标宋_GBK"/>
          <w:sz w:val="32"/>
          <w:szCs w:val="32"/>
        </w:rPr>
      </w:pPr>
      <w:r>
        <w:rPr>
          <w:rFonts w:hint="eastAsia" w:ascii="宋体" w:hAnsi="宋体" w:eastAsia="宋体" w:cs="方正小标宋_GBK"/>
          <w:sz w:val="32"/>
          <w:szCs w:val="32"/>
        </w:rPr>
        <w:t>部门政府采购预算</w:t>
      </w:r>
      <w:bookmarkEnd w:id="1"/>
    </w:p>
    <w:p>
      <w:pPr>
        <w:spacing w:line="560" w:lineRule="exact"/>
        <w:jc w:val="center"/>
        <w:outlineLvl w:val="0"/>
        <w:rPr>
          <w:rFonts w:ascii="宋体" w:hAnsi="宋体" w:eastAsia="宋体" w:cs="方正小标宋_GBK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ascii="宋体" w:hAnsi="宋体" w:eastAsia="宋体" w:cs="方正小标宋_GBK"/>
          <w:sz w:val="32"/>
          <w:szCs w:val="32"/>
        </w:rPr>
      </w:pPr>
    </w:p>
    <w:tbl>
      <w:tblPr>
        <w:tblStyle w:val="4"/>
        <w:tblW w:w="906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819"/>
        <w:gridCol w:w="900"/>
        <w:gridCol w:w="695"/>
        <w:gridCol w:w="696"/>
        <w:gridCol w:w="572"/>
        <w:gridCol w:w="696"/>
        <w:gridCol w:w="727"/>
        <w:gridCol w:w="562"/>
        <w:gridCol w:w="562"/>
        <w:gridCol w:w="511"/>
        <w:gridCol w:w="551"/>
        <w:gridCol w:w="551"/>
        <w:gridCol w:w="5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08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方正小标宋_GBK"/>
                <w:sz w:val="24"/>
                <w:szCs w:val="24"/>
              </w:rPr>
              <w:t>部门（单位）名称</w:t>
            </w:r>
          </w:p>
        </w:tc>
        <w:tc>
          <w:tcPr>
            <w:tcW w:w="398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方正书宋_GBK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5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政府采购项目来源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采购物品名称</w:t>
            </w:r>
          </w:p>
        </w:tc>
        <w:tc>
          <w:tcPr>
            <w:tcW w:w="69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政府采购目录序号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数量单位</w:t>
            </w:r>
          </w:p>
        </w:tc>
        <w:tc>
          <w:tcPr>
            <w:tcW w:w="57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数量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单价</w:t>
            </w:r>
          </w:p>
        </w:tc>
        <w:tc>
          <w:tcPr>
            <w:tcW w:w="3980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政府采购金额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项目名称</w:t>
            </w:r>
          </w:p>
        </w:tc>
        <w:tc>
          <w:tcPr>
            <w:tcW w:w="81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预算资金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695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72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72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总计</w:t>
            </w:r>
          </w:p>
        </w:tc>
        <w:tc>
          <w:tcPr>
            <w:tcW w:w="273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当年部门预算安排资金</w:t>
            </w:r>
          </w:p>
        </w:tc>
        <w:tc>
          <w:tcPr>
            <w:tcW w:w="51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其他渠道资金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695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72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合计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一般公共预算拨款</w:t>
            </w:r>
          </w:p>
        </w:tc>
        <w:tc>
          <w:tcPr>
            <w:tcW w:w="51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基金预算拨款</w:t>
            </w: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财政专户核拨</w:t>
            </w: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其他来源收入</w:t>
            </w:r>
          </w:p>
        </w:tc>
        <w:tc>
          <w:tcPr>
            <w:tcW w:w="516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合　计</w:t>
            </w:r>
          </w:p>
        </w:tc>
        <w:tc>
          <w:tcPr>
            <w:tcW w:w="819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12.65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7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28</w:t>
            </w: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12.65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1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笔记本电脑</w:t>
            </w:r>
          </w:p>
        </w:tc>
        <w:tc>
          <w:tcPr>
            <w:tcW w:w="695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台</w:t>
            </w:r>
          </w:p>
        </w:tc>
        <w:tc>
          <w:tcPr>
            <w:tcW w:w="57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3</w:t>
            </w: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0.55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1.65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1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1.65</w:t>
            </w:r>
          </w:p>
        </w:tc>
        <w:tc>
          <w:tcPr>
            <w:tcW w:w="51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打印机</w:t>
            </w:r>
          </w:p>
        </w:tc>
        <w:tc>
          <w:tcPr>
            <w:tcW w:w="695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台</w:t>
            </w:r>
          </w:p>
        </w:tc>
        <w:tc>
          <w:tcPr>
            <w:tcW w:w="57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</w:t>
            </w: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0.25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1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</w:p>
        </w:tc>
        <w:tc>
          <w:tcPr>
            <w:tcW w:w="51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电脑</w:t>
            </w:r>
          </w:p>
        </w:tc>
        <w:tc>
          <w:tcPr>
            <w:tcW w:w="695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台</w:t>
            </w:r>
          </w:p>
        </w:tc>
        <w:tc>
          <w:tcPr>
            <w:tcW w:w="57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10</w:t>
            </w: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0.5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5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1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5</w:t>
            </w:r>
          </w:p>
        </w:tc>
        <w:tc>
          <w:tcPr>
            <w:tcW w:w="51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办公</w:t>
            </w:r>
          </w:p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家具</w:t>
            </w:r>
          </w:p>
        </w:tc>
        <w:tc>
          <w:tcPr>
            <w:tcW w:w="695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套</w:t>
            </w:r>
          </w:p>
        </w:tc>
        <w:tc>
          <w:tcPr>
            <w:tcW w:w="57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</w:t>
            </w: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0.4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1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</w:t>
            </w:r>
          </w:p>
        </w:tc>
        <w:tc>
          <w:tcPr>
            <w:tcW w:w="51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空调</w:t>
            </w:r>
          </w:p>
        </w:tc>
        <w:tc>
          <w:tcPr>
            <w:tcW w:w="695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台</w:t>
            </w:r>
          </w:p>
        </w:tc>
        <w:tc>
          <w:tcPr>
            <w:tcW w:w="57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6</w:t>
            </w: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0.5</w:t>
            </w:r>
          </w:p>
        </w:tc>
        <w:tc>
          <w:tcPr>
            <w:tcW w:w="727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1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</w:t>
            </w:r>
          </w:p>
        </w:tc>
        <w:tc>
          <w:tcPr>
            <w:tcW w:w="51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</w:tr>
    </w:tbl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宋体" w:hAnsi="宋体" w:eastAsia="宋体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七、国有资产信息</w:t>
      </w:r>
    </w:p>
    <w:p>
      <w:pPr>
        <w:spacing w:line="560" w:lineRule="exact"/>
        <w:ind w:firstLine="64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成安县交通运输部门（含所属单位）上年末固定资产金额为517.78万元，本年度拟购置固定资产主要为12.65万元。计算机设备、打印设备、空调、办公家具等，已列入政府采购预算。详见下表。</w:t>
      </w:r>
    </w:p>
    <w:tbl>
      <w:tblPr>
        <w:tblStyle w:val="4"/>
        <w:tblW w:w="906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9"/>
        <w:gridCol w:w="855"/>
        <w:gridCol w:w="4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部门固定资产占用情况表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编制部门：成安县交通运输局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550" w:firstLineChars="25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截止时间：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17年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4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价值（金额单位：万元）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资产总额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——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、房屋（平方米）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340.43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其中：办公用房（平方米）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、车辆（台、辆）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63.05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、单价在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万元以上的设备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、其他固定资产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114.3</w:t>
            </w:r>
          </w:p>
        </w:tc>
      </w:tr>
    </w:tbl>
    <w:p>
      <w:pPr>
        <w:autoSpaceDE w:val="0"/>
        <w:autoSpaceDN w:val="0"/>
        <w:adjustRightInd w:val="0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八、名词解释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1、财政拨款收入：指</w:t>
      </w:r>
      <w:r>
        <w:rPr>
          <w:rFonts w:hint="eastAsia" w:ascii="仿宋" w:hAnsi="仿宋" w:eastAsia="仿宋" w:cs="仿宋"/>
          <w:kern w:val="0"/>
          <w:sz w:val="32"/>
          <w:szCs w:val="32"/>
        </w:rPr>
        <w:t>财政当年拨付的资金。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2、“三公”经费：包括因公出国（境）费、公务接待费和公务用车购置及运行费。因公出国（境）费，指单位工作人员公务出国（境）的住宿费、差旅费、伙食补助费、杂费、培训费等支出。公务接待费，指单位按规定开支的各类公务接待（含外宾接待）支出。公务用车购置及运行费，指单位公务用车购置费及租用费、燃料费、维修费、等支出，公务用车指用于履行公务的机动车辆，包括领导干部专车、一般公务用车和执法执勤等业务用车。 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3、年初结转和结余：指以前年度尚未完成，结转到本年仍按照原规定用途继续使用的资金，或项目已完成等产生的结余资金。  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4、基本支出：指单位为了保障其正常运转、完成日常工作任务而发生的人员支出和公用支出。  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5、项目支出：指单位为了特定的工作任务和事业发展目标，在基本支出之外所发生的支出。</w:t>
      </w:r>
    </w:p>
    <w:p>
      <w:pPr>
        <w:tabs>
          <w:tab w:val="left" w:pos="11490"/>
        </w:tabs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九、其它需要说明的事项</w:t>
      </w:r>
    </w:p>
    <w:p>
      <w:pPr>
        <w:tabs>
          <w:tab w:val="left" w:pos="11490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无其它需要说明的事项。</w:t>
      </w:r>
    </w:p>
    <w:p>
      <w:pPr>
        <w:spacing w:line="560" w:lineRule="exact"/>
        <w:ind w:firstLine="645"/>
        <w:rPr>
          <w:rFonts w:ascii="黑体" w:hAnsi="黑体" w:eastAsia="黑体" w:cs="Times New Roman"/>
          <w:sz w:val="32"/>
          <w:szCs w:val="32"/>
        </w:rPr>
      </w:pPr>
    </w:p>
    <w:p>
      <w:pPr>
        <w:spacing w:line="560" w:lineRule="exact"/>
        <w:ind w:firstLine="645"/>
        <w:rPr>
          <w:rFonts w:ascii="仿宋" w:hAnsi="仿宋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" w:hAnsi="仿宋" w:eastAsia="仿宋" w:cs="Times New Roman"/>
        <w:sz w:val="32"/>
        <w:szCs w:val="32"/>
      </w:rPr>
    </w:pPr>
    <w:r>
      <w:rPr>
        <w:rFonts w:ascii="仿宋" w:hAnsi="仿宋" w:eastAsia="仿宋" w:cs="仿宋"/>
        <w:sz w:val="32"/>
        <w:szCs w:val="32"/>
      </w:rPr>
      <w:fldChar w:fldCharType="begin"/>
    </w:r>
    <w:r>
      <w:rPr>
        <w:rFonts w:ascii="仿宋" w:hAnsi="仿宋" w:eastAsia="仿宋" w:cs="仿宋"/>
        <w:sz w:val="32"/>
        <w:szCs w:val="32"/>
      </w:rPr>
      <w:instrText xml:space="preserve">PAGE   \* MERGEFORMAT</w:instrText>
    </w:r>
    <w:r>
      <w:rPr>
        <w:rFonts w:ascii="仿宋" w:hAnsi="仿宋" w:eastAsia="仿宋" w:cs="仿宋"/>
        <w:sz w:val="32"/>
        <w:szCs w:val="32"/>
      </w:rPr>
      <w:fldChar w:fldCharType="separate"/>
    </w:r>
    <w:r>
      <w:rPr>
        <w:rFonts w:ascii="仿宋" w:hAnsi="仿宋" w:eastAsia="仿宋" w:cs="仿宋"/>
        <w:sz w:val="32"/>
        <w:szCs w:val="32"/>
        <w:lang w:val="zh-CN"/>
      </w:rPr>
      <w:t>6</w:t>
    </w:r>
    <w:r>
      <w:rPr>
        <w:rFonts w:ascii="仿宋" w:hAnsi="仿宋" w:eastAsia="仿宋" w:cs="仿宋"/>
        <w:sz w:val="32"/>
        <w:szCs w:val="32"/>
      </w:rPr>
      <w:fldChar w:fldCharType="end"/>
    </w:r>
  </w:p>
  <w:p>
    <w:pPr>
      <w:pStyle w:val="2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CCB38"/>
    <w:multiLevelType w:val="singleLevel"/>
    <w:tmpl w:val="58BCCB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DNlMjE1N2Y2ZWMzZDU0NzU4ZTI4ZDNiMDE1NmRhZWYifQ=="/>
  </w:docVars>
  <w:rsids>
    <w:rsidRoot w:val="00524AAA"/>
    <w:rsid w:val="000A796E"/>
    <w:rsid w:val="00101201"/>
    <w:rsid w:val="00101C7A"/>
    <w:rsid w:val="00131928"/>
    <w:rsid w:val="001A3CB4"/>
    <w:rsid w:val="001E0232"/>
    <w:rsid w:val="00206B22"/>
    <w:rsid w:val="002307B5"/>
    <w:rsid w:val="002C0317"/>
    <w:rsid w:val="00325594"/>
    <w:rsid w:val="0037750D"/>
    <w:rsid w:val="003C4C5D"/>
    <w:rsid w:val="003D1126"/>
    <w:rsid w:val="003D1369"/>
    <w:rsid w:val="003D22B1"/>
    <w:rsid w:val="004150B7"/>
    <w:rsid w:val="00453A06"/>
    <w:rsid w:val="00524AAA"/>
    <w:rsid w:val="005412A2"/>
    <w:rsid w:val="005730D6"/>
    <w:rsid w:val="005F4345"/>
    <w:rsid w:val="0068144F"/>
    <w:rsid w:val="00747D9E"/>
    <w:rsid w:val="007775CB"/>
    <w:rsid w:val="007B4EB3"/>
    <w:rsid w:val="007C484E"/>
    <w:rsid w:val="007F0D2E"/>
    <w:rsid w:val="00825F97"/>
    <w:rsid w:val="008327A0"/>
    <w:rsid w:val="00933068"/>
    <w:rsid w:val="00973104"/>
    <w:rsid w:val="00990CB9"/>
    <w:rsid w:val="009B2D48"/>
    <w:rsid w:val="009C264C"/>
    <w:rsid w:val="009F0612"/>
    <w:rsid w:val="00A12AE7"/>
    <w:rsid w:val="00A15ADE"/>
    <w:rsid w:val="00A6455D"/>
    <w:rsid w:val="00A95F51"/>
    <w:rsid w:val="00A9676E"/>
    <w:rsid w:val="00AC6968"/>
    <w:rsid w:val="00AE416F"/>
    <w:rsid w:val="00B13EFE"/>
    <w:rsid w:val="00B50088"/>
    <w:rsid w:val="00B500A4"/>
    <w:rsid w:val="00BA40C6"/>
    <w:rsid w:val="00BA6B82"/>
    <w:rsid w:val="00CA555B"/>
    <w:rsid w:val="00CD0F72"/>
    <w:rsid w:val="00D27A25"/>
    <w:rsid w:val="00D312BA"/>
    <w:rsid w:val="00D73351"/>
    <w:rsid w:val="00E000C9"/>
    <w:rsid w:val="00E24B37"/>
    <w:rsid w:val="00E474B2"/>
    <w:rsid w:val="00E87B0C"/>
    <w:rsid w:val="00E91C36"/>
    <w:rsid w:val="00F14752"/>
    <w:rsid w:val="00F311AF"/>
    <w:rsid w:val="00F66032"/>
    <w:rsid w:val="00FB5EA2"/>
    <w:rsid w:val="00FF3FE2"/>
    <w:rsid w:val="0D357E43"/>
    <w:rsid w:val="0D7A2D8A"/>
    <w:rsid w:val="13421F91"/>
    <w:rsid w:val="184032A0"/>
    <w:rsid w:val="1EB10E92"/>
    <w:rsid w:val="26CE6F6C"/>
    <w:rsid w:val="2777798C"/>
    <w:rsid w:val="2B2A4C38"/>
    <w:rsid w:val="3336020C"/>
    <w:rsid w:val="444A6A95"/>
    <w:rsid w:val="459911D2"/>
    <w:rsid w:val="48DD0335"/>
    <w:rsid w:val="494447AB"/>
    <w:rsid w:val="506A55C5"/>
    <w:rsid w:val="50FE5FE4"/>
    <w:rsid w:val="51751B0B"/>
    <w:rsid w:val="57B940A4"/>
    <w:rsid w:val="58120EF7"/>
    <w:rsid w:val="5BAF22D6"/>
    <w:rsid w:val="5EAB2628"/>
    <w:rsid w:val="634E0237"/>
    <w:rsid w:val="67D4423F"/>
    <w:rsid w:val="6C1B62C7"/>
    <w:rsid w:val="76386D63"/>
    <w:rsid w:val="767A20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link w:val="2"/>
    <w:qFormat/>
    <w:locked/>
    <w:uiPriority w:val="99"/>
    <w:rPr>
      <w:rFonts w:cs="Times New Roman"/>
      <w:sz w:val="18"/>
      <w:szCs w:val="18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4214</Words>
  <Characters>4412</Characters>
  <Lines>6</Lines>
  <Paragraphs>10</Paragraphs>
  <TotalTime>4</TotalTime>
  <ScaleCrop>false</ScaleCrop>
  <LinksUpToDate>false</LinksUpToDate>
  <CharactersWithSpaces>4491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2017-11-10T09:22:00Z</dcterms:created>
  <dc:creator>旭东</dc:creator>
  <cp:lastModifiedBy>Administrator</cp:lastModifiedBy>
  <dcterms:modified xsi:type="dcterms:W3CDTF">2024-01-18T09:39:24Z</dcterms:modified>
  <dc:title>2017年部门预算公开督导整改要求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3FD1605B8B344CC4AAA70CB6FB216D6A_12</vt:lpwstr>
  </property>
</Properties>
</file>