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sz w:val="44"/>
          <w:szCs w:val="44"/>
        </w:rPr>
      </w:pPr>
    </w:p>
    <w:p>
      <w:pPr>
        <w:jc w:val="center"/>
        <w:rPr>
          <w:rFonts w:ascii="黑体" w:hAnsi="黑体" w:eastAsia="黑体" w:cs="宋体"/>
          <w:b/>
          <w:sz w:val="44"/>
          <w:szCs w:val="44"/>
        </w:rPr>
      </w:pPr>
      <w:bookmarkStart w:id="0" w:name="_GoBack"/>
      <w:r>
        <w:rPr>
          <w:rFonts w:hint="eastAsia" w:ascii="黑体" w:hAnsi="黑体" w:eastAsia="黑体" w:cs="宋体"/>
          <w:b/>
          <w:sz w:val="44"/>
          <w:szCs w:val="44"/>
        </w:rPr>
        <w:t>成安县教育体育局2018年部门预算公开</w:t>
      </w:r>
    </w:p>
    <w:p>
      <w:pPr>
        <w:jc w:val="center"/>
        <w:rPr>
          <w:rFonts w:ascii="黑体" w:hAnsi="黑体" w:eastAsia="黑体" w:cs="宋体"/>
          <w:b/>
          <w:sz w:val="44"/>
          <w:szCs w:val="44"/>
        </w:rPr>
      </w:pPr>
      <w:r>
        <w:rPr>
          <w:rFonts w:hint="eastAsia" w:ascii="黑体" w:hAnsi="黑体" w:eastAsia="黑体" w:cs="宋体"/>
          <w:b/>
          <w:sz w:val="44"/>
          <w:szCs w:val="44"/>
        </w:rPr>
        <w:t>情况说明</w:t>
      </w:r>
    </w:p>
    <w:bookmarkEnd w:id="0"/>
    <w:p>
      <w:pPr>
        <w:jc w:val="center"/>
        <w:rPr>
          <w:rFonts w:ascii="Times New Roman" w:hAnsi="Times New Roman" w:cs="Times New Roman"/>
          <w:sz w:val="44"/>
          <w:szCs w:val="44"/>
        </w:rPr>
      </w:pPr>
    </w:p>
    <w:p>
      <w:pPr>
        <w:widowControl/>
        <w:numPr>
          <w:ilvl w:val="0"/>
          <w:numId w:val="1"/>
        </w:numPr>
        <w:spacing w:line="360" w:lineRule="auto"/>
        <w:ind w:firstLine="64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部门职责及机构设置情况</w:t>
      </w:r>
    </w:p>
    <w:p>
      <w:pPr>
        <w:widowControl/>
        <w:spacing w:line="360" w:lineRule="auto"/>
        <w:ind w:firstLine="640"/>
        <w:jc w:val="left"/>
        <w:rPr>
          <w:rFonts w:ascii="仿宋" w:hAnsi="仿宋" w:eastAsia="仿宋" w:cs="仿宋_GB2312"/>
          <w:b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kern w:val="0"/>
          <w:sz w:val="32"/>
          <w:szCs w:val="32"/>
        </w:rPr>
        <w:t>部门职责：</w:t>
      </w:r>
    </w:p>
    <w:p>
      <w:pPr>
        <w:widowControl/>
        <w:spacing w:line="360" w:lineRule="auto"/>
        <w:ind w:firstLine="64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（一）贯彻执行全县文化、教育、体育工作路线、方针、政策、法令和规章制度，制订具体实施计划，并组织实施；</w:t>
      </w:r>
    </w:p>
    <w:p>
      <w:pPr>
        <w:widowControl/>
        <w:spacing w:line="360" w:lineRule="auto"/>
        <w:ind w:firstLine="64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（二）研究制订全县各级教育事业长远规划和年度规划，协调、处理执行过程中的有关问题；</w:t>
      </w:r>
    </w:p>
    <w:p>
      <w:pPr>
        <w:widowControl/>
        <w:spacing w:line="360" w:lineRule="auto"/>
        <w:ind w:firstLine="64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（三）指导各级各类学校的德育、智育、体育、美育、劳动技术教育、开展勤工俭学；负责对所属单位干部、职工队伍的配备、考核、评估、奖惩；</w:t>
      </w:r>
    </w:p>
    <w:p>
      <w:pPr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（四）</w:t>
      </w:r>
      <w:r>
        <w:rPr>
          <w:rFonts w:hint="eastAsia" w:ascii="仿宋" w:hAnsi="仿宋" w:eastAsia="仿宋" w:cs="Times New Roman"/>
          <w:sz w:val="32"/>
          <w:szCs w:val="32"/>
        </w:rPr>
        <w:t>管理全县文化、教育、体育经费管理和监督、检查经费的使用情况。</w:t>
      </w:r>
    </w:p>
    <w:p>
      <w:pPr>
        <w:widowControl/>
        <w:spacing w:line="360" w:lineRule="auto"/>
        <w:ind w:firstLine="64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（五）指导配合各部门、各行业、各社会团体开展体育活动，推动群众体育社会化；</w:t>
      </w:r>
    </w:p>
    <w:p>
      <w:pPr>
        <w:widowControl/>
        <w:spacing w:line="360" w:lineRule="auto"/>
        <w:ind w:firstLine="64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（六）制订全县性体育竞赛计划，承办上级体育竞赛，指导全县体育竞赛工作；</w:t>
      </w:r>
    </w:p>
    <w:p>
      <w:pPr>
        <w:widowControl/>
        <w:spacing w:line="360" w:lineRule="auto"/>
        <w:ind w:firstLine="627" w:firstLineChars="196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（七）完成上级业务部门、县委、人大、政府、政协、纪检等交办的各项工作。</w:t>
      </w:r>
    </w:p>
    <w:p>
      <w:pPr>
        <w:widowControl/>
        <w:spacing w:line="360" w:lineRule="auto"/>
        <w:ind w:firstLine="630" w:firstLineChars="196"/>
        <w:jc w:val="left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人员编制和领导职数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人员编制79名，其中领导职数6个。</w:t>
      </w:r>
    </w:p>
    <w:p>
      <w:pPr>
        <w:widowControl/>
        <w:spacing w:line="360" w:lineRule="auto"/>
        <w:ind w:firstLine="640"/>
        <w:jc w:val="left"/>
        <w:rPr>
          <w:rFonts w:ascii="仿宋" w:hAnsi="仿宋" w:eastAsia="仿宋" w:cs="仿宋_GB2312"/>
          <w:kern w:val="0"/>
          <w:sz w:val="32"/>
          <w:szCs w:val="32"/>
        </w:rPr>
      </w:pPr>
    </w:p>
    <w:p>
      <w:pPr>
        <w:widowControl/>
        <w:spacing w:line="360" w:lineRule="auto"/>
        <w:ind w:firstLine="643" w:firstLineChars="200"/>
        <w:jc w:val="left"/>
        <w:rPr>
          <w:rFonts w:ascii="仿宋" w:hAnsi="仿宋" w:eastAsia="仿宋" w:cs="仿宋_GB2312"/>
          <w:b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kern w:val="0"/>
          <w:sz w:val="32"/>
          <w:szCs w:val="32"/>
        </w:rPr>
        <w:t>机构设置：</w:t>
      </w:r>
    </w:p>
    <w:p>
      <w:pPr>
        <w:widowControl/>
        <w:spacing w:line="360" w:lineRule="auto"/>
        <w:ind w:firstLine="643" w:firstLineChars="200"/>
        <w:jc w:val="left"/>
        <w:rPr>
          <w:rFonts w:ascii="仿宋" w:hAnsi="仿宋" w:eastAsia="仿宋" w:cs="仿宋_GB2312"/>
          <w:b/>
          <w:kern w:val="0"/>
          <w:sz w:val="32"/>
          <w:szCs w:val="32"/>
        </w:rPr>
      </w:pPr>
    </w:p>
    <w:p>
      <w:pPr>
        <w:widowControl/>
        <w:spacing w:line="360" w:lineRule="auto"/>
        <w:ind w:firstLine="643" w:firstLineChars="200"/>
        <w:jc w:val="center"/>
        <w:rPr>
          <w:rFonts w:ascii="仿宋" w:hAnsi="仿宋" w:eastAsia="仿宋" w:cs="仿宋_GB2312"/>
          <w:bCs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kern w:val="0"/>
          <w:sz w:val="32"/>
          <w:szCs w:val="32"/>
        </w:rPr>
        <w:t>部门内设机构及职责</w:t>
      </w:r>
    </w:p>
    <w:tbl>
      <w:tblPr>
        <w:tblStyle w:val="8"/>
        <w:tblW w:w="10735" w:type="dxa"/>
        <w:tblInd w:w="-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3"/>
        <w:gridCol w:w="1554"/>
        <w:gridCol w:w="1545"/>
        <w:gridCol w:w="3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933" w:type="dxa"/>
          </w:tcPr>
          <w:p>
            <w:pPr>
              <w:pStyle w:val="6"/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</w:t>
            </w:r>
          </w:p>
        </w:tc>
        <w:tc>
          <w:tcPr>
            <w:tcW w:w="1554" w:type="dxa"/>
          </w:tcPr>
          <w:p>
            <w:pPr>
              <w:pStyle w:val="6"/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单位性质</w:t>
            </w:r>
          </w:p>
        </w:tc>
        <w:tc>
          <w:tcPr>
            <w:tcW w:w="1545" w:type="dxa"/>
          </w:tcPr>
          <w:p>
            <w:pPr>
              <w:pStyle w:val="6"/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单位规格</w:t>
            </w:r>
          </w:p>
        </w:tc>
        <w:tc>
          <w:tcPr>
            <w:tcW w:w="3703" w:type="dxa"/>
          </w:tcPr>
          <w:p>
            <w:pPr>
              <w:pStyle w:val="6"/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经费保障形式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933" w:type="dxa"/>
          </w:tcPr>
          <w:p>
            <w:pPr>
              <w:pStyle w:val="6"/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成安县教育体育局</w:t>
            </w:r>
          </w:p>
        </w:tc>
        <w:tc>
          <w:tcPr>
            <w:tcW w:w="1554" w:type="dxa"/>
          </w:tcPr>
          <w:p>
            <w:pPr>
              <w:pStyle w:val="6"/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行政</w:t>
            </w:r>
          </w:p>
        </w:tc>
        <w:tc>
          <w:tcPr>
            <w:tcW w:w="1545" w:type="dxa"/>
          </w:tcPr>
          <w:p>
            <w:pPr>
              <w:pStyle w:val="6"/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正科级</w:t>
            </w:r>
          </w:p>
        </w:tc>
        <w:tc>
          <w:tcPr>
            <w:tcW w:w="3703" w:type="dxa"/>
          </w:tcPr>
          <w:p>
            <w:pPr>
              <w:pStyle w:val="6"/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财政拨款</w:t>
            </w:r>
          </w:p>
        </w:tc>
      </w:tr>
    </w:tbl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_GB2312"/>
          <w:b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>成安县教育体育局，预算编码130424360，包含25个二级预算单位，内设7个内部机构。</w:t>
      </w:r>
    </w:p>
    <w:p>
      <w:pPr>
        <w:widowControl/>
        <w:spacing w:line="360" w:lineRule="auto"/>
        <w:ind w:firstLine="630" w:firstLineChars="196"/>
        <w:jc w:val="left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办公室</w:t>
      </w:r>
    </w:p>
    <w:p>
      <w:pPr>
        <w:widowControl/>
        <w:spacing w:line="360" w:lineRule="auto"/>
        <w:jc w:val="left"/>
        <w:rPr>
          <w:rFonts w:ascii="仿宋" w:hAnsi="仿宋" w:eastAsia="仿宋" w:cs="仿宋_GB2312"/>
          <w:bCs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 xml:space="preserve">    主要负责：负责机关政务管理，组织筹备全局性会议；制订文教体育局事业发展规划和工作总结；负责管理机关文秘、信息、信访、保密、保卫、资料、普法、目标考核及后勤保障工作。</w:t>
      </w:r>
    </w:p>
    <w:p>
      <w:pPr>
        <w:widowControl/>
        <w:spacing w:line="360" w:lineRule="auto"/>
        <w:ind w:firstLine="630" w:firstLineChars="196"/>
        <w:jc w:val="left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人事股</w:t>
      </w:r>
    </w:p>
    <w:p>
      <w:pPr>
        <w:widowControl/>
        <w:spacing w:line="360" w:lineRule="auto"/>
        <w:ind w:firstLine="640"/>
        <w:jc w:val="left"/>
        <w:rPr>
          <w:rFonts w:ascii="仿宋" w:hAnsi="仿宋" w:eastAsia="仿宋" w:cs="仿宋_GB2312"/>
          <w:bCs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>主要负责：协助编制、组织、人事部门对所属股级班子考察配备；根据空岗缺编情况，提交申请编制报告；接收师范类毕业生报到、招聘工作；负责本系统人事管理、劳动工资、职称评定、教师资格认定、年度考核工作；负责人事档案管理、计划生育、610工作、老干部及关心下一代工作。</w:t>
      </w:r>
    </w:p>
    <w:p>
      <w:pPr>
        <w:widowControl/>
        <w:spacing w:line="360" w:lineRule="auto"/>
        <w:ind w:firstLine="630" w:firstLineChars="196"/>
        <w:jc w:val="left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教育股</w:t>
      </w:r>
    </w:p>
    <w:p>
      <w:pPr>
        <w:widowControl/>
        <w:spacing w:line="360" w:lineRule="auto"/>
        <w:ind w:firstLine="640"/>
        <w:jc w:val="left"/>
        <w:rPr>
          <w:rFonts w:ascii="仿宋" w:hAnsi="仿宋" w:eastAsia="仿宋" w:cs="仿宋_GB2312"/>
          <w:bCs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>主要负责：制订全县基础教育、职业教育规划和年度计划；指导和推进九年义务教育实施，加快普及高中段教育，搞好中小学布局调整；负责各类学校教育管理、学籍管理、教师进修、幼儿教育，社会力量办学及教育教学目标管理评估奖惩工作；负责全县教育系统推广普通话。</w:t>
      </w:r>
    </w:p>
    <w:p>
      <w:pPr>
        <w:widowControl/>
        <w:spacing w:line="360" w:lineRule="auto"/>
        <w:ind w:firstLine="630" w:firstLineChars="196"/>
        <w:jc w:val="left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计财股</w:t>
      </w:r>
    </w:p>
    <w:p>
      <w:pPr>
        <w:widowControl/>
        <w:spacing w:line="360" w:lineRule="auto"/>
        <w:ind w:firstLine="640"/>
        <w:jc w:val="left"/>
        <w:rPr>
          <w:rFonts w:ascii="仿宋" w:hAnsi="仿宋" w:eastAsia="仿宋" w:cs="仿宋_GB2312"/>
          <w:bCs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>主要负责：制订文化、教育、体育事业经费计划、分配；负责多渠道筹资、标准化学校建设、危旧校舍改造和固定资产投入；负责财务统计、管理及财会队体建设、监督、机关后勤工作。</w:t>
      </w:r>
    </w:p>
    <w:p>
      <w:pPr>
        <w:widowControl/>
        <w:spacing w:line="360" w:lineRule="auto"/>
        <w:ind w:firstLine="630" w:firstLineChars="196"/>
        <w:jc w:val="left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体卫股</w:t>
      </w:r>
    </w:p>
    <w:p>
      <w:pPr>
        <w:widowControl/>
        <w:spacing w:line="360" w:lineRule="auto"/>
        <w:ind w:firstLine="640"/>
        <w:jc w:val="left"/>
        <w:rPr>
          <w:rFonts w:ascii="仿宋" w:hAnsi="仿宋" w:eastAsia="仿宋" w:cs="仿宋_GB2312"/>
          <w:bCs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>主要负责：全县学校体育卫生保健工作；负责全县体育运动会的计划和组织筹备工作；指导中小学体育教育改革；组织裁判员、教练员队伍建设培训及初中毕业生体育加试工作；负责成人教育工作。</w:t>
      </w:r>
    </w:p>
    <w:p>
      <w:pPr>
        <w:widowControl/>
        <w:spacing w:line="360" w:lineRule="auto"/>
        <w:ind w:firstLine="630" w:firstLineChars="196"/>
        <w:jc w:val="left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社会文化股</w:t>
      </w:r>
    </w:p>
    <w:p>
      <w:pPr>
        <w:widowControl/>
        <w:spacing w:line="360" w:lineRule="auto"/>
        <w:ind w:firstLine="640"/>
        <w:jc w:val="left"/>
        <w:rPr>
          <w:rFonts w:ascii="仿宋" w:hAnsi="仿宋" w:eastAsia="仿宋" w:cs="仿宋_GB2312"/>
          <w:bCs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>主要负责：综合管理社会文化艺术事业，制订、实施全县文化事业发展战略中长期发展规划；组织、协调全县重大文化艺术和社会文化活动，指导开展群众文化活动；做好全县文物保护、开发和利用工作；加强文化队伍建设，制订和实施人才培养规划，组织开展政策法规和职业技能培训；开展对外文化交流工作。</w:t>
      </w:r>
    </w:p>
    <w:p>
      <w:pPr>
        <w:widowControl/>
        <w:spacing w:line="360" w:lineRule="auto"/>
        <w:ind w:firstLine="630" w:firstLineChars="196"/>
        <w:jc w:val="left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社会事业股</w:t>
      </w:r>
    </w:p>
    <w:p>
      <w:pPr>
        <w:widowControl/>
        <w:spacing w:line="360" w:lineRule="auto"/>
        <w:ind w:firstLine="480" w:firstLineChars="150"/>
        <w:jc w:val="left"/>
        <w:rPr>
          <w:rFonts w:ascii="仿宋" w:hAnsi="仿宋" w:eastAsia="仿宋" w:cs="仿宋_GB2312"/>
          <w:bCs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 xml:space="preserve"> 主要负责：广播电影电视工作行政管理，包括广播电视节目、卫星电视节目收录，通过信息网络向公众传播电视节目市场，依法查处破坏广播电视设施等行为；全面挺好全县文化市场的监督、管理工作、认真做好“扫黄打非”工作，维护市场秩序。</w:t>
      </w:r>
    </w:p>
    <w:p>
      <w:pPr>
        <w:widowControl/>
        <w:numPr>
          <w:ilvl w:val="0"/>
          <w:numId w:val="1"/>
        </w:numPr>
        <w:spacing w:line="360" w:lineRule="auto"/>
        <w:ind w:firstLine="64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部门预算安排总体情况</w:t>
      </w:r>
    </w:p>
    <w:p>
      <w:pPr>
        <w:widowControl/>
        <w:spacing w:line="360" w:lineRule="auto"/>
        <w:ind w:firstLine="630" w:firstLineChars="196"/>
        <w:jc w:val="left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1、收入说明</w:t>
      </w:r>
    </w:p>
    <w:p>
      <w:pPr>
        <w:widowControl/>
        <w:spacing w:line="360" w:lineRule="auto"/>
        <w:ind w:firstLine="627" w:firstLineChars="19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2018年部门收入预算总额为</w:t>
      </w:r>
      <w:r>
        <w:rPr>
          <w:rFonts w:hint="eastAsia" w:ascii="仿宋" w:hAnsi="仿宋" w:eastAsia="仿宋" w:cs="仿宋_GB2312"/>
          <w:sz w:val="32"/>
          <w:szCs w:val="32"/>
        </w:rPr>
        <w:t>25233.86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</w:rPr>
        <w:t>其中：一般公共预算收入</w:t>
      </w:r>
      <w:r>
        <w:rPr>
          <w:rFonts w:hint="eastAsia" w:ascii="仿宋" w:hAnsi="仿宋" w:eastAsia="仿宋" w:cs="仿宋_GB2312"/>
          <w:sz w:val="32"/>
          <w:szCs w:val="32"/>
        </w:rPr>
        <w:t>25233.86</w:t>
      </w:r>
      <w:r>
        <w:rPr>
          <w:rFonts w:hint="eastAsia" w:ascii="仿宋" w:hAnsi="仿宋" w:eastAsia="仿宋" w:cs="仿宋"/>
          <w:sz w:val="32"/>
          <w:szCs w:val="32"/>
        </w:rPr>
        <w:t>万元，政府性基金收入0万元，国有资本经营收入0万元，事业收入0万元，其他收入0万元。</w:t>
      </w:r>
    </w:p>
    <w:p>
      <w:pPr>
        <w:widowControl/>
        <w:spacing w:line="360" w:lineRule="auto"/>
        <w:ind w:firstLine="630" w:firstLineChars="196"/>
        <w:jc w:val="left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2、支出说明</w:t>
      </w:r>
    </w:p>
    <w:p>
      <w:pPr>
        <w:widowControl/>
        <w:spacing w:line="360" w:lineRule="auto"/>
        <w:ind w:firstLine="627" w:firstLineChars="196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部门支出预算总额为</w:t>
      </w:r>
      <w:r>
        <w:rPr>
          <w:rFonts w:hint="eastAsia" w:ascii="仿宋" w:hAnsi="仿宋" w:eastAsia="仿宋" w:cs="仿宋_GB2312"/>
          <w:sz w:val="32"/>
          <w:szCs w:val="32"/>
        </w:rPr>
        <w:t>25233.86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万元，其中：人员经费支出25211.94万元，项目经费0万元。</w:t>
      </w:r>
    </w:p>
    <w:p>
      <w:pPr>
        <w:widowControl/>
        <w:spacing w:line="360" w:lineRule="auto"/>
        <w:ind w:firstLine="630" w:firstLineChars="196"/>
        <w:jc w:val="left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3、比上年增减情况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2018</w:t>
      </w:r>
      <w:r>
        <w:rPr>
          <w:rFonts w:ascii="仿宋" w:hAnsi="仿宋" w:eastAsia="仿宋" w:cs="仿宋_GB2312"/>
          <w:kern w:val="0"/>
          <w:sz w:val="32"/>
          <w:szCs w:val="32"/>
        </w:rPr>
        <w:t>年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预算收支安排25233.86万元，比去年减少了2854.02万元，主要原因是</w:t>
      </w:r>
      <w:r>
        <w:rPr>
          <w:rFonts w:hint="eastAsia" w:ascii="仿宋" w:hAnsi="仿宋" w:eastAsia="仿宋" w:cs="仿宋"/>
          <w:sz w:val="32"/>
          <w:szCs w:val="32"/>
        </w:rPr>
        <w:t>项目资金减少。</w:t>
      </w:r>
    </w:p>
    <w:p>
      <w:pPr>
        <w:pStyle w:val="12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仿宋" w:hAnsi="仿宋" w:eastAsia="仿宋" w:cs="仿宋_GB2312"/>
          <w:b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kern w:val="0"/>
          <w:sz w:val="32"/>
          <w:szCs w:val="32"/>
        </w:rPr>
        <w:t>机关运行经费安排情况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2018年，我单位安排机关运行费10万元，包括：办公费、差旅费、印刷费、手续费、培训费、公务接待费等日常运行支出。</w:t>
      </w:r>
    </w:p>
    <w:p>
      <w:pPr>
        <w:autoSpaceDE w:val="0"/>
        <w:autoSpaceDN w:val="0"/>
        <w:adjustRightInd w:val="0"/>
        <w:ind w:firstLine="640"/>
        <w:jc w:val="left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三、财政拨款</w:t>
      </w:r>
      <w:r>
        <w:rPr>
          <w:rFonts w:ascii="仿宋" w:hAnsi="仿宋" w:eastAsia="仿宋" w:cs="Times New Roman"/>
          <w:b/>
          <w:sz w:val="32"/>
          <w:szCs w:val="32"/>
        </w:rPr>
        <w:t>“</w:t>
      </w:r>
      <w:r>
        <w:rPr>
          <w:rFonts w:hint="eastAsia" w:ascii="仿宋" w:hAnsi="仿宋" w:eastAsia="仿宋" w:cs="Times New Roman"/>
          <w:b/>
          <w:sz w:val="32"/>
          <w:szCs w:val="32"/>
        </w:rPr>
        <w:t>三公</w:t>
      </w:r>
      <w:r>
        <w:rPr>
          <w:rFonts w:ascii="仿宋" w:hAnsi="仿宋" w:eastAsia="仿宋" w:cs="Times New Roman"/>
          <w:b/>
          <w:sz w:val="32"/>
          <w:szCs w:val="32"/>
        </w:rPr>
        <w:t>”</w:t>
      </w:r>
      <w:r>
        <w:rPr>
          <w:rFonts w:hint="eastAsia" w:ascii="仿宋" w:hAnsi="仿宋" w:eastAsia="仿宋" w:cs="Times New Roman"/>
          <w:b/>
          <w:sz w:val="32"/>
          <w:szCs w:val="32"/>
        </w:rPr>
        <w:t>经费预算情况及增减变化原因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2018年，我单位“三公”预算支出1万元，其中，因公出国（境）费0元，安排公务用车维护费0.3万元，（其中公务用车购置费0元，公务用车运行维护费0.3万元），公务接等费0.2万元，会议费0.5万元，与2017年减少76%。由于2016年公车拍卖，2017年实行车补，</w:t>
      </w:r>
      <w:r>
        <w:rPr>
          <w:rFonts w:hint="eastAsia" w:ascii="仿宋" w:hAnsi="仿宋" w:eastAsia="仿宋" w:cs="仿宋"/>
          <w:kern w:val="0"/>
          <w:sz w:val="32"/>
          <w:szCs w:val="32"/>
        </w:rPr>
        <w:t>车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改以后单位实施节约制度，油修费预算安排减少。</w:t>
      </w:r>
    </w:p>
    <w:p>
      <w:pPr>
        <w:widowControl/>
        <w:spacing w:line="360" w:lineRule="auto"/>
        <w:ind w:firstLine="643" w:firstLineChars="200"/>
        <w:jc w:val="left"/>
        <w:rPr>
          <w:rFonts w:ascii="仿宋" w:hAnsi="仿宋" w:eastAsia="仿宋" w:cs="仿宋_GB2312"/>
          <w:b/>
          <w:kern w:val="0"/>
          <w:sz w:val="32"/>
          <w:szCs w:val="32"/>
        </w:rPr>
        <w:sectPr>
          <w:pgSz w:w="11907" w:h="16839"/>
          <w:pgMar w:top="1020" w:right="1134" w:bottom="1020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_GB2312"/>
          <w:b/>
          <w:kern w:val="0"/>
          <w:sz w:val="32"/>
          <w:szCs w:val="32"/>
        </w:rPr>
        <w:t>四、绩效预算情况（见下页）</w:t>
      </w:r>
    </w:p>
    <w:p>
      <w:pPr>
        <w:widowControl/>
        <w:spacing w:line="360" w:lineRule="auto"/>
        <w:jc w:val="left"/>
        <w:rPr>
          <w:rFonts w:ascii="Calibri" w:hAnsi="Calibri" w:eastAsia="仿宋_GB2312" w:cs="Calibri"/>
          <w:b/>
          <w:kern w:val="0"/>
          <w:sz w:val="32"/>
          <w:szCs w:val="32"/>
        </w:rPr>
      </w:pPr>
    </w:p>
    <w:tbl>
      <w:tblPr>
        <w:tblStyle w:val="7"/>
        <w:tblW w:w="1393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276"/>
        <w:gridCol w:w="2976"/>
        <w:gridCol w:w="2976"/>
        <w:gridCol w:w="1417"/>
        <w:gridCol w:w="737"/>
        <w:gridCol w:w="737"/>
        <w:gridCol w:w="737"/>
        <w:gridCol w:w="7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tblHeader/>
          <w:jc w:val="center"/>
        </w:trPr>
        <w:tc>
          <w:tcPr>
            <w:tcW w:w="10986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360</w:t>
            </w:r>
            <w:r>
              <w:rPr>
                <w:rFonts w:hint="eastAsia" w:ascii="方正小标宋_GBK" w:eastAsia="方正小标宋_GBK"/>
                <w:sz w:val="24"/>
              </w:rPr>
              <w:t>成安县教育体育局</w:t>
            </w:r>
          </w:p>
        </w:tc>
        <w:tc>
          <w:tcPr>
            <w:tcW w:w="294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职责活动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年度预算数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内容描述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</w:t>
            </w:r>
          </w:p>
        </w:tc>
        <w:tc>
          <w:tcPr>
            <w:tcW w:w="294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评价标准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优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良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中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学前教育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11.00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实施学前教育重点项目，支持和引导扩大学前教育资源，缓解当前存在的</w:t>
            </w:r>
            <w:r>
              <w:rPr>
                <w:rFonts w:hint="cs" w:ascii="方正书宋_GBK" w:eastAsia="方正书宋_GBK"/>
                <w:cs/>
              </w:rPr>
              <w:t>“</w:t>
            </w:r>
            <w:r>
              <w:rPr>
                <w:rFonts w:hint="eastAsia" w:ascii="方正书宋_GBK" w:eastAsia="方正书宋_GBK"/>
              </w:rPr>
              <w:t>入园难</w:t>
            </w:r>
            <w:r>
              <w:rPr>
                <w:rFonts w:hint="cs" w:ascii="方正书宋_GBK" w:eastAsia="方正书宋_GBK"/>
                <w:cs/>
              </w:rPr>
              <w:t>”</w:t>
            </w:r>
            <w:r>
              <w:rPr>
                <w:rFonts w:hint="eastAsia" w:ascii="方正书宋_GBK" w:eastAsia="方正书宋_GBK"/>
              </w:rPr>
              <w:t>、</w:t>
            </w:r>
            <w:r>
              <w:rPr>
                <w:rFonts w:hint="cs" w:ascii="方正书宋_GBK" w:eastAsia="方正书宋_GBK"/>
                <w:cs/>
              </w:rPr>
              <w:t>“</w:t>
            </w:r>
            <w:r>
              <w:rPr>
                <w:rFonts w:hint="eastAsia" w:ascii="方正书宋_GBK" w:eastAsia="方正书宋_GBK"/>
              </w:rPr>
              <w:t>入园贵</w:t>
            </w:r>
            <w:r>
              <w:rPr>
                <w:rFonts w:hint="cs" w:ascii="方正书宋_GBK" w:eastAsia="方正书宋_GBK"/>
                <w:cs/>
              </w:rPr>
              <w:t>”</w:t>
            </w:r>
            <w:r>
              <w:rPr>
                <w:rFonts w:hint="eastAsia" w:ascii="方正书宋_GBK" w:eastAsia="方正书宋_GBK"/>
              </w:rPr>
              <w:t>问题。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调整完善财政支持政策，增强资金配置的科学性，提高幼儿园入园率和扩大在园幼儿数</w:t>
            </w:r>
            <w:r>
              <w:rPr>
                <w:rFonts w:ascii="方正书宋_GBK" w:eastAsia="方正书宋_GBK"/>
              </w:rPr>
              <w:t>,</w:t>
            </w:r>
            <w:r>
              <w:rPr>
                <w:rFonts w:hint="eastAsia" w:ascii="方正书宋_GBK" w:eastAsia="方正书宋_GBK"/>
              </w:rPr>
              <w:t>有效缓解</w:t>
            </w:r>
            <w:r>
              <w:rPr>
                <w:rFonts w:hint="cs" w:ascii="方正书宋_GBK" w:eastAsia="方正书宋_GBK"/>
                <w:cs/>
              </w:rPr>
              <w:t>“</w:t>
            </w:r>
            <w:r>
              <w:rPr>
                <w:rFonts w:hint="eastAsia" w:ascii="方正书宋_GBK" w:eastAsia="方正书宋_GBK"/>
              </w:rPr>
              <w:t>入园难</w:t>
            </w:r>
            <w:r>
              <w:rPr>
                <w:rFonts w:hint="cs" w:ascii="方正书宋_GBK" w:eastAsia="方正书宋_GBK"/>
                <w:cs/>
              </w:rPr>
              <w:t>”</w:t>
            </w:r>
            <w:r>
              <w:rPr>
                <w:rFonts w:hint="eastAsia" w:ascii="方正书宋_GBK" w:eastAsia="方正书宋_GBK"/>
              </w:rPr>
              <w:t>、</w:t>
            </w:r>
            <w:r>
              <w:rPr>
                <w:rFonts w:hint="cs" w:ascii="方正书宋_GBK" w:eastAsia="方正书宋_GBK"/>
                <w:cs/>
              </w:rPr>
              <w:t>“</w:t>
            </w:r>
            <w:r>
              <w:rPr>
                <w:rFonts w:hint="eastAsia" w:ascii="方正书宋_GBK" w:eastAsia="方正书宋_GBK"/>
              </w:rPr>
              <w:t>入园贵</w:t>
            </w:r>
            <w:r>
              <w:rPr>
                <w:rFonts w:hint="cs" w:ascii="方正书宋_GBK" w:eastAsia="方正书宋_GBK"/>
                <w:cs/>
              </w:rPr>
              <w:t>”</w:t>
            </w:r>
            <w:r>
              <w:rPr>
                <w:rFonts w:hint="eastAsia" w:ascii="方正书宋_GBK" w:eastAsia="方正书宋_GBK"/>
              </w:rPr>
              <w:t>等问题。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扩大教育资源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通过利用农村闲置校舍改建幼儿园、农村小学增设附属幼儿园、开展学前教育巡回支教试点、实施民办幼儿园综合奖补等方式，支持农村扩大学前教育资源。对家庭经济困难的儿童以及残疾儿童予以资助。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扩大学前教育资源，保证园舍的安全，配备必要的玩教具、保教和生活设施设备，对偏远地区适龄儿童和家长提供灵活多样的学前教育巡回指导。帮助家庭经济困难儿童、孤儿和残疾儿童接受普惠性学前教育。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在园幼儿数达到</w:t>
            </w:r>
            <w:r>
              <w:rPr>
                <w:rFonts w:ascii="方正书宋_GBK" w:eastAsia="方正书宋_GBK"/>
              </w:rPr>
              <w:t>210</w:t>
            </w:r>
            <w:r>
              <w:rPr>
                <w:rFonts w:hint="eastAsia" w:ascii="方正书宋_GBK" w:eastAsia="方正书宋_GBK"/>
              </w:rPr>
              <w:t>万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实施民办幼儿园综合奖补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结合学前教育工作开展情况，给予适当奖励性补助，用于支持普惠性民办幼儿园支付园舍租金，补充玩教具、保教和生活设施设备、校舍维修改造、弥补公用经费不足等。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促使民办幼儿园提供普惠性服务，促使民办幼儿园自主发展，提高办园质量与水平，从而真正实现公办民办并举的学前教育体制，保障适龄儿童接受基本的、有质量的学前教育。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幼儿毛入园率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实施学前教育资助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11.00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对普惠性幼儿园在园的孤儿、烈士子女，优抚、低保家庭子女，纳入农村特困救助范围的家庭子女，父母一方死亡、离异的单亲贫困家庭子女，因受灾、疾病等原因导致家庭经济困难的儿童以及残疾儿童予以资助。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帮助家庭经济困难儿童、孤儿和残疾儿童接受普惠性学前教育。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适龄儿童毛入园率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义务教育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1268.00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以农村教育为重点，推进义务教育均衡发展，建立中小学校舍安全保障机制，改善薄弱学校办学条件，促进公共教育资源向农村和经济欠发达地区倾斜。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提高义务教育公用经费保障水平，改善办学条件，均衡配置基础教育资源，缩小城乡、区域、校际之间办学差距，落实学生资助政策。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发展农村义务教育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1268.00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推进农村义务教育经费保障机制改革，提高农村中小学公用经费水平，完善校舍维修改造长效机制，补助贫困寄宿生活生活费，为农村学生免费提供教科书。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保障农村中小学正常运转，保证学校校舍安全，资助家庭经济困难寄宿学生，向农村义务教育学生和城市区家庭经济困难学生免费提供教科书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所有农村义务教育学生免费提供一套教科书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初中入学率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小学入学率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新建、改扩建和维修校舍面积（万平方米）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补助贫困寄宿生生活费人数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公用经费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公用经费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普通高中教育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168.14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建立健全普通高中国家助学金制度，改善普通高中办学件。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提高高中毛入学率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改善办学条件和学生资助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168.14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改善薄弱高中学校办学条件，对贫困高中学生发放助学金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推动高中教育发展，扩大高中教育规模；确保贫困高中学生顺利完成学业。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资助高中贫困学生数（万人</w:t>
            </w:r>
            <w:r>
              <w:rPr>
                <w:rFonts w:ascii="方正书宋_GBK" w:eastAsia="方正书宋_GBK"/>
              </w:rPr>
              <w:t>)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高中毛入学率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300" w:lineRule="exact"/>
              <w:ind w:firstLine="525" w:firstLineChars="25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职业教育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53.29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大力发展职业教育，坚持以就业为导向，深化职业教育教学改革，增强职业教育发展活力。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改善职业院校办学条件，建设职业教育实训基地，深化校企合作、产教融合，落实学生资助、奖励政策。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提高中职学校办学能力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53.29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改善职业学校办学条件；落实中等职业学校免学费政策，资助家庭经济困难学生。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职业学校办学水平和综合实力进一步提高，职业教育为全县经济社会发展服务的能力进一步增强；按国家标准科学、准确测算，及时拨付免学费资金和发放助学金。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困难学生辍学率（</w:t>
            </w:r>
            <w:r>
              <w:rPr>
                <w:rFonts w:ascii="方正书宋_GBK" w:eastAsia="方正书宋_GBK"/>
              </w:rPr>
              <w:t>%</w:t>
            </w:r>
            <w:r>
              <w:rPr>
                <w:rFonts w:hint="eastAsia" w:ascii="方正书宋_GBK" w:eastAsia="方正书宋_GBK"/>
              </w:rPr>
              <w:t>）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院校资金发放到位率（</w:t>
            </w:r>
            <w:r>
              <w:rPr>
                <w:rFonts w:ascii="方正书宋_GBK" w:eastAsia="方正书宋_GBK"/>
              </w:rPr>
              <w:t>%</w:t>
            </w:r>
            <w:r>
              <w:rPr>
                <w:rFonts w:hint="eastAsia" w:ascii="方正书宋_GBK" w:eastAsia="方正书宋_GBK"/>
              </w:rPr>
              <w:t>）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院校资金测算准确率（</w:t>
            </w:r>
            <w:r>
              <w:rPr>
                <w:rFonts w:ascii="方正书宋_GBK" w:eastAsia="方正书宋_GBK"/>
              </w:rPr>
              <w:t>%</w:t>
            </w:r>
            <w:r>
              <w:rPr>
                <w:rFonts w:hint="eastAsia" w:ascii="方正书宋_GBK" w:eastAsia="方正书宋_GBK"/>
              </w:rPr>
              <w:t>）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成人和民办教育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加强民办教育的统筹规划和管理，完善民办教育政策措施，规范办学秩序，促进民办教育事业发展。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构建学习型社会，发展成人教育、继续教育，促进民办教育发展，提高民办学校办学质量。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支持非学历继续教育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整合教育资源，组建高等学校、科研机构、大型企业联合教育基地和社区教育中心，支持社会力量发等展非学历继续教育。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支持非学历继续教育发展，提高公民受教育水平。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支持非学历继续教育发展，提高公民受教育水平。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实施民办学校综合奖补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完善促进民办教育发展的优惠政策，对发展民办教育作出突出贡献的组织、学校和个人给予奖励和表彰。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发展民办非义务教育和多种形式的职业技能培训，办好一批高水平民办学校，科学、公平、合理确定民办学校奖励范围。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发展民办非义务教育和多种形式的职业技能培训，办好一批高水平民办学校，科学、公平、合理确定民办学校奖励范围。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教师队伍建设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310.00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主管全县教师工作；负责全县中小学教师资格标准的实施；统筹规划和指导学校教师及管理人员队伍建设。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完成中小学骨干、学科教师培训，高层次、优秀人才引进计划，提高特殊群体教师待遇。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教师培养与培训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310.00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开展中小学骨干、学科教师等专项培训，完成中小学教师国家级培训计划。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培训中小学骨干教师、学科教师，提高中小学教师的业务水平和教学能力。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培训教师人数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培训合格率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教师满意度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提高特殊群体教师待遇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为代课教师发放教龄补助，对边远乡村教师发放生活补助。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提高特殊群体教师待遇。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资金测算准确率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院校资金发放到位率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教育政务管理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115.25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负责教育系统综合业务管理和机关综合事务管理。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依法行政，构建人民群众满意、勤政廉洁的政府部门；保障工作正常高效运行，相关工作顺利开展。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综合业务管理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85.25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做好教育政策制订、教育改革、教育科研、教育信息化建设等工作。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做好各项教育管理工作。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厅机关职能执行率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综合事物管理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30.00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做好会议培训组织，内部信息化建设与维护，财务和资产管理，标准化建设，基础设施维修，大型设备购置，人事、党务以及老干部管理等工作。负责直属企事业单位管理工作。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保障机关工作正常高效运转。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厅机关正常运转率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特殊教育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完成特殊教育儿童的义务教育工作，改善教学条件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特殊教育儿童的就读率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特殊教育补助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开展特殊儿童教育活动，改善教学条件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特殊教育条件完善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特教学生退学率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教科研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教育科研、教学研究、教学管理和教学指导工作。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根据教学需要，研究教育思想、教学理论、课程设置、教学内容、教学方法、教学手段和教学评价等。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教研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组织多层次、多形式的教学研究活动，组织教师学习课程标准（教学计划），钻研、掌握课程标准（教学大纲）和教材，努力改革课堂教学模式，改进教学方法，加强学生的教学参与意识，确立学生的主体地位，恰当应用教育技术，提高课堂教学效益。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组织开展有利于教师业务素质提高的教学基本功竞赛、评优课、优秀论文评比等活动，实施名师工程，推进教师队伍整体水平提升。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评选</w:t>
            </w:r>
            <w:r>
              <w:rPr>
                <w:rFonts w:hint="cs" w:ascii="方正书宋_GBK" w:eastAsia="方正书宋_GBK"/>
                <w:cs/>
              </w:rPr>
              <w:t>“</w:t>
            </w:r>
            <w:r>
              <w:rPr>
                <w:rFonts w:hint="eastAsia" w:ascii="方正书宋_GBK" w:eastAsia="方正书宋_GBK"/>
              </w:rPr>
              <w:t>教坛新秀</w:t>
            </w:r>
            <w:r>
              <w:rPr>
                <w:rFonts w:hint="cs" w:ascii="方正书宋_GBK" w:eastAsia="方正书宋_GBK"/>
                <w:cs/>
              </w:rPr>
              <w:t>”</w:t>
            </w:r>
            <w:r>
              <w:rPr>
                <w:rFonts w:hint="eastAsia" w:ascii="方正书宋_GBK" w:eastAsia="方正书宋_GBK"/>
              </w:rPr>
              <w:t>、</w:t>
            </w:r>
            <w:r>
              <w:rPr>
                <w:rFonts w:hint="cs" w:ascii="方正书宋_GBK" w:eastAsia="方正书宋_GBK"/>
                <w:cs/>
              </w:rPr>
              <w:t>“</w:t>
            </w:r>
            <w:r>
              <w:rPr>
                <w:rFonts w:hint="eastAsia" w:ascii="方正书宋_GBK" w:eastAsia="方正书宋_GBK"/>
              </w:rPr>
              <w:t>教学中坚</w:t>
            </w:r>
            <w:r>
              <w:rPr>
                <w:rFonts w:hint="cs" w:ascii="方正书宋_GBK" w:eastAsia="方正书宋_GBK"/>
                <w:cs/>
              </w:rPr>
              <w:t>”</w:t>
            </w:r>
            <w:r>
              <w:rPr>
                <w:rFonts w:hint="eastAsia" w:ascii="方正书宋_GBK" w:eastAsia="方正书宋_GBK"/>
              </w:rPr>
              <w:t>等活动。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科研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重视借鉴吸收国内外先进成果、经验和前沿信息，及时发现、总结、推广本县教学经验、管理经验，组织教学观摩、研讨和教改实验，探索管理规律和教学规律，提高教学管理水准和教师教学水平，推动教学改革。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组织研究成果评选；参与省、市教科研部门组织的学术交流、研究报告、论文案例等评选活动。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评选名师，筹建名师工作室。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教学管理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加强学科教学的检查和指导，努力提高教师执行教学常规的自觉性，提高教学常规各环节的质量。开展教学调查研究活动，分析教学情况，提出改进教学、提高教学质量的意见和措施。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组织对各学科教学质量的过程监控和质量评估，研究考试方法的改革。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调查研究教学情况，检查、指导学校教学工作。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发展体育事业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推动多元化体育服务体系建设，推动体育公共服务和体育体制改革。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加强体育公共服务体系建设，促进全县体育事业全面协调可持续发展。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发展群众体育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贯彻落实《全民健身条例》，推行全民健身计划，组织开展群众体育活动，加强群众体育设施建设，指导群众科学健身，指导开展群众性体育活动，会同有关部门举办全县残疾人、农民、少数民族、职工综合性运动会，培训社会体育指导员，开展国民体质监测。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发展全民健身事业，完善全民健身服务体系，满足群众健身需求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指导组织开展大型全民健身活动次数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培养社会体育指导员人数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全民健身工程个数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国民体质监测人次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发展竞技体育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组织县级专业运动队参加国际、国内大型运动会和体育单项竞技比赛；组织举办全县运动会和县级单项体育比赛。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提高全县竞技体育水平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参加全国年度体育赛事成绩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举办比赛次数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退役运动员安置率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发展青少年体育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指导监督青少年体育锻炼标准的实施，指导青少年业余训练以及体育运动学校、体育传统项目学校、青少年体育俱乐部的建设工作，会同有关部门举办全县中（小）学生综合性运动会；组织开展全县高水平体育后备人才培养。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提高青少年身体素质和竞技水平，培养和选拔高水平体育后备人才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创办国家级青少年体育俱乐部个数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输送高水平体育后备人才人数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县级以上高水平基地个数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体育教学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开展体育教学，加强体育专业人才培养。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优化学科专业课程、师资队伍，提高科研、竞训水平，培养适应社会需要的体育人才，促进竞技体育发展，开展反兴奋剂工作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学科建设水平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毕业生就业率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比赛成绩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反兴奋剂检测人次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体育设施建设和维护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指导加强体育场馆、基地等体育设施建设，开展公共体育设施监督管理。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加强体育健身设施建设，不断满足社会对体育健身设施的需求。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完成年度基本建设和维修改造计划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政务管理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负责系统综合业务管理和机关综合事务管理。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确保各项业务工作谋划到位、顺利开展。保障机关工作正常高效运转。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综合业务管理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拟定体育事业和产业发展规划、政策制度和行业标准，加强督导落实，管理审批体育经营活动，开展体育赛事管理、体育交流合作宣传以及教练员运动员伙食补助等。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确保各项业务工作谋划到位、顺利开展。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各项工作落实到位率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综合事务管理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主要开展设施维护运行等保障运转工作。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保障机关工作正常高效运转。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设施运转保障程度</w:t>
            </w: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上级专项补助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3477.00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上级专项补助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上级专项补助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上级专项补助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3477.00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上级专项补助</w:t>
            </w: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</w:tbl>
    <w:p>
      <w:pPr>
        <w:widowControl/>
        <w:spacing w:line="360" w:lineRule="auto"/>
        <w:ind w:firstLine="643" w:firstLineChars="200"/>
        <w:jc w:val="left"/>
        <w:rPr>
          <w:rFonts w:ascii="仿宋" w:hAnsi="仿宋" w:eastAsia="仿宋" w:cs="仿宋_GB2312"/>
          <w:b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kern w:val="0"/>
          <w:sz w:val="32"/>
          <w:szCs w:val="32"/>
        </w:rPr>
        <w:t>五、政府采购预算情况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政府采购指国家机关、事业单位和社会团体组织，使用财政性资金，购买集中采购目录以内的或者采购限额标准以上的货物、工程或服务的行为。政府采购应遵循公开透明、公平竞争、公正和诚实信用的原则。凡使用纳入预算管理的资金采购符合《河北省政府采购集中采购目录和限额标准》（冀财采[2015]11号）要求的货物、工程或服务的项目，采购人均应编入政府采购预算。 按照政府采购相关法律法规要求，结合我局实际，2018年拟采购打印机4台，每台0.15万元，合计0.6万元；电脑1台，每台0.4万元，共计1万元。具体内容见下表。</w:t>
      </w:r>
    </w:p>
    <w:p>
      <w:pPr>
        <w:widowControl/>
        <w:spacing w:line="360" w:lineRule="auto"/>
        <w:ind w:firstLine="640" w:firstLineChars="200"/>
        <w:jc w:val="center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部门政府采购预算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1105"/>
        <w:gridCol w:w="1204"/>
        <w:gridCol w:w="1153"/>
        <w:gridCol w:w="910"/>
        <w:gridCol w:w="910"/>
        <w:gridCol w:w="934"/>
        <w:gridCol w:w="931"/>
        <w:gridCol w:w="931"/>
        <w:gridCol w:w="931"/>
        <w:gridCol w:w="847"/>
        <w:gridCol w:w="913"/>
        <w:gridCol w:w="913"/>
        <w:gridCol w:w="8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95" w:type="pct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方正小标宋_GBK"/>
                <w:sz w:val="24"/>
                <w:szCs w:val="24"/>
              </w:rPr>
              <w:t>部门（单位）：名称成安县教育体育局</w:t>
            </w:r>
          </w:p>
        </w:tc>
        <w:tc>
          <w:tcPr>
            <w:tcW w:w="2105" w:type="pct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方正书宋_GBK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93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</w:rPr>
            </w:pPr>
            <w:r>
              <w:rPr>
                <w:rFonts w:hint="eastAsia" w:ascii="宋体" w:hAnsi="宋体" w:eastAsia="宋体" w:cs="方正书宋_GBK"/>
                <w:bCs/>
              </w:rPr>
              <w:t>政府采购项目来源</w:t>
            </w:r>
          </w:p>
        </w:tc>
        <w:tc>
          <w:tcPr>
            <w:tcW w:w="401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</w:rPr>
            </w:pPr>
            <w:r>
              <w:rPr>
                <w:rFonts w:hint="eastAsia" w:ascii="宋体" w:hAnsi="宋体" w:eastAsia="宋体" w:cs="方正书宋_GBK"/>
                <w:bCs/>
              </w:rPr>
              <w:t>采购物品名称</w:t>
            </w:r>
          </w:p>
        </w:tc>
        <w:tc>
          <w:tcPr>
            <w:tcW w:w="384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</w:rPr>
            </w:pPr>
            <w:r>
              <w:rPr>
                <w:rFonts w:hint="eastAsia" w:ascii="宋体" w:hAnsi="宋体" w:eastAsia="宋体" w:cs="方正书宋_GBK"/>
                <w:bCs/>
              </w:rPr>
              <w:t>政府采购目录序号</w:t>
            </w:r>
          </w:p>
        </w:tc>
        <w:tc>
          <w:tcPr>
            <w:tcW w:w="303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</w:rPr>
            </w:pPr>
            <w:r>
              <w:rPr>
                <w:rFonts w:hint="eastAsia" w:ascii="宋体" w:hAnsi="宋体" w:eastAsia="宋体" w:cs="方正书宋_GBK"/>
                <w:bCs/>
              </w:rPr>
              <w:t>数量单位</w:t>
            </w:r>
          </w:p>
        </w:tc>
        <w:tc>
          <w:tcPr>
            <w:tcW w:w="303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</w:rPr>
            </w:pPr>
            <w:r>
              <w:rPr>
                <w:rFonts w:hint="eastAsia" w:ascii="宋体" w:hAnsi="宋体" w:eastAsia="宋体" w:cs="方正书宋_GBK"/>
                <w:bCs/>
              </w:rPr>
              <w:t>数量</w:t>
            </w:r>
          </w:p>
        </w:tc>
        <w:tc>
          <w:tcPr>
            <w:tcW w:w="311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</w:rPr>
            </w:pPr>
            <w:r>
              <w:rPr>
                <w:rFonts w:hint="eastAsia" w:ascii="宋体" w:hAnsi="宋体" w:eastAsia="宋体" w:cs="方正书宋_GBK"/>
                <w:bCs/>
              </w:rPr>
              <w:t>单价</w:t>
            </w:r>
          </w:p>
        </w:tc>
        <w:tc>
          <w:tcPr>
            <w:tcW w:w="2105" w:type="pct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</w:rPr>
            </w:pPr>
            <w:r>
              <w:rPr>
                <w:rFonts w:hint="eastAsia" w:ascii="宋体" w:hAnsi="宋体" w:eastAsia="宋体" w:cs="方正书宋_GBK"/>
                <w:bCs/>
              </w:rPr>
              <w:t>政府采购金额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  <w:jc w:val="center"/>
        </w:trPr>
        <w:tc>
          <w:tcPr>
            <w:tcW w:w="825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</w:rPr>
            </w:pPr>
            <w:r>
              <w:rPr>
                <w:rFonts w:hint="eastAsia" w:ascii="宋体" w:hAnsi="宋体" w:eastAsia="宋体" w:cs="方正书宋_GBK"/>
                <w:bCs/>
              </w:rPr>
              <w:t>项目名称</w:t>
            </w:r>
          </w:p>
        </w:tc>
        <w:tc>
          <w:tcPr>
            <w:tcW w:w="368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</w:rPr>
            </w:pPr>
            <w:r>
              <w:rPr>
                <w:rFonts w:hint="eastAsia" w:ascii="宋体" w:hAnsi="宋体" w:eastAsia="宋体" w:cs="方正书宋_GBK"/>
                <w:bCs/>
              </w:rPr>
              <w:t>预算资金</w:t>
            </w:r>
          </w:p>
        </w:tc>
        <w:tc>
          <w:tcPr>
            <w:tcW w:w="401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84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03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03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11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10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</w:rPr>
            </w:pPr>
            <w:r>
              <w:rPr>
                <w:rFonts w:hint="eastAsia" w:ascii="宋体" w:hAnsi="宋体" w:eastAsia="宋体" w:cs="方正书宋_GBK"/>
                <w:bCs/>
              </w:rPr>
              <w:t>总计</w:t>
            </w:r>
          </w:p>
        </w:tc>
        <w:tc>
          <w:tcPr>
            <w:tcW w:w="1510" w:type="pct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</w:rPr>
            </w:pPr>
            <w:r>
              <w:rPr>
                <w:rFonts w:hint="eastAsia" w:ascii="宋体" w:hAnsi="宋体" w:eastAsia="宋体" w:cs="方正书宋_GBK"/>
                <w:bCs/>
              </w:rPr>
              <w:t>当年部门预算安排资金</w:t>
            </w:r>
          </w:p>
        </w:tc>
        <w:tc>
          <w:tcPr>
            <w:tcW w:w="285" w:type="pct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</w:rPr>
            </w:pPr>
            <w:r>
              <w:rPr>
                <w:rFonts w:hint="eastAsia" w:ascii="宋体" w:hAnsi="宋体" w:eastAsia="宋体" w:cs="方正书宋_GBK"/>
                <w:bCs/>
              </w:rPr>
              <w:t>其他渠道资金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25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68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401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84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03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03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11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10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10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</w:rPr>
            </w:pPr>
            <w:r>
              <w:rPr>
                <w:rFonts w:hint="eastAsia" w:ascii="宋体" w:hAnsi="宋体" w:eastAsia="宋体" w:cs="方正书宋_GBK"/>
                <w:bCs/>
              </w:rPr>
              <w:t>合计</w:t>
            </w:r>
          </w:p>
        </w:tc>
        <w:tc>
          <w:tcPr>
            <w:tcW w:w="310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</w:rPr>
            </w:pPr>
            <w:r>
              <w:rPr>
                <w:rFonts w:hint="eastAsia" w:ascii="宋体" w:hAnsi="宋体" w:eastAsia="宋体" w:cs="方正书宋_GBK"/>
                <w:bCs/>
              </w:rPr>
              <w:t>一般公共预算拨款</w:t>
            </w:r>
          </w:p>
        </w:tc>
        <w:tc>
          <w:tcPr>
            <w:tcW w:w="282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</w:rPr>
            </w:pPr>
            <w:r>
              <w:rPr>
                <w:rFonts w:hint="eastAsia" w:ascii="宋体" w:hAnsi="宋体" w:eastAsia="宋体" w:cs="方正书宋_GBK"/>
                <w:bCs/>
              </w:rPr>
              <w:t>基金预算拨款</w:t>
            </w:r>
          </w:p>
        </w:tc>
        <w:tc>
          <w:tcPr>
            <w:tcW w:w="304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</w:rPr>
            </w:pPr>
            <w:r>
              <w:rPr>
                <w:rFonts w:hint="eastAsia" w:ascii="宋体" w:hAnsi="宋体" w:eastAsia="宋体" w:cs="方正书宋_GBK"/>
                <w:bCs/>
              </w:rPr>
              <w:t>财政专户核拨</w:t>
            </w:r>
          </w:p>
        </w:tc>
        <w:tc>
          <w:tcPr>
            <w:tcW w:w="304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</w:rPr>
            </w:pPr>
            <w:r>
              <w:rPr>
                <w:rFonts w:hint="eastAsia" w:ascii="宋体" w:hAnsi="宋体" w:eastAsia="宋体" w:cs="方正书宋_GBK"/>
                <w:bCs/>
              </w:rPr>
              <w:t>其他来源收入</w:t>
            </w:r>
          </w:p>
        </w:tc>
        <w:tc>
          <w:tcPr>
            <w:tcW w:w="285" w:type="pct"/>
            <w:vMerge w:val="continue"/>
            <w:vAlign w:val="center"/>
          </w:tcPr>
          <w:p>
            <w:pPr>
              <w:spacing w:line="24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pct"/>
            <w:vAlign w:val="center"/>
          </w:tcPr>
          <w:p>
            <w:pPr>
              <w:spacing w:line="560" w:lineRule="exact"/>
              <w:rPr>
                <w:rFonts w:cs="Times New Roman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Cs w:val="21"/>
              </w:rPr>
              <w:t>合计</w:t>
            </w:r>
          </w:p>
        </w:tc>
        <w:tc>
          <w:tcPr>
            <w:tcW w:w="368" w:type="pct"/>
            <w:vAlign w:val="center"/>
          </w:tcPr>
          <w:p>
            <w:pPr>
              <w:spacing w:line="560" w:lineRule="exact"/>
              <w:jc w:val="righ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560" w:lineRule="exact"/>
              <w:jc w:val="lef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384" w:type="pct"/>
            <w:vAlign w:val="center"/>
          </w:tcPr>
          <w:p>
            <w:pPr>
              <w:spacing w:line="560" w:lineRule="exact"/>
              <w:jc w:val="lef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303" w:type="pct"/>
            <w:vAlign w:val="center"/>
          </w:tcPr>
          <w:p>
            <w:pPr>
              <w:spacing w:line="560" w:lineRule="exact"/>
              <w:jc w:val="lef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303" w:type="pct"/>
            <w:vAlign w:val="center"/>
          </w:tcPr>
          <w:p>
            <w:pPr>
              <w:spacing w:line="560" w:lineRule="exact"/>
              <w:jc w:val="righ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311" w:type="pct"/>
            <w:vAlign w:val="center"/>
          </w:tcPr>
          <w:p>
            <w:pPr>
              <w:spacing w:line="560" w:lineRule="exact"/>
              <w:jc w:val="righ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310" w:type="pct"/>
            <w:vAlign w:val="center"/>
          </w:tcPr>
          <w:p>
            <w:pPr>
              <w:spacing w:line="560" w:lineRule="exact"/>
              <w:jc w:val="righ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310" w:type="pct"/>
            <w:vAlign w:val="center"/>
          </w:tcPr>
          <w:p>
            <w:pPr>
              <w:spacing w:line="560" w:lineRule="exact"/>
              <w:jc w:val="righ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310" w:type="pct"/>
            <w:vAlign w:val="center"/>
          </w:tcPr>
          <w:p>
            <w:pPr>
              <w:spacing w:line="560" w:lineRule="exact"/>
              <w:jc w:val="righ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282" w:type="pct"/>
            <w:vAlign w:val="center"/>
          </w:tcPr>
          <w:p>
            <w:pPr>
              <w:spacing w:line="560" w:lineRule="exact"/>
              <w:jc w:val="righ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304" w:type="pct"/>
            <w:vAlign w:val="center"/>
          </w:tcPr>
          <w:p>
            <w:pPr>
              <w:spacing w:line="560" w:lineRule="exact"/>
              <w:jc w:val="righ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304" w:type="pct"/>
            <w:vAlign w:val="center"/>
          </w:tcPr>
          <w:p>
            <w:pPr>
              <w:spacing w:line="560" w:lineRule="exact"/>
              <w:jc w:val="righ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pacing w:line="560" w:lineRule="exact"/>
              <w:jc w:val="righ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pct"/>
            <w:vAlign w:val="center"/>
          </w:tcPr>
          <w:p>
            <w:pPr>
              <w:spacing w:line="560" w:lineRule="exact"/>
              <w:jc w:val="lef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Cs w:val="21"/>
              </w:rPr>
              <w:t>打印机</w:t>
            </w:r>
          </w:p>
        </w:tc>
        <w:tc>
          <w:tcPr>
            <w:tcW w:w="368" w:type="pct"/>
            <w:vAlign w:val="center"/>
          </w:tcPr>
          <w:p>
            <w:pPr>
              <w:spacing w:line="560" w:lineRule="exact"/>
              <w:jc w:val="righ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Cs w:val="21"/>
              </w:rPr>
              <w:t>0.65</w:t>
            </w:r>
          </w:p>
        </w:tc>
        <w:tc>
          <w:tcPr>
            <w:tcW w:w="401" w:type="pct"/>
            <w:vAlign w:val="center"/>
          </w:tcPr>
          <w:p>
            <w:pPr>
              <w:spacing w:line="560" w:lineRule="exact"/>
              <w:jc w:val="lef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384" w:type="pct"/>
            <w:vAlign w:val="center"/>
          </w:tcPr>
          <w:p>
            <w:pPr>
              <w:spacing w:line="560" w:lineRule="exact"/>
              <w:jc w:val="lef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303" w:type="pct"/>
            <w:vAlign w:val="center"/>
          </w:tcPr>
          <w:p>
            <w:pPr>
              <w:spacing w:line="560" w:lineRule="exact"/>
              <w:jc w:val="lef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Cs w:val="21"/>
              </w:rPr>
              <w:t>台</w:t>
            </w:r>
          </w:p>
        </w:tc>
        <w:tc>
          <w:tcPr>
            <w:tcW w:w="303" w:type="pct"/>
            <w:vAlign w:val="center"/>
          </w:tcPr>
          <w:p>
            <w:pPr>
              <w:spacing w:line="560" w:lineRule="exact"/>
              <w:jc w:val="righ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Cs w:val="21"/>
              </w:rPr>
              <w:t>4</w:t>
            </w:r>
          </w:p>
        </w:tc>
        <w:tc>
          <w:tcPr>
            <w:tcW w:w="311" w:type="pct"/>
            <w:vAlign w:val="center"/>
          </w:tcPr>
          <w:p>
            <w:pPr>
              <w:spacing w:line="560" w:lineRule="exact"/>
              <w:jc w:val="righ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Cs w:val="21"/>
              </w:rPr>
              <w:t>0.15</w:t>
            </w:r>
          </w:p>
        </w:tc>
        <w:tc>
          <w:tcPr>
            <w:tcW w:w="310" w:type="pct"/>
            <w:vAlign w:val="center"/>
          </w:tcPr>
          <w:p>
            <w:pPr>
              <w:spacing w:line="560" w:lineRule="exact"/>
              <w:jc w:val="righ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Cs w:val="21"/>
              </w:rPr>
              <w:t>0.6</w:t>
            </w:r>
          </w:p>
        </w:tc>
        <w:tc>
          <w:tcPr>
            <w:tcW w:w="310" w:type="pct"/>
            <w:vAlign w:val="center"/>
          </w:tcPr>
          <w:p>
            <w:pPr>
              <w:spacing w:line="560" w:lineRule="exact"/>
              <w:jc w:val="righ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310" w:type="pct"/>
            <w:vAlign w:val="center"/>
          </w:tcPr>
          <w:p>
            <w:pPr>
              <w:spacing w:line="560" w:lineRule="exact"/>
              <w:jc w:val="righ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Cs w:val="21"/>
              </w:rPr>
              <w:t>0.6</w:t>
            </w:r>
          </w:p>
        </w:tc>
        <w:tc>
          <w:tcPr>
            <w:tcW w:w="282" w:type="pct"/>
            <w:vAlign w:val="center"/>
          </w:tcPr>
          <w:p>
            <w:pPr>
              <w:spacing w:line="560" w:lineRule="exact"/>
              <w:jc w:val="righ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304" w:type="pct"/>
            <w:vAlign w:val="center"/>
          </w:tcPr>
          <w:p>
            <w:pPr>
              <w:spacing w:line="560" w:lineRule="exact"/>
              <w:jc w:val="righ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304" w:type="pct"/>
            <w:vAlign w:val="center"/>
          </w:tcPr>
          <w:p>
            <w:pPr>
              <w:spacing w:line="560" w:lineRule="exact"/>
              <w:jc w:val="righ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pacing w:line="560" w:lineRule="exact"/>
              <w:jc w:val="righ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pct"/>
            <w:vAlign w:val="center"/>
          </w:tcPr>
          <w:p>
            <w:pPr>
              <w:spacing w:line="560" w:lineRule="exact"/>
              <w:jc w:val="lef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Cs w:val="21"/>
              </w:rPr>
              <w:t>电脑</w:t>
            </w:r>
          </w:p>
        </w:tc>
        <w:tc>
          <w:tcPr>
            <w:tcW w:w="368" w:type="pct"/>
            <w:vAlign w:val="center"/>
          </w:tcPr>
          <w:p>
            <w:pPr>
              <w:spacing w:line="560" w:lineRule="exact"/>
              <w:jc w:val="righ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Cs w:val="21"/>
              </w:rPr>
              <w:t>0.5</w:t>
            </w:r>
          </w:p>
        </w:tc>
        <w:tc>
          <w:tcPr>
            <w:tcW w:w="401" w:type="pct"/>
            <w:vAlign w:val="center"/>
          </w:tcPr>
          <w:p>
            <w:pPr>
              <w:spacing w:line="560" w:lineRule="exact"/>
              <w:jc w:val="lef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384" w:type="pct"/>
            <w:vAlign w:val="center"/>
          </w:tcPr>
          <w:p>
            <w:pPr>
              <w:spacing w:line="560" w:lineRule="exact"/>
              <w:jc w:val="lef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303" w:type="pct"/>
            <w:vAlign w:val="center"/>
          </w:tcPr>
          <w:p>
            <w:pPr>
              <w:spacing w:line="560" w:lineRule="exact"/>
              <w:jc w:val="lef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Cs w:val="21"/>
              </w:rPr>
              <w:t>台</w:t>
            </w:r>
          </w:p>
        </w:tc>
        <w:tc>
          <w:tcPr>
            <w:tcW w:w="303" w:type="pct"/>
            <w:vAlign w:val="center"/>
          </w:tcPr>
          <w:p>
            <w:pPr>
              <w:spacing w:line="560" w:lineRule="exact"/>
              <w:jc w:val="righ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Cs w:val="21"/>
              </w:rPr>
              <w:t>1</w:t>
            </w:r>
          </w:p>
        </w:tc>
        <w:tc>
          <w:tcPr>
            <w:tcW w:w="311" w:type="pct"/>
            <w:vAlign w:val="center"/>
          </w:tcPr>
          <w:p>
            <w:pPr>
              <w:spacing w:line="560" w:lineRule="exact"/>
              <w:jc w:val="righ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Cs w:val="21"/>
              </w:rPr>
              <w:t>0.4</w:t>
            </w:r>
          </w:p>
        </w:tc>
        <w:tc>
          <w:tcPr>
            <w:tcW w:w="310" w:type="pct"/>
            <w:vAlign w:val="center"/>
          </w:tcPr>
          <w:p>
            <w:pPr>
              <w:spacing w:line="560" w:lineRule="exact"/>
              <w:jc w:val="righ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Cs w:val="21"/>
              </w:rPr>
              <w:t>0.4</w:t>
            </w:r>
          </w:p>
        </w:tc>
        <w:tc>
          <w:tcPr>
            <w:tcW w:w="310" w:type="pct"/>
            <w:vAlign w:val="center"/>
          </w:tcPr>
          <w:p>
            <w:pPr>
              <w:spacing w:line="560" w:lineRule="exact"/>
              <w:jc w:val="righ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310" w:type="pct"/>
            <w:vAlign w:val="center"/>
          </w:tcPr>
          <w:p>
            <w:pPr>
              <w:spacing w:line="560" w:lineRule="exact"/>
              <w:jc w:val="righ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Cs w:val="21"/>
              </w:rPr>
              <w:t>0.4</w:t>
            </w:r>
          </w:p>
        </w:tc>
        <w:tc>
          <w:tcPr>
            <w:tcW w:w="282" w:type="pct"/>
            <w:vAlign w:val="center"/>
          </w:tcPr>
          <w:p>
            <w:pPr>
              <w:spacing w:line="560" w:lineRule="exact"/>
              <w:jc w:val="righ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304" w:type="pct"/>
            <w:vAlign w:val="center"/>
          </w:tcPr>
          <w:p>
            <w:pPr>
              <w:spacing w:line="560" w:lineRule="exact"/>
              <w:jc w:val="righ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304" w:type="pct"/>
            <w:vAlign w:val="center"/>
          </w:tcPr>
          <w:p>
            <w:pPr>
              <w:spacing w:line="560" w:lineRule="exact"/>
              <w:jc w:val="right"/>
              <w:rPr>
                <w:rFonts w:cs="Times New Roman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285" w:type="pct"/>
            <w:vAlign w:val="center"/>
          </w:tcPr>
          <w:p>
            <w:pPr>
              <w:spacing w:line="560" w:lineRule="exact"/>
              <w:jc w:val="righ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</w:tbl>
    <w:p>
      <w:pPr>
        <w:widowControl/>
        <w:spacing w:line="360" w:lineRule="auto"/>
        <w:ind w:firstLine="643" w:firstLineChars="200"/>
        <w:jc w:val="left"/>
        <w:rPr>
          <w:rFonts w:ascii="仿宋" w:hAnsi="仿宋" w:eastAsia="仿宋" w:cs="仿宋_GB2312"/>
          <w:b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kern w:val="0"/>
          <w:sz w:val="32"/>
          <w:szCs w:val="32"/>
        </w:rPr>
        <w:t>六、国有资产情况的说明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</w:rPr>
        <w:t>截止上年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末固定资产账面结余101.3万元。其中：房屋价值0万元，车辆价值0万元，其它资产办公用电脑、办公家具、专用设备等价值101.3万元。2018年我单位拟购置1万元。详见下表。</w:t>
      </w:r>
    </w:p>
    <w:p>
      <w:pPr>
        <w:widowControl/>
        <w:spacing w:line="360" w:lineRule="auto"/>
        <w:ind w:firstLine="640" w:firstLineChars="200"/>
        <w:jc w:val="center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部门固定资产占有情况表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编制部门：360成安县教育体育局                          截止时间:2017年12月31日 </w:t>
      </w:r>
    </w:p>
    <w:tbl>
      <w:tblPr>
        <w:tblStyle w:val="7"/>
        <w:tblW w:w="5000" w:type="pct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9"/>
        <w:gridCol w:w="1417"/>
        <w:gridCol w:w="67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22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价值（金额单位：万元）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资产总额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——</w:t>
            </w:r>
          </w:p>
        </w:tc>
        <w:tc>
          <w:tcPr>
            <w:tcW w:w="2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101.3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、房屋（平方米）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其中：办公用房（平方米）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、车辆（台、辆）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、单价在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万元以上的设备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、其他固定资产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30"/>
                <w:szCs w:val="30"/>
              </w:rPr>
              <w:t>101.3</w:t>
            </w:r>
          </w:p>
        </w:tc>
      </w:tr>
    </w:tbl>
    <w:p>
      <w:pPr>
        <w:widowControl/>
        <w:spacing w:line="360" w:lineRule="auto"/>
        <w:ind w:firstLine="643" w:firstLineChars="200"/>
        <w:jc w:val="left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kern w:val="0"/>
          <w:sz w:val="32"/>
          <w:szCs w:val="32"/>
        </w:rPr>
        <w:t>七、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名词解释 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1、财政拨款收入：指</w:t>
      </w:r>
      <w:r>
        <w:rPr>
          <w:rFonts w:hint="eastAsia" w:ascii="仿宋" w:hAnsi="仿宋" w:eastAsia="仿宋" w:cs="仿宋"/>
          <w:kern w:val="0"/>
          <w:sz w:val="32"/>
          <w:szCs w:val="32"/>
        </w:rPr>
        <w:t>财政当年拨付的资金。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微软雅黑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“三公”经费：包括因公出国（境）费、公务接待费和公务用车购置及运行费。因公出国（境）费，指单位工作人员公务出国（境）的住宿费、差旅费、伙食补助费、杂费、培训费等支出。公务接待费，指单位按规定开支的各类公务接待（含外宾接待）支出。公务用车购置及运行费，指单位公务用车购置费及租用费、燃料费、维修费、等支出，公务用车指用于履行公务的机动车辆，包括领导干部专车、一般公务用车和执法执勤等业务用车。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微软雅黑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、年初结转和结余：指以前年度尚未完成，结转到本年仍按照原规定用途继续使用的资金，或项目已完成等产生的结余资金。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微软雅黑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4、基本支出：指单位为了保障其正常运转、完成日常工作任务而发生的人员支出和公用支出。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微软雅黑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5、项目支出：指单位为了特定的工作任务和事业发展目标，在基本支出之外所发生的支出。</w:t>
      </w:r>
    </w:p>
    <w:p>
      <w:pPr>
        <w:widowControl/>
        <w:spacing w:line="360" w:lineRule="auto"/>
        <w:ind w:firstLine="643" w:firstLineChars="200"/>
        <w:jc w:val="left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八、其他需要说明的事项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无其他需要说明的事项</w:t>
      </w:r>
    </w:p>
    <w:p>
      <w:pPr>
        <w:widowControl/>
        <w:spacing w:line="360" w:lineRule="auto"/>
        <w:ind w:firstLine="420" w:firstLineChars="200"/>
        <w:jc w:val="left"/>
      </w:pPr>
    </w:p>
    <w:sectPr>
      <w:pgSz w:w="16839" w:h="11907" w:orient="landscape"/>
      <w:pgMar w:top="1134" w:right="1020" w:bottom="1134" w:left="102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E7100C"/>
    <w:multiLevelType w:val="multilevel"/>
    <w:tmpl w:val="4CE7100C"/>
    <w:lvl w:ilvl="0" w:tentative="0">
      <w:start w:val="2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58512DE9"/>
    <w:multiLevelType w:val="singleLevel"/>
    <w:tmpl w:val="58512DE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0be76cc8-fff9-4a3d-95b2-59fdcaecff74"/>
  </w:docVars>
  <w:rsids>
    <w:rsidRoot w:val="00E810D6"/>
    <w:rsid w:val="00012778"/>
    <w:rsid w:val="00046571"/>
    <w:rsid w:val="000A42C4"/>
    <w:rsid w:val="000C16F5"/>
    <w:rsid w:val="000E10B0"/>
    <w:rsid w:val="00152653"/>
    <w:rsid w:val="001C4BD6"/>
    <w:rsid w:val="00273E63"/>
    <w:rsid w:val="002B3050"/>
    <w:rsid w:val="002D2853"/>
    <w:rsid w:val="002E3A95"/>
    <w:rsid w:val="002F7CEE"/>
    <w:rsid w:val="00313F08"/>
    <w:rsid w:val="0032661F"/>
    <w:rsid w:val="00350D0A"/>
    <w:rsid w:val="00361082"/>
    <w:rsid w:val="003634B1"/>
    <w:rsid w:val="00387026"/>
    <w:rsid w:val="003A20FB"/>
    <w:rsid w:val="003F60A1"/>
    <w:rsid w:val="00422F62"/>
    <w:rsid w:val="004C619F"/>
    <w:rsid w:val="004D3ED9"/>
    <w:rsid w:val="004F5045"/>
    <w:rsid w:val="00525582"/>
    <w:rsid w:val="0054792A"/>
    <w:rsid w:val="005A05CA"/>
    <w:rsid w:val="005B0C25"/>
    <w:rsid w:val="005D136A"/>
    <w:rsid w:val="005D7B6B"/>
    <w:rsid w:val="005F0521"/>
    <w:rsid w:val="0062621A"/>
    <w:rsid w:val="00627D3E"/>
    <w:rsid w:val="00663BEB"/>
    <w:rsid w:val="00685811"/>
    <w:rsid w:val="006D1C5B"/>
    <w:rsid w:val="007A507B"/>
    <w:rsid w:val="007D6BF0"/>
    <w:rsid w:val="008058DC"/>
    <w:rsid w:val="0081554D"/>
    <w:rsid w:val="00851520"/>
    <w:rsid w:val="00854590"/>
    <w:rsid w:val="008C7744"/>
    <w:rsid w:val="00920569"/>
    <w:rsid w:val="00926B95"/>
    <w:rsid w:val="00942DFF"/>
    <w:rsid w:val="009940E9"/>
    <w:rsid w:val="00A0759F"/>
    <w:rsid w:val="00A07D70"/>
    <w:rsid w:val="00A44E12"/>
    <w:rsid w:val="00B008C3"/>
    <w:rsid w:val="00B166D7"/>
    <w:rsid w:val="00B60C48"/>
    <w:rsid w:val="00BA168C"/>
    <w:rsid w:val="00C27019"/>
    <w:rsid w:val="00CF4178"/>
    <w:rsid w:val="00D14AA9"/>
    <w:rsid w:val="00D55FFE"/>
    <w:rsid w:val="00D63BB5"/>
    <w:rsid w:val="00D6652F"/>
    <w:rsid w:val="00DD1F84"/>
    <w:rsid w:val="00DD4CF4"/>
    <w:rsid w:val="00DE4ABF"/>
    <w:rsid w:val="00E5363B"/>
    <w:rsid w:val="00E810D6"/>
    <w:rsid w:val="00E96789"/>
    <w:rsid w:val="00F23C1B"/>
    <w:rsid w:val="00F44F47"/>
    <w:rsid w:val="00F76003"/>
    <w:rsid w:val="00FA5B3B"/>
    <w:rsid w:val="013B67CD"/>
    <w:rsid w:val="01C92FB7"/>
    <w:rsid w:val="01CA412B"/>
    <w:rsid w:val="037D399A"/>
    <w:rsid w:val="03B213E5"/>
    <w:rsid w:val="06096D52"/>
    <w:rsid w:val="06550E5D"/>
    <w:rsid w:val="0726741C"/>
    <w:rsid w:val="08D34D69"/>
    <w:rsid w:val="09E50DB9"/>
    <w:rsid w:val="0BB759F9"/>
    <w:rsid w:val="0CBF7A43"/>
    <w:rsid w:val="0DD4180B"/>
    <w:rsid w:val="130B706D"/>
    <w:rsid w:val="139106CF"/>
    <w:rsid w:val="13DE0FA8"/>
    <w:rsid w:val="163506CD"/>
    <w:rsid w:val="17252863"/>
    <w:rsid w:val="175940C0"/>
    <w:rsid w:val="17C16AC9"/>
    <w:rsid w:val="180D78B9"/>
    <w:rsid w:val="1AEF7278"/>
    <w:rsid w:val="1B2A5EA4"/>
    <w:rsid w:val="1CC97251"/>
    <w:rsid w:val="1CEB0A1C"/>
    <w:rsid w:val="1E8167C1"/>
    <w:rsid w:val="1EAA0AE1"/>
    <w:rsid w:val="1EDF1A3E"/>
    <w:rsid w:val="1F076209"/>
    <w:rsid w:val="21B66276"/>
    <w:rsid w:val="220D23A4"/>
    <w:rsid w:val="228819EE"/>
    <w:rsid w:val="236B2EDB"/>
    <w:rsid w:val="2716314B"/>
    <w:rsid w:val="288A4B30"/>
    <w:rsid w:val="28E516DB"/>
    <w:rsid w:val="299267B6"/>
    <w:rsid w:val="2AD57C75"/>
    <w:rsid w:val="2BAA47A7"/>
    <w:rsid w:val="2D122503"/>
    <w:rsid w:val="2DCE40BA"/>
    <w:rsid w:val="2E066AE5"/>
    <w:rsid w:val="2E2777CE"/>
    <w:rsid w:val="2EE04A84"/>
    <w:rsid w:val="31D059F4"/>
    <w:rsid w:val="32447D17"/>
    <w:rsid w:val="332A0BBD"/>
    <w:rsid w:val="3387759D"/>
    <w:rsid w:val="351C5D1D"/>
    <w:rsid w:val="367A60F8"/>
    <w:rsid w:val="36DF5EE5"/>
    <w:rsid w:val="38963AA1"/>
    <w:rsid w:val="39461E7C"/>
    <w:rsid w:val="39A75722"/>
    <w:rsid w:val="3B325A53"/>
    <w:rsid w:val="3B6E7B6E"/>
    <w:rsid w:val="3C712CD5"/>
    <w:rsid w:val="3CEC5D53"/>
    <w:rsid w:val="441C57E9"/>
    <w:rsid w:val="44240E6E"/>
    <w:rsid w:val="44986D47"/>
    <w:rsid w:val="456A5D0D"/>
    <w:rsid w:val="457C0C14"/>
    <w:rsid w:val="45B90BF3"/>
    <w:rsid w:val="460143F1"/>
    <w:rsid w:val="475B18CD"/>
    <w:rsid w:val="4A4F1F05"/>
    <w:rsid w:val="4B7040C7"/>
    <w:rsid w:val="4CA957E7"/>
    <w:rsid w:val="4D9730D4"/>
    <w:rsid w:val="4E4335D2"/>
    <w:rsid w:val="4EF321A0"/>
    <w:rsid w:val="531B2816"/>
    <w:rsid w:val="54C97044"/>
    <w:rsid w:val="56F63B45"/>
    <w:rsid w:val="58783216"/>
    <w:rsid w:val="59AF56D7"/>
    <w:rsid w:val="5B2B3FCD"/>
    <w:rsid w:val="5BAE356C"/>
    <w:rsid w:val="5CB07A05"/>
    <w:rsid w:val="5CB30E1B"/>
    <w:rsid w:val="5ED17601"/>
    <w:rsid w:val="60F20B27"/>
    <w:rsid w:val="612840F9"/>
    <w:rsid w:val="612F2391"/>
    <w:rsid w:val="61897173"/>
    <w:rsid w:val="63F21B1B"/>
    <w:rsid w:val="65493192"/>
    <w:rsid w:val="666C26EF"/>
    <w:rsid w:val="689A3CE8"/>
    <w:rsid w:val="6B511389"/>
    <w:rsid w:val="6CD9692F"/>
    <w:rsid w:val="6D5763C1"/>
    <w:rsid w:val="6D81148F"/>
    <w:rsid w:val="6E8006EE"/>
    <w:rsid w:val="6ECC4D84"/>
    <w:rsid w:val="70BA2DA1"/>
    <w:rsid w:val="71B87B2B"/>
    <w:rsid w:val="729B4F6A"/>
    <w:rsid w:val="733E01F4"/>
    <w:rsid w:val="7424079F"/>
    <w:rsid w:val="74D4598A"/>
    <w:rsid w:val="76FD3FC3"/>
    <w:rsid w:val="79323770"/>
    <w:rsid w:val="7AA5545A"/>
    <w:rsid w:val="7BA817F2"/>
    <w:rsid w:val="7BAA5900"/>
    <w:rsid w:val="7C930BE7"/>
    <w:rsid w:val="7D9A3104"/>
    <w:rsid w:val="7DB94919"/>
    <w:rsid w:val="7F6D3158"/>
    <w:rsid w:val="7F7850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2"/>
    <w:semiHidden/>
    <w:qFormat/>
    <w:uiPriority w:val="99"/>
    <w:rPr>
      <w:sz w:val="18"/>
      <w:szCs w:val="18"/>
    </w:rPr>
  </w:style>
  <w:style w:type="paragraph" w:customStyle="1" w:styleId="12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D0F3629-00E7-4F56-B3C5-AF90EC9DA9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6418</Words>
  <Characters>6712</Characters>
  <Lines>53</Lines>
  <Paragraphs>15</Paragraphs>
  <TotalTime>2</TotalTime>
  <ScaleCrop>false</ScaleCrop>
  <LinksUpToDate>false</LinksUpToDate>
  <CharactersWithSpaces>6796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2023-11-03T07:26:00Z</dcterms:created>
  <dc:creator>lenovo</dc:creator>
  <cp:lastModifiedBy>admin</cp:lastModifiedBy>
  <cp:lastPrinted>2016-04-01T02:44:00Z</cp:lastPrinted>
  <dcterms:modified xsi:type="dcterms:W3CDTF">2024-01-18T07:02:08Z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045EB9A833C14B23959742836A21313C</vt:lpwstr>
  </property>
</Properties>
</file>