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44"/>
          <w:szCs w:val="44"/>
        </w:rPr>
      </w:pPr>
    </w:p>
    <w:p>
      <w:pPr>
        <w:jc w:val="center"/>
        <w:rPr>
          <w:rFonts w:ascii="宋体" w:cs="Times New Roman"/>
          <w:b/>
          <w:bCs/>
          <w:sz w:val="44"/>
          <w:szCs w:val="44"/>
        </w:rPr>
      </w:pPr>
      <w:r>
        <w:rPr>
          <w:rFonts w:hint="eastAsia" w:ascii="宋体" w:hAnsi="宋体" w:cs="宋体"/>
          <w:b/>
          <w:bCs/>
          <w:sz w:val="44"/>
          <w:szCs w:val="44"/>
        </w:rPr>
        <w:t>成安县农业开发办公室</w:t>
      </w:r>
      <w:r>
        <w:rPr>
          <w:rFonts w:ascii="宋体" w:hAnsi="宋体" w:cs="宋体"/>
          <w:b/>
          <w:bCs/>
          <w:sz w:val="44"/>
          <w:szCs w:val="44"/>
        </w:rPr>
        <w:t>2018</w:t>
      </w:r>
      <w:r>
        <w:rPr>
          <w:rFonts w:hint="eastAsia" w:ascii="宋体" w:hAnsi="宋体" w:cs="宋体"/>
          <w:b/>
          <w:bCs/>
          <w:sz w:val="44"/>
          <w:szCs w:val="44"/>
        </w:rPr>
        <w:t>年部门预算公开</w:t>
      </w:r>
    </w:p>
    <w:p>
      <w:pPr>
        <w:jc w:val="center"/>
        <w:rPr>
          <w:rFonts w:ascii="宋体" w:cs="Times New Roman"/>
          <w:b/>
          <w:bCs/>
          <w:sz w:val="44"/>
          <w:szCs w:val="44"/>
        </w:rPr>
      </w:pPr>
      <w:r>
        <w:rPr>
          <w:rFonts w:hint="eastAsia" w:ascii="宋体" w:hAnsi="宋体" w:cs="宋体"/>
          <w:b/>
          <w:bCs/>
          <w:sz w:val="44"/>
          <w:szCs w:val="44"/>
        </w:rPr>
        <w:t>情况说明</w:t>
      </w:r>
    </w:p>
    <w:p>
      <w:pPr>
        <w:jc w:val="center"/>
        <w:rPr>
          <w:rFonts w:ascii="宋体" w:cs="Times New Roman"/>
        </w:rPr>
      </w:pPr>
      <w:r>
        <w:rPr>
          <w:rFonts w:ascii="宋体" w:hAnsi="宋体" w:cs="宋体"/>
        </w:rPr>
        <w:t xml:space="preserve"> </w:t>
      </w:r>
    </w:p>
    <w:p>
      <w:pPr>
        <w:jc w:val="left"/>
        <w:rPr>
          <w:rFonts w:ascii="仿宋" w:hAnsi="仿宋" w:eastAsia="仿宋" w:cs="Times New Roman"/>
          <w:kern w:val="0"/>
          <w:sz w:val="32"/>
          <w:szCs w:val="32"/>
        </w:rPr>
      </w:pPr>
      <w:r>
        <w:rPr>
          <w:rFonts w:ascii="仿宋_GB2312" w:eastAsia="仿宋_GB2312" w:cs="仿宋_GB2312"/>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按照《预算法》有关规定和财政部关于印发《地方预决算公开操作规程》的通知，</w:t>
      </w:r>
      <w:r>
        <w:rPr>
          <w:rFonts w:hint="eastAsia" w:ascii="仿宋" w:hAnsi="仿宋" w:eastAsia="仿宋" w:cs="仿宋"/>
          <w:kern w:val="0"/>
          <w:sz w:val="32"/>
          <w:szCs w:val="32"/>
        </w:rPr>
        <w:t>现将农业开发办公室</w:t>
      </w:r>
      <w:r>
        <w:rPr>
          <w:rFonts w:ascii="仿宋" w:hAnsi="仿宋" w:eastAsia="仿宋" w:cs="仿宋"/>
          <w:kern w:val="0"/>
          <w:sz w:val="32"/>
          <w:szCs w:val="32"/>
        </w:rPr>
        <w:t>2018</w:t>
      </w:r>
      <w:r>
        <w:rPr>
          <w:rFonts w:hint="eastAsia" w:ascii="仿宋" w:hAnsi="仿宋" w:eastAsia="仿宋" w:cs="仿宋"/>
          <w:kern w:val="0"/>
          <w:sz w:val="32"/>
          <w:szCs w:val="32"/>
        </w:rPr>
        <w:t>年部门预算公开如下：</w:t>
      </w:r>
    </w:p>
    <w:p>
      <w:pPr>
        <w:widowControl/>
        <w:tabs>
          <w:tab w:val="left" w:pos="806"/>
        </w:tabs>
        <w:spacing w:line="360" w:lineRule="auto"/>
        <w:ind w:firstLine="1280" w:firstLineChars="400"/>
        <w:jc w:val="left"/>
        <w:rPr>
          <w:rFonts w:ascii="黑体" w:hAnsi="黑体" w:eastAsia="黑体" w:cs="Times New Roman"/>
          <w:kern w:val="0"/>
          <w:sz w:val="32"/>
          <w:szCs w:val="32"/>
        </w:rPr>
      </w:pPr>
      <w:r>
        <w:rPr>
          <w:rFonts w:hint="eastAsia" w:ascii="黑体" w:hAnsi="黑体" w:eastAsia="黑体" w:cs="黑体"/>
          <w:sz w:val="32"/>
          <w:szCs w:val="32"/>
        </w:rPr>
        <w:t>一、</w:t>
      </w:r>
      <w:r>
        <w:rPr>
          <w:rFonts w:ascii="黑体" w:hAnsi="黑体" w:eastAsia="黑体" w:cs="黑体"/>
          <w:sz w:val="32"/>
          <w:szCs w:val="32"/>
        </w:rPr>
        <w:t xml:space="preserve">  </w:t>
      </w:r>
      <w:r>
        <w:rPr>
          <w:rFonts w:hint="eastAsia" w:ascii="黑体" w:hAnsi="黑体" w:eastAsia="黑体" w:cs="黑体"/>
          <w:sz w:val="32"/>
          <w:szCs w:val="32"/>
        </w:rPr>
        <w:t>部门职责及机构设置情况</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 </w:t>
      </w:r>
      <w:r>
        <w:rPr>
          <w:rFonts w:ascii="仿宋" w:hAnsi="仿宋" w:eastAsia="仿宋" w:cs="仿宋"/>
          <w:kern w:val="0"/>
          <w:sz w:val="32"/>
          <w:szCs w:val="32"/>
        </w:rPr>
        <w:t>1</w:t>
      </w:r>
      <w:r>
        <w:rPr>
          <w:rFonts w:hint="eastAsia" w:ascii="仿宋" w:hAnsi="仿宋" w:eastAsia="仿宋" w:cs="仿宋"/>
          <w:kern w:val="0"/>
          <w:sz w:val="32"/>
          <w:szCs w:val="32"/>
        </w:rPr>
        <w:t>、负责全面贯彻执行国家和省、市</w:t>
      </w:r>
      <w:r>
        <w:fldChar w:fldCharType="begin"/>
      </w:r>
      <w:r>
        <w:instrText xml:space="preserve"> HYPERLINK "http://baike.baidu.com/subview/2160324/2160324.htm" \t "_blank" </w:instrText>
      </w:r>
      <w:r>
        <w:fldChar w:fldCharType="separate"/>
      </w:r>
      <w:r>
        <w:rPr>
          <w:rFonts w:hint="eastAsia" w:ascii="仿宋" w:hAnsi="仿宋" w:eastAsia="仿宋" w:cs="仿宋"/>
          <w:kern w:val="0"/>
          <w:sz w:val="32"/>
          <w:szCs w:val="32"/>
        </w:rPr>
        <w:t>农业综合开发</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的方针、政策，落实项目和</w:t>
      </w:r>
      <w:r>
        <w:fldChar w:fldCharType="begin"/>
      </w:r>
      <w:r>
        <w:instrText xml:space="preserve"> HYPERLINK "http://baike.baidu.com/subview/2247887/2247887.htm" \t "_blank" </w:instrText>
      </w:r>
      <w:r>
        <w:fldChar w:fldCharType="separate"/>
      </w:r>
      <w:r>
        <w:rPr>
          <w:rFonts w:hint="eastAsia" w:ascii="仿宋" w:hAnsi="仿宋" w:eastAsia="仿宋" w:cs="仿宋"/>
          <w:kern w:val="0"/>
          <w:sz w:val="32"/>
          <w:szCs w:val="32"/>
        </w:rPr>
        <w:t>资金管理制度</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；研究制定全县农业综合开发规划、计划和项目管理办法；编制全县农业综合开发中长期发展规划、年度项目计划；加强</w:t>
      </w:r>
      <w:r>
        <w:fldChar w:fldCharType="begin"/>
      </w:r>
      <w:r>
        <w:instrText xml:space="preserve"> HYPERLINK "http://baike.baidu.com/subview/16822/16822.htm" \t "_blank" </w:instrText>
      </w:r>
      <w:r>
        <w:fldChar w:fldCharType="separate"/>
      </w:r>
      <w:r>
        <w:rPr>
          <w:rFonts w:hint="eastAsia" w:ascii="仿宋" w:hAnsi="仿宋" w:eastAsia="仿宋" w:cs="仿宋"/>
          <w:kern w:val="0"/>
          <w:sz w:val="32"/>
          <w:szCs w:val="32"/>
        </w:rPr>
        <w:t>宏观调控</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，引导全县农业综合开发健康发展。</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、负责项目的申报、管理、实施和运行工作，参与管理和统筹安排农业综合开发资金；会同有关部门申报项目。</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、负责全县农业综合开发国家项目和部门项目的组织评估、论证、实施、监督检查及项目的规划设计、建设规模、投资计划及年终考核工作。</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、具体组织实施全县农业综合开发</w:t>
      </w:r>
      <w:r>
        <w:fldChar w:fldCharType="begin"/>
      </w:r>
      <w:r>
        <w:instrText xml:space="preserve"> HYPERLINK "http://baike.baidu.com/subview/818520/818520.htm" \t "_blank" </w:instrText>
      </w:r>
      <w:r>
        <w:fldChar w:fldCharType="separate"/>
      </w:r>
      <w:r>
        <w:rPr>
          <w:rFonts w:hint="eastAsia" w:ascii="仿宋" w:hAnsi="仿宋" w:eastAsia="仿宋" w:cs="仿宋"/>
          <w:kern w:val="0"/>
          <w:sz w:val="32"/>
          <w:szCs w:val="32"/>
        </w:rPr>
        <w:t>土地治理</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、产业化经营项目。包括建立</w:t>
      </w:r>
      <w:r>
        <w:fldChar w:fldCharType="begin"/>
      </w:r>
      <w:r>
        <w:instrText xml:space="preserve"> HYPERLINK "http://baike.baidu.com/subview/890434/890434.htm" \t "_blank" </w:instrText>
      </w:r>
      <w:r>
        <w:fldChar w:fldCharType="separate"/>
      </w:r>
      <w:r>
        <w:rPr>
          <w:rFonts w:hint="eastAsia" w:ascii="仿宋" w:hAnsi="仿宋" w:eastAsia="仿宋" w:cs="仿宋"/>
          <w:kern w:val="0"/>
          <w:sz w:val="32"/>
          <w:szCs w:val="32"/>
        </w:rPr>
        <w:t>项目库</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、编制项目</w:t>
      </w:r>
      <w:r>
        <w:fldChar w:fldCharType="begin"/>
      </w:r>
      <w:r>
        <w:instrText xml:space="preserve"> HYPERLINK "http://baike.baidu.com/subview/1431078/1431078.htm" \t "_blank" </w:instrText>
      </w:r>
      <w:r>
        <w:fldChar w:fldCharType="separate"/>
      </w:r>
      <w:r>
        <w:rPr>
          <w:rFonts w:hint="eastAsia" w:ascii="仿宋" w:hAnsi="仿宋" w:eastAsia="仿宋" w:cs="仿宋"/>
          <w:kern w:val="0"/>
          <w:sz w:val="32"/>
          <w:szCs w:val="32"/>
        </w:rPr>
        <w:t>可研报告</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和实施方案、组织项目实施。</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、负责国家和省立项的农业综合开发项目的招投标及</w:t>
      </w:r>
      <w:r>
        <w:fldChar w:fldCharType="begin"/>
      </w:r>
      <w:r>
        <w:instrText xml:space="preserve"> HYPERLINK "http://baike.baidu.com/subview/9644316/9760377.htm" \t "_blank" </w:instrText>
      </w:r>
      <w:r>
        <w:fldChar w:fldCharType="separate"/>
      </w:r>
      <w:r>
        <w:rPr>
          <w:rFonts w:hint="eastAsia" w:ascii="仿宋" w:hAnsi="仿宋" w:eastAsia="仿宋" w:cs="仿宋"/>
          <w:kern w:val="0"/>
          <w:sz w:val="32"/>
          <w:szCs w:val="32"/>
        </w:rPr>
        <w:t>货物采购</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安排、分配和调整工作，并指导、督促检查</w:t>
      </w:r>
      <w:r>
        <w:fldChar w:fldCharType="begin"/>
      </w:r>
      <w:r>
        <w:instrText xml:space="preserve"> HYPERLINK "http://baike.baidu.com/subview/2926716/2926716.htm" \t "_blank" </w:instrText>
      </w:r>
      <w:r>
        <w:fldChar w:fldCharType="separate"/>
      </w:r>
      <w:r>
        <w:rPr>
          <w:rFonts w:hint="eastAsia" w:ascii="仿宋" w:hAnsi="仿宋" w:eastAsia="仿宋" w:cs="仿宋"/>
          <w:kern w:val="0"/>
          <w:sz w:val="32"/>
          <w:szCs w:val="32"/>
        </w:rPr>
        <w:t>项目执行</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情况，对竣工</w:t>
      </w:r>
      <w:r>
        <w:fldChar w:fldCharType="begin"/>
      </w:r>
      <w:r>
        <w:instrText xml:space="preserve"> HYPERLINK "http://baike.baidu.com/subview/635574/635574.htm" \t "_blank" </w:instrText>
      </w:r>
      <w:r>
        <w:fldChar w:fldCharType="separate"/>
      </w:r>
      <w:r>
        <w:rPr>
          <w:rFonts w:hint="eastAsia" w:ascii="仿宋" w:hAnsi="仿宋" w:eastAsia="仿宋" w:cs="仿宋"/>
          <w:kern w:val="0"/>
          <w:sz w:val="32"/>
          <w:szCs w:val="32"/>
        </w:rPr>
        <w:t>项目组织</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验收。</w:t>
      </w:r>
    </w:p>
    <w:p>
      <w:pPr>
        <w:widowControl/>
        <w:spacing w:line="360" w:lineRule="auto"/>
        <w:ind w:left="838" w:leftChars="399" w:firstLine="438" w:firstLineChars="137"/>
        <w:jc w:val="left"/>
        <w:rPr>
          <w:rFonts w:ascii="仿宋" w:hAnsi="仿宋" w:eastAsia="仿宋" w:cs="Times New Roman"/>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、负责支持、扶持辐射面广、带动力强的重点龙头项目，培育全县农业产业化龙头企业和农民</w:t>
      </w:r>
      <w:r>
        <w:fldChar w:fldCharType="begin"/>
      </w:r>
      <w:r>
        <w:instrText xml:space="preserve"> HYPERLINK "http://baike.baidu.com/subview/429036/429036.htm" \t "_blank" </w:instrText>
      </w:r>
      <w:r>
        <w:fldChar w:fldCharType="separate"/>
      </w:r>
      <w:r>
        <w:rPr>
          <w:rFonts w:hint="eastAsia" w:ascii="仿宋" w:hAnsi="仿宋" w:eastAsia="仿宋" w:cs="仿宋"/>
          <w:kern w:val="0"/>
          <w:sz w:val="32"/>
          <w:szCs w:val="32"/>
        </w:rPr>
        <w:t>合作经济</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组织，发展产业化经营；抓好农业产业化招商引资、技术合作和宣传工作；组织引进国外、县外和社会资金投入</w:t>
      </w:r>
      <w:r>
        <w:fldChar w:fldCharType="begin"/>
      </w:r>
      <w:r>
        <w:instrText xml:space="preserve"> HYPERLINK "http://baike.baidu.com/subview/2160324/2160324.htm" \t "_blank" </w:instrText>
      </w:r>
      <w:r>
        <w:fldChar w:fldCharType="separate"/>
      </w:r>
      <w:r>
        <w:rPr>
          <w:rFonts w:hint="eastAsia" w:ascii="仿宋" w:hAnsi="仿宋" w:eastAsia="仿宋" w:cs="仿宋"/>
          <w:kern w:val="0"/>
          <w:sz w:val="32"/>
          <w:szCs w:val="32"/>
        </w:rPr>
        <w:t>农业综合开发</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，积极开展国际、国内合作与交流。</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7</w:t>
      </w:r>
      <w:r>
        <w:rPr>
          <w:rFonts w:hint="eastAsia" w:ascii="仿宋" w:hAnsi="仿宋" w:eastAsia="仿宋" w:cs="仿宋"/>
          <w:kern w:val="0"/>
          <w:sz w:val="32"/>
          <w:szCs w:val="32"/>
        </w:rPr>
        <w:t>、运用水利、林业、农业、畜牧、能源、科技、财政和产业化等专业措施，依据</w:t>
      </w:r>
      <w:r>
        <w:fldChar w:fldCharType="begin"/>
      </w:r>
      <w:r>
        <w:instrText xml:space="preserve"> HYPERLINK "http://baike.baidu.com/subview/818520/818520.htm" \t "_blank" </w:instrText>
      </w:r>
      <w:r>
        <w:fldChar w:fldCharType="separate"/>
      </w:r>
      <w:r>
        <w:rPr>
          <w:rFonts w:hint="eastAsia" w:ascii="仿宋" w:hAnsi="仿宋" w:eastAsia="仿宋" w:cs="仿宋"/>
          <w:kern w:val="0"/>
          <w:sz w:val="32"/>
          <w:szCs w:val="32"/>
        </w:rPr>
        <w:t>土地治理</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项目、</w:t>
      </w:r>
      <w:r>
        <w:fldChar w:fldCharType="begin"/>
      </w:r>
      <w:r>
        <w:instrText xml:space="preserve"> HYPERLINK "http://baike.baidu.com/subview/1076247/1076247.htm" \t "_blank" </w:instrText>
      </w:r>
      <w:r>
        <w:fldChar w:fldCharType="separate"/>
      </w:r>
      <w:r>
        <w:rPr>
          <w:rFonts w:hint="eastAsia" w:ascii="仿宋" w:hAnsi="仿宋" w:eastAsia="仿宋" w:cs="仿宋"/>
          <w:kern w:val="0"/>
          <w:sz w:val="32"/>
          <w:szCs w:val="32"/>
        </w:rPr>
        <w:t>多种经营</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项目的要求，指导、督促、检查农业综合开发项目建设工作和执行情况，达到农业增效，农民增收，农村稳定的建设目标。</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8</w:t>
      </w:r>
      <w:r>
        <w:rPr>
          <w:rFonts w:hint="eastAsia" w:ascii="仿宋" w:hAnsi="仿宋" w:eastAsia="仿宋" w:cs="仿宋"/>
          <w:kern w:val="0"/>
          <w:sz w:val="32"/>
          <w:szCs w:val="32"/>
        </w:rPr>
        <w:t>、负责项目县农业结构调整、科技成果示范、推广和科技人员的业务技术培训；抓好本部门并指导各项目实施单位农业综合开发队伍建设和业务工作，协调与有关部门的关系；通过引进推广先进</w:t>
      </w:r>
      <w:r>
        <w:fldChar w:fldCharType="begin"/>
      </w:r>
      <w:r>
        <w:instrText xml:space="preserve"> HYPERLINK "http://baike.baidu.com/subview/11790704/12160048.htm" \t "_blank" </w:instrText>
      </w:r>
      <w:r>
        <w:fldChar w:fldCharType="separate"/>
      </w:r>
      <w:r>
        <w:rPr>
          <w:rFonts w:hint="eastAsia" w:ascii="仿宋" w:hAnsi="仿宋" w:eastAsia="仿宋" w:cs="仿宋"/>
          <w:kern w:val="0"/>
          <w:sz w:val="32"/>
          <w:szCs w:val="32"/>
        </w:rPr>
        <w:t>适用技术</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，提高农业综合开发的科技贡献率，促进全县</w:t>
      </w:r>
      <w:r>
        <w:fldChar w:fldCharType="begin"/>
      </w:r>
      <w:r>
        <w:instrText xml:space="preserve"> HYPERLINK "http://baike.baidu.com/subview/2160324/2160324.htm" \t "_blank" </w:instrText>
      </w:r>
      <w:r>
        <w:fldChar w:fldCharType="separate"/>
      </w:r>
      <w:r>
        <w:rPr>
          <w:rFonts w:hint="eastAsia" w:ascii="仿宋" w:hAnsi="仿宋" w:eastAsia="仿宋" w:cs="仿宋"/>
          <w:kern w:val="0"/>
          <w:sz w:val="32"/>
          <w:szCs w:val="32"/>
        </w:rPr>
        <w:t>农业综合开发</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实现农业现代化。</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9</w:t>
      </w:r>
      <w:r>
        <w:rPr>
          <w:rFonts w:hint="eastAsia" w:ascii="仿宋" w:hAnsi="仿宋" w:eastAsia="仿宋" w:cs="仿宋"/>
          <w:kern w:val="0"/>
          <w:sz w:val="32"/>
          <w:szCs w:val="32"/>
        </w:rPr>
        <w:t>、配合财政部门做好农业综合开发项目</w:t>
      </w:r>
      <w:r>
        <w:fldChar w:fldCharType="begin"/>
      </w:r>
      <w:r>
        <w:instrText xml:space="preserve"> HYPERLINK "http://baike.baidu.com/subview/1345662/1345662.htm" \t "_blank" </w:instrText>
      </w:r>
      <w:r>
        <w:fldChar w:fldCharType="separate"/>
      </w:r>
      <w:r>
        <w:rPr>
          <w:rFonts w:hint="eastAsia" w:ascii="仿宋" w:hAnsi="仿宋" w:eastAsia="仿宋" w:cs="仿宋"/>
          <w:kern w:val="0"/>
          <w:sz w:val="32"/>
          <w:szCs w:val="32"/>
        </w:rPr>
        <w:t>资金管理</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工作。</w:t>
      </w:r>
      <w:r>
        <w:rPr>
          <w:rFonts w:ascii="仿宋" w:hAnsi="仿宋" w:eastAsia="仿宋" w:cs="仿宋"/>
          <w:kern w:val="0"/>
          <w:sz w:val="32"/>
          <w:szCs w:val="32"/>
        </w:rPr>
        <w:t>.</w:t>
      </w:r>
      <w:r>
        <w:rPr>
          <w:rFonts w:hint="eastAsia" w:ascii="仿宋" w:hAnsi="仿宋" w:eastAsia="仿宋" w:cs="仿宋"/>
          <w:kern w:val="0"/>
          <w:sz w:val="32"/>
          <w:szCs w:val="32"/>
        </w:rPr>
        <w:t>贯彻落实国家农业综合开发项目与</w:t>
      </w:r>
      <w:r>
        <w:fldChar w:fldCharType="begin"/>
      </w:r>
      <w:r>
        <w:instrText xml:space="preserve"> HYPERLINK "http://baike.baidu.com/subview/2247887/2247887.htm" \t "_blank" </w:instrText>
      </w:r>
      <w:r>
        <w:fldChar w:fldCharType="separate"/>
      </w:r>
      <w:r>
        <w:rPr>
          <w:rFonts w:hint="eastAsia" w:ascii="仿宋" w:hAnsi="仿宋" w:eastAsia="仿宋" w:cs="仿宋"/>
          <w:kern w:val="0"/>
          <w:sz w:val="32"/>
          <w:szCs w:val="32"/>
        </w:rPr>
        <w:t>资金管理制度</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，指导、协调和督促检查农业综合开发资金使用情况。</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10</w:t>
      </w:r>
      <w:r>
        <w:rPr>
          <w:rFonts w:hint="eastAsia" w:ascii="仿宋" w:hAnsi="仿宋" w:eastAsia="仿宋" w:cs="仿宋"/>
          <w:kern w:val="0"/>
          <w:sz w:val="32"/>
          <w:szCs w:val="32"/>
        </w:rPr>
        <w:t>、组织开展全县农业综合开发项目后续管理和开发利用工作，督促各项目实施单位运用开发成果，发挥资源优势，依靠科技进步，加强工程建后管护，不断优化农业结构。</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11</w:t>
      </w:r>
      <w:r>
        <w:rPr>
          <w:rFonts w:hint="eastAsia" w:ascii="仿宋" w:hAnsi="仿宋" w:eastAsia="仿宋" w:cs="仿宋"/>
          <w:kern w:val="0"/>
          <w:sz w:val="32"/>
          <w:szCs w:val="32"/>
        </w:rPr>
        <w:t>、负责制定全县农业综合开发的地方性法规、规章，负责有关法规、规章实施的组织，促进全县农业综合开发工作规范化、制度化、法制化。</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12</w:t>
      </w:r>
      <w:r>
        <w:rPr>
          <w:rFonts w:hint="eastAsia" w:ascii="仿宋" w:hAnsi="仿宋" w:eastAsia="仿宋" w:cs="仿宋"/>
          <w:kern w:val="0"/>
          <w:sz w:val="32"/>
          <w:szCs w:val="32"/>
        </w:rPr>
        <w:t>、负责</w:t>
      </w:r>
      <w:r>
        <w:fldChar w:fldCharType="begin"/>
      </w:r>
      <w:r>
        <w:instrText xml:space="preserve"> HYPERLINK "http://baike.baidu.com/subview/1205725/1205725.htm" \t "_blank" </w:instrText>
      </w:r>
      <w:r>
        <w:fldChar w:fldCharType="separate"/>
      </w:r>
      <w:r>
        <w:rPr>
          <w:rFonts w:hint="eastAsia" w:ascii="仿宋" w:hAnsi="仿宋" w:eastAsia="仿宋" w:cs="仿宋"/>
          <w:kern w:val="0"/>
          <w:sz w:val="32"/>
          <w:szCs w:val="32"/>
        </w:rPr>
        <w:t>项目档案</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资料及信息的整理、汇总、上报工作。</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13</w:t>
      </w:r>
      <w:r>
        <w:rPr>
          <w:rFonts w:hint="eastAsia" w:ascii="仿宋" w:hAnsi="仿宋" w:eastAsia="仿宋" w:cs="仿宋"/>
          <w:kern w:val="0"/>
          <w:sz w:val="32"/>
          <w:szCs w:val="32"/>
        </w:rPr>
        <w:t>、承办县委、县政府交办的其他工作。</w:t>
      </w:r>
    </w:p>
    <w:p>
      <w:pPr>
        <w:widowControl/>
        <w:spacing w:line="360" w:lineRule="auto"/>
        <w:ind w:left="628"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在编人员</w:t>
      </w:r>
      <w:r>
        <w:rPr>
          <w:rFonts w:ascii="仿宋" w:hAnsi="仿宋" w:eastAsia="仿宋" w:cs="仿宋"/>
          <w:kern w:val="0"/>
          <w:sz w:val="32"/>
          <w:szCs w:val="32"/>
        </w:rPr>
        <w:t>10</w:t>
      </w:r>
      <w:r>
        <w:rPr>
          <w:rFonts w:hint="eastAsia" w:ascii="仿宋" w:hAnsi="仿宋" w:eastAsia="仿宋" w:cs="仿宋"/>
          <w:kern w:val="0"/>
          <w:sz w:val="32"/>
          <w:szCs w:val="32"/>
        </w:rPr>
        <w:t>人，领导职数</w:t>
      </w:r>
      <w:r>
        <w:rPr>
          <w:rFonts w:ascii="仿宋" w:hAnsi="仿宋" w:eastAsia="仿宋" w:cs="仿宋"/>
          <w:kern w:val="0"/>
          <w:sz w:val="32"/>
          <w:szCs w:val="32"/>
        </w:rPr>
        <w:t>3</w:t>
      </w:r>
      <w:r>
        <w:rPr>
          <w:rFonts w:hint="eastAsia" w:ascii="仿宋" w:hAnsi="仿宋" w:eastAsia="仿宋" w:cs="仿宋"/>
          <w:kern w:val="0"/>
          <w:sz w:val="32"/>
          <w:szCs w:val="32"/>
        </w:rPr>
        <w:t>人。</w:t>
      </w:r>
    </w:p>
    <w:p>
      <w:pPr>
        <w:widowControl/>
        <w:spacing w:line="360" w:lineRule="auto"/>
        <w:ind w:left="628"/>
        <w:jc w:val="left"/>
        <w:rPr>
          <w:rFonts w:ascii="仿宋" w:hAnsi="仿宋" w:eastAsia="仿宋" w:cs="Times New Roman"/>
          <w:b/>
          <w:bCs/>
          <w:kern w:val="0"/>
          <w:sz w:val="32"/>
          <w:szCs w:val="32"/>
        </w:rPr>
      </w:pPr>
      <w:r>
        <w:rPr>
          <w:rFonts w:hint="eastAsia" w:ascii="仿宋" w:hAnsi="仿宋" w:eastAsia="仿宋" w:cs="仿宋"/>
          <w:b/>
          <w:bCs/>
          <w:kern w:val="0"/>
          <w:sz w:val="32"/>
          <w:szCs w:val="32"/>
        </w:rPr>
        <w:t>内设机构及职责：</w:t>
      </w:r>
    </w:p>
    <w:p>
      <w:pPr>
        <w:jc w:val="center"/>
        <w:outlineLvl w:val="0"/>
        <w:rPr>
          <w:rFonts w:ascii="仿宋" w:hAnsi="仿宋" w:eastAsia="仿宋" w:cs="Times New Roman"/>
          <w:b/>
          <w:bCs/>
          <w:kern w:val="0"/>
          <w:sz w:val="32"/>
          <w:szCs w:val="32"/>
        </w:rPr>
      </w:pPr>
      <w:r>
        <w:rPr>
          <w:rFonts w:hint="eastAsia" w:ascii="仿宋" w:hAnsi="仿宋" w:eastAsia="仿宋" w:cs="仿宋"/>
          <w:sz w:val="32"/>
          <w:szCs w:val="32"/>
        </w:rPr>
        <w:t>部门机构设置情况</w:t>
      </w:r>
    </w:p>
    <w:tbl>
      <w:tblPr>
        <w:tblStyle w:val="6"/>
        <w:tblW w:w="96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53"/>
        <w:gridCol w:w="1830"/>
        <w:gridCol w:w="1803"/>
        <w:gridCol w:w="2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blHeader/>
          <w:jc w:val="center"/>
        </w:trPr>
        <w:tc>
          <w:tcPr>
            <w:tcW w:w="3153" w:type="dxa"/>
            <w:vMerge w:val="restart"/>
            <w:vAlign w:val="center"/>
          </w:tcPr>
          <w:p>
            <w:pPr>
              <w:spacing w:line="300" w:lineRule="exact"/>
              <w:jc w:val="center"/>
              <w:rPr>
                <w:rFonts w:ascii="仿宋" w:hAnsi="仿宋" w:eastAsia="仿宋" w:cs="Times New Roman"/>
                <w:b/>
                <w:bCs/>
                <w:sz w:val="28"/>
                <w:szCs w:val="28"/>
              </w:rPr>
            </w:pPr>
            <w:r>
              <w:rPr>
                <w:rFonts w:hint="eastAsia" w:ascii="仿宋" w:hAnsi="仿宋" w:eastAsia="仿宋" w:cs="仿宋"/>
                <w:b/>
                <w:bCs/>
                <w:sz w:val="28"/>
                <w:szCs w:val="28"/>
              </w:rPr>
              <w:t>单位名称</w:t>
            </w:r>
          </w:p>
        </w:tc>
        <w:tc>
          <w:tcPr>
            <w:tcW w:w="1830" w:type="dxa"/>
            <w:vMerge w:val="restart"/>
            <w:vAlign w:val="center"/>
          </w:tcPr>
          <w:p>
            <w:pPr>
              <w:spacing w:line="300" w:lineRule="exact"/>
              <w:jc w:val="center"/>
              <w:rPr>
                <w:rFonts w:ascii="仿宋" w:hAnsi="仿宋" w:eastAsia="仿宋" w:cs="Times New Roman"/>
                <w:b/>
                <w:bCs/>
                <w:sz w:val="28"/>
                <w:szCs w:val="28"/>
              </w:rPr>
            </w:pPr>
            <w:r>
              <w:rPr>
                <w:rFonts w:hint="eastAsia" w:ascii="仿宋" w:hAnsi="仿宋" w:eastAsia="仿宋" w:cs="仿宋"/>
                <w:b/>
                <w:bCs/>
                <w:sz w:val="28"/>
                <w:szCs w:val="28"/>
              </w:rPr>
              <w:t>单位性质</w:t>
            </w:r>
          </w:p>
        </w:tc>
        <w:tc>
          <w:tcPr>
            <w:tcW w:w="1803" w:type="dxa"/>
            <w:vMerge w:val="restart"/>
            <w:vAlign w:val="center"/>
          </w:tcPr>
          <w:p>
            <w:pPr>
              <w:spacing w:line="300" w:lineRule="exact"/>
              <w:jc w:val="center"/>
              <w:rPr>
                <w:rFonts w:ascii="仿宋" w:hAnsi="仿宋" w:eastAsia="仿宋" w:cs="Times New Roman"/>
                <w:b/>
                <w:bCs/>
                <w:sz w:val="28"/>
                <w:szCs w:val="28"/>
              </w:rPr>
            </w:pPr>
            <w:r>
              <w:rPr>
                <w:rFonts w:hint="eastAsia" w:ascii="仿宋" w:hAnsi="仿宋" w:eastAsia="仿宋" w:cs="仿宋"/>
                <w:b/>
                <w:bCs/>
                <w:sz w:val="28"/>
                <w:szCs w:val="28"/>
              </w:rPr>
              <w:t>单位规格</w:t>
            </w:r>
          </w:p>
        </w:tc>
        <w:tc>
          <w:tcPr>
            <w:tcW w:w="2870" w:type="dxa"/>
            <w:vMerge w:val="restart"/>
            <w:vAlign w:val="center"/>
          </w:tcPr>
          <w:p>
            <w:pPr>
              <w:spacing w:line="300" w:lineRule="exact"/>
              <w:jc w:val="center"/>
              <w:rPr>
                <w:rFonts w:ascii="仿宋" w:hAnsi="仿宋" w:eastAsia="仿宋" w:cs="Times New Roman"/>
                <w:b/>
                <w:bCs/>
                <w:sz w:val="28"/>
                <w:szCs w:val="28"/>
              </w:rPr>
            </w:pPr>
            <w:r>
              <w:rPr>
                <w:rFonts w:hint="eastAsia" w:ascii="仿宋" w:hAnsi="仿宋" w:eastAsia="仿宋" w:cs="仿宋"/>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153" w:type="dxa"/>
            <w:vMerge w:val="continue"/>
            <w:vAlign w:val="center"/>
          </w:tcPr>
          <w:p>
            <w:pPr>
              <w:spacing w:line="300" w:lineRule="exact"/>
              <w:jc w:val="left"/>
              <w:outlineLvl w:val="0"/>
              <w:rPr>
                <w:rFonts w:ascii="仿宋" w:hAnsi="仿宋" w:eastAsia="仿宋" w:cs="Times New Roman"/>
                <w:sz w:val="32"/>
                <w:szCs w:val="32"/>
              </w:rPr>
            </w:pPr>
          </w:p>
        </w:tc>
        <w:tc>
          <w:tcPr>
            <w:tcW w:w="1830" w:type="dxa"/>
            <w:vMerge w:val="continue"/>
            <w:vAlign w:val="center"/>
          </w:tcPr>
          <w:p>
            <w:pPr>
              <w:spacing w:line="300" w:lineRule="exact"/>
              <w:jc w:val="left"/>
              <w:outlineLvl w:val="0"/>
              <w:rPr>
                <w:rFonts w:ascii="仿宋" w:hAnsi="仿宋" w:eastAsia="仿宋" w:cs="Times New Roman"/>
                <w:sz w:val="32"/>
                <w:szCs w:val="32"/>
              </w:rPr>
            </w:pPr>
          </w:p>
        </w:tc>
        <w:tc>
          <w:tcPr>
            <w:tcW w:w="1803" w:type="dxa"/>
            <w:vMerge w:val="continue"/>
            <w:vAlign w:val="center"/>
          </w:tcPr>
          <w:p>
            <w:pPr>
              <w:spacing w:line="300" w:lineRule="exact"/>
              <w:jc w:val="left"/>
              <w:outlineLvl w:val="0"/>
              <w:rPr>
                <w:rFonts w:ascii="仿宋" w:hAnsi="仿宋" w:eastAsia="仿宋" w:cs="Times New Roman"/>
                <w:sz w:val="32"/>
                <w:szCs w:val="32"/>
              </w:rPr>
            </w:pPr>
          </w:p>
        </w:tc>
        <w:tc>
          <w:tcPr>
            <w:tcW w:w="2870" w:type="dxa"/>
            <w:vMerge w:val="continue"/>
            <w:vAlign w:val="center"/>
          </w:tcPr>
          <w:p>
            <w:pPr>
              <w:spacing w:line="300" w:lineRule="exact"/>
              <w:jc w:val="left"/>
              <w:outlineLvl w:val="0"/>
              <w:rPr>
                <w:rFonts w:ascii="仿宋" w:hAnsi="仿宋" w:eastAsia="仿宋"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3153"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kern w:val="0"/>
                <w:sz w:val="24"/>
                <w:szCs w:val="24"/>
              </w:rPr>
              <w:t>成安县农业开发办公室</w:t>
            </w:r>
          </w:p>
        </w:tc>
        <w:tc>
          <w:tcPr>
            <w:tcW w:w="1830" w:type="dxa"/>
            <w:vAlign w:val="center"/>
          </w:tcPr>
          <w:p>
            <w:pPr>
              <w:spacing w:line="300" w:lineRule="exact"/>
              <w:rPr>
                <w:rFonts w:ascii="仿宋" w:hAnsi="仿宋" w:eastAsia="仿宋" w:cs="Times New Roman"/>
                <w:sz w:val="32"/>
                <w:szCs w:val="32"/>
              </w:rPr>
            </w:pPr>
            <w:r>
              <w:rPr>
                <w:rFonts w:hint="eastAsia" w:ascii="仿宋" w:hAnsi="仿宋" w:eastAsia="仿宋" w:cs="仿宋"/>
                <w:kern w:val="0"/>
                <w:sz w:val="24"/>
                <w:szCs w:val="24"/>
              </w:rPr>
              <w:t>全额参公事业单位</w:t>
            </w:r>
          </w:p>
        </w:tc>
        <w:tc>
          <w:tcPr>
            <w:tcW w:w="1803"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kern w:val="0"/>
                <w:sz w:val="24"/>
                <w:szCs w:val="24"/>
              </w:rPr>
              <w:t>正科级</w:t>
            </w:r>
          </w:p>
        </w:tc>
        <w:tc>
          <w:tcPr>
            <w:tcW w:w="2870" w:type="dxa"/>
            <w:vAlign w:val="center"/>
          </w:tcPr>
          <w:p>
            <w:pPr>
              <w:spacing w:line="300" w:lineRule="exact"/>
              <w:ind w:firstLine="443"/>
              <w:jc w:val="center"/>
              <w:rPr>
                <w:rFonts w:ascii="仿宋" w:hAnsi="仿宋" w:eastAsia="仿宋" w:cs="Times New Roman"/>
                <w:sz w:val="32"/>
                <w:szCs w:val="32"/>
              </w:rPr>
            </w:pPr>
            <w:r>
              <w:rPr>
                <w:rFonts w:hint="eastAsia" w:ascii="仿宋" w:hAnsi="仿宋" w:eastAsia="仿宋" w:cs="仿宋"/>
                <w:kern w:val="0"/>
                <w:sz w:val="24"/>
                <w:szCs w:val="24"/>
              </w:rPr>
              <w:t>财政性质资金基本保证</w:t>
            </w:r>
          </w:p>
        </w:tc>
      </w:tr>
    </w:tbl>
    <w:p>
      <w:pPr>
        <w:widowControl/>
        <w:spacing w:line="360" w:lineRule="auto"/>
        <w:ind w:left="628"/>
        <w:jc w:val="center"/>
        <w:rPr>
          <w:rFonts w:ascii="仿宋" w:hAnsi="仿宋" w:eastAsia="仿宋" w:cs="Times New Roman"/>
          <w:b/>
          <w:bCs/>
          <w:kern w:val="0"/>
          <w:sz w:val="32"/>
          <w:szCs w:val="32"/>
        </w:rPr>
      </w:pP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成安县农业开发办公室单位性质为全额参公事业单位，办公室下设二个股级机构：秘书科、项目科。</w:t>
      </w:r>
      <w:r>
        <w:rPr>
          <w:rFonts w:ascii="仿宋" w:hAnsi="仿宋" w:eastAsia="仿宋" w:cs="仿宋"/>
          <w:kern w:val="0"/>
          <w:sz w:val="32"/>
          <w:szCs w:val="32"/>
        </w:rPr>
        <w:t xml:space="preserve">     </w:t>
      </w:r>
    </w:p>
    <w:p>
      <w:pPr>
        <w:widowControl/>
        <w:spacing w:line="360" w:lineRule="auto"/>
        <w:jc w:val="left"/>
        <w:rPr>
          <w:rFonts w:ascii="黑体" w:hAnsi="黑体" w:eastAsia="黑体" w:cs="Times New Roman"/>
          <w:kern w:val="0"/>
          <w:sz w:val="32"/>
          <w:szCs w:val="32"/>
        </w:rPr>
      </w:pPr>
      <w:r>
        <w:rPr>
          <w:rFonts w:ascii="黑体" w:hAnsi="黑体" w:eastAsia="黑体" w:cs="黑体"/>
          <w:kern w:val="0"/>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二、部门预算安排的总体情况</w:t>
      </w:r>
    </w:p>
    <w:p>
      <w:pPr>
        <w:widowControl/>
        <w:numPr>
          <w:ilvl w:val="0"/>
          <w:numId w:val="1"/>
        </w:numPr>
        <w:spacing w:line="360" w:lineRule="auto"/>
        <w:ind w:left="420" w:leftChars="200" w:firstLine="640" w:firstLineChars="200"/>
        <w:jc w:val="left"/>
        <w:rPr>
          <w:rFonts w:ascii="华文楷体" w:hAnsi="华文楷体" w:eastAsia="华文楷体" w:cs="Times New Roman"/>
          <w:b/>
          <w:bCs/>
          <w:kern w:val="0"/>
          <w:sz w:val="32"/>
          <w:szCs w:val="32"/>
        </w:rPr>
      </w:pPr>
      <w:r>
        <w:rPr>
          <w:rFonts w:hint="eastAsia" w:ascii="华文楷体" w:hAnsi="华文楷体" w:eastAsia="华文楷体" w:cs="华文楷体"/>
          <w:b/>
          <w:bCs/>
          <w:kern w:val="0"/>
          <w:sz w:val="32"/>
          <w:szCs w:val="32"/>
        </w:rPr>
        <w:t>收入说明</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2018</w:t>
      </w:r>
      <w:r>
        <w:rPr>
          <w:rFonts w:hint="eastAsia" w:ascii="仿宋" w:hAnsi="仿宋" w:eastAsia="仿宋" w:cs="仿宋"/>
          <w:kern w:val="0"/>
          <w:sz w:val="32"/>
          <w:szCs w:val="32"/>
        </w:rPr>
        <w:t>年预算收入为</w:t>
      </w:r>
      <w:r>
        <w:rPr>
          <w:rFonts w:ascii="仿宋" w:hAnsi="仿宋" w:eastAsia="仿宋" w:cs="仿宋"/>
          <w:kern w:val="0"/>
          <w:sz w:val="32"/>
          <w:szCs w:val="32"/>
        </w:rPr>
        <w:t>848.76</w:t>
      </w:r>
      <w:r>
        <w:rPr>
          <w:rFonts w:hint="eastAsia" w:ascii="仿宋" w:hAnsi="仿宋" w:eastAsia="仿宋" w:cs="仿宋"/>
          <w:kern w:val="0"/>
          <w:sz w:val="32"/>
          <w:szCs w:val="32"/>
        </w:rPr>
        <w:t>万元，其中：一般公共预算收入</w:t>
      </w:r>
      <w:r>
        <w:rPr>
          <w:rFonts w:ascii="仿宋" w:hAnsi="仿宋" w:eastAsia="仿宋" w:cs="仿宋"/>
          <w:kern w:val="0"/>
          <w:sz w:val="32"/>
          <w:szCs w:val="32"/>
        </w:rPr>
        <w:t>848.76</w:t>
      </w:r>
      <w:r>
        <w:rPr>
          <w:rFonts w:hint="eastAsia" w:ascii="仿宋" w:hAnsi="仿宋" w:eastAsia="仿宋" w:cs="仿宋"/>
          <w:kern w:val="0"/>
          <w:sz w:val="32"/>
          <w:szCs w:val="32"/>
        </w:rPr>
        <w:t>万元，政府性基金收入</w:t>
      </w:r>
      <w:r>
        <w:rPr>
          <w:rFonts w:ascii="仿宋" w:hAnsi="仿宋" w:eastAsia="仿宋" w:cs="仿宋"/>
          <w:kern w:val="0"/>
          <w:sz w:val="32"/>
          <w:szCs w:val="32"/>
        </w:rPr>
        <w:t>0</w:t>
      </w:r>
      <w:r>
        <w:rPr>
          <w:rFonts w:hint="eastAsia" w:ascii="仿宋" w:hAnsi="仿宋" w:eastAsia="仿宋" w:cs="仿宋"/>
          <w:kern w:val="0"/>
          <w:sz w:val="32"/>
          <w:szCs w:val="32"/>
        </w:rPr>
        <w:t>万元，国有资本经营收入</w:t>
      </w:r>
      <w:r>
        <w:rPr>
          <w:rFonts w:ascii="仿宋" w:hAnsi="仿宋" w:eastAsia="仿宋" w:cs="仿宋"/>
          <w:kern w:val="0"/>
          <w:sz w:val="32"/>
          <w:szCs w:val="32"/>
        </w:rPr>
        <w:t>0</w:t>
      </w:r>
      <w:r>
        <w:rPr>
          <w:rFonts w:hint="eastAsia" w:ascii="仿宋" w:hAnsi="仿宋" w:eastAsia="仿宋" w:cs="仿宋"/>
          <w:kern w:val="0"/>
          <w:sz w:val="32"/>
          <w:szCs w:val="32"/>
        </w:rPr>
        <w:t>万元，事业收入</w:t>
      </w:r>
      <w:r>
        <w:rPr>
          <w:rFonts w:ascii="仿宋" w:hAnsi="仿宋" w:eastAsia="仿宋" w:cs="仿宋"/>
          <w:kern w:val="0"/>
          <w:sz w:val="32"/>
          <w:szCs w:val="32"/>
        </w:rPr>
        <w:t>0</w:t>
      </w:r>
      <w:r>
        <w:rPr>
          <w:rFonts w:hint="eastAsia" w:ascii="仿宋" w:hAnsi="仿宋" w:eastAsia="仿宋" w:cs="仿宋"/>
          <w:kern w:val="0"/>
          <w:sz w:val="32"/>
          <w:szCs w:val="32"/>
        </w:rPr>
        <w:t>万元，其他收入</w:t>
      </w:r>
      <w:r>
        <w:rPr>
          <w:rFonts w:ascii="仿宋" w:hAnsi="仿宋" w:eastAsia="仿宋" w:cs="仿宋"/>
          <w:kern w:val="0"/>
          <w:sz w:val="32"/>
          <w:szCs w:val="32"/>
        </w:rPr>
        <w:t>0</w:t>
      </w:r>
      <w:r>
        <w:rPr>
          <w:rFonts w:hint="eastAsia" w:ascii="仿宋" w:hAnsi="仿宋" w:eastAsia="仿宋" w:cs="仿宋"/>
          <w:kern w:val="0"/>
          <w:sz w:val="32"/>
          <w:szCs w:val="32"/>
        </w:rPr>
        <w:t>万元。</w:t>
      </w:r>
    </w:p>
    <w:p>
      <w:pPr>
        <w:widowControl/>
        <w:spacing w:line="360" w:lineRule="auto"/>
        <w:ind w:firstLine="960" w:firstLineChars="300"/>
        <w:jc w:val="left"/>
        <w:rPr>
          <w:rFonts w:ascii="华文楷体" w:hAnsi="华文楷体" w:eastAsia="华文楷体" w:cs="Times New Roman"/>
          <w:b/>
          <w:bCs/>
          <w:kern w:val="0"/>
          <w:sz w:val="32"/>
          <w:szCs w:val="32"/>
        </w:rPr>
      </w:pPr>
      <w:r>
        <w:rPr>
          <w:rFonts w:ascii="华文楷体" w:hAnsi="华文楷体" w:eastAsia="华文楷体" w:cs="华文楷体"/>
          <w:b/>
          <w:bCs/>
          <w:kern w:val="0"/>
          <w:sz w:val="32"/>
          <w:szCs w:val="32"/>
        </w:rPr>
        <w:t>2</w:t>
      </w:r>
      <w:r>
        <w:rPr>
          <w:rFonts w:hint="eastAsia" w:ascii="华文楷体" w:hAnsi="华文楷体" w:eastAsia="华文楷体" w:cs="华文楷体"/>
          <w:b/>
          <w:bCs/>
          <w:kern w:val="0"/>
          <w:sz w:val="32"/>
          <w:szCs w:val="32"/>
        </w:rPr>
        <w:t>、支出说明</w:t>
      </w:r>
    </w:p>
    <w:p>
      <w:pPr>
        <w:widowControl/>
        <w:spacing w:line="360" w:lineRule="auto"/>
        <w:ind w:firstLine="640"/>
        <w:jc w:val="left"/>
        <w:rPr>
          <w:rFonts w:ascii="仿宋" w:hAnsi="仿宋" w:eastAsia="仿宋" w:cs="Times New Roman"/>
          <w:kern w:val="0"/>
          <w:sz w:val="32"/>
          <w:szCs w:val="32"/>
        </w:rPr>
      </w:pPr>
      <w:r>
        <w:rPr>
          <w:rFonts w:ascii="仿宋" w:hAnsi="仿宋" w:eastAsia="仿宋" w:cs="仿宋"/>
          <w:kern w:val="0"/>
          <w:sz w:val="32"/>
          <w:szCs w:val="32"/>
        </w:rPr>
        <w:t>2018</w:t>
      </w:r>
      <w:r>
        <w:rPr>
          <w:rFonts w:hint="eastAsia" w:ascii="仿宋" w:hAnsi="仿宋" w:eastAsia="仿宋" w:cs="仿宋"/>
          <w:kern w:val="0"/>
          <w:sz w:val="32"/>
          <w:szCs w:val="32"/>
        </w:rPr>
        <w:t>年支出预算总额为</w:t>
      </w:r>
      <w:r>
        <w:rPr>
          <w:rFonts w:ascii="仿宋" w:hAnsi="仿宋" w:eastAsia="仿宋" w:cs="仿宋"/>
          <w:kern w:val="0"/>
          <w:sz w:val="32"/>
          <w:szCs w:val="32"/>
        </w:rPr>
        <w:t>848.76</w:t>
      </w:r>
      <w:r>
        <w:rPr>
          <w:rFonts w:hint="eastAsia" w:ascii="仿宋" w:hAnsi="仿宋" w:eastAsia="仿宋" w:cs="仿宋"/>
          <w:kern w:val="0"/>
          <w:sz w:val="32"/>
          <w:szCs w:val="32"/>
        </w:rPr>
        <w:t>万元，其中基本支出万元，包括人员经费</w:t>
      </w:r>
      <w:r>
        <w:rPr>
          <w:rFonts w:ascii="仿宋" w:hAnsi="仿宋" w:eastAsia="仿宋" w:cs="仿宋"/>
          <w:kern w:val="0"/>
          <w:sz w:val="32"/>
          <w:szCs w:val="32"/>
        </w:rPr>
        <w:t>209.76</w:t>
      </w:r>
      <w:r>
        <w:rPr>
          <w:rFonts w:hint="eastAsia" w:ascii="仿宋" w:hAnsi="仿宋" w:eastAsia="仿宋" w:cs="仿宋"/>
          <w:kern w:val="0"/>
          <w:sz w:val="32"/>
          <w:szCs w:val="32"/>
        </w:rPr>
        <w:t>万元，日常公用经费安排</w:t>
      </w:r>
      <w:r>
        <w:rPr>
          <w:rFonts w:ascii="仿宋" w:hAnsi="仿宋" w:eastAsia="仿宋" w:cs="仿宋"/>
          <w:kern w:val="0"/>
          <w:sz w:val="32"/>
          <w:szCs w:val="32"/>
        </w:rPr>
        <w:t>3</w:t>
      </w:r>
      <w:r>
        <w:rPr>
          <w:rFonts w:hint="eastAsia" w:ascii="仿宋" w:hAnsi="仿宋" w:eastAsia="仿宋" w:cs="仿宋"/>
          <w:kern w:val="0"/>
          <w:sz w:val="32"/>
          <w:szCs w:val="32"/>
        </w:rPr>
        <w:t>万元。项目经费</w:t>
      </w:r>
      <w:r>
        <w:rPr>
          <w:rFonts w:ascii="仿宋" w:hAnsi="仿宋" w:eastAsia="仿宋" w:cs="仿宋"/>
          <w:kern w:val="0"/>
          <w:sz w:val="32"/>
          <w:szCs w:val="32"/>
        </w:rPr>
        <w:t>636</w:t>
      </w:r>
      <w:r>
        <w:rPr>
          <w:rFonts w:hint="eastAsia" w:ascii="仿宋" w:hAnsi="仿宋" w:eastAsia="仿宋" w:cs="仿宋"/>
          <w:kern w:val="0"/>
          <w:sz w:val="32"/>
          <w:szCs w:val="32"/>
        </w:rPr>
        <w:t>万元，主要为土地治理项目</w:t>
      </w:r>
      <w:r>
        <w:rPr>
          <w:rFonts w:ascii="仿宋" w:hAnsi="仿宋" w:eastAsia="仿宋" w:cs="仿宋"/>
          <w:kern w:val="0"/>
          <w:sz w:val="32"/>
          <w:szCs w:val="32"/>
        </w:rPr>
        <w:t xml:space="preserve"> </w:t>
      </w:r>
      <w:r>
        <w:rPr>
          <w:rFonts w:hint="eastAsia" w:ascii="仿宋" w:hAnsi="仿宋" w:eastAsia="仿宋" w:cs="仿宋"/>
          <w:kern w:val="0"/>
          <w:sz w:val="32"/>
          <w:szCs w:val="32"/>
        </w:rPr>
        <w:t>。</w:t>
      </w:r>
    </w:p>
    <w:p>
      <w:pPr>
        <w:widowControl/>
        <w:spacing w:line="360" w:lineRule="auto"/>
        <w:ind w:firstLine="640"/>
        <w:jc w:val="left"/>
        <w:rPr>
          <w:rFonts w:ascii="华文楷体" w:hAnsi="华文楷体" w:eastAsia="华文楷体" w:cs="Times New Roman"/>
          <w:b/>
          <w:bCs/>
          <w:kern w:val="0"/>
          <w:sz w:val="32"/>
          <w:szCs w:val="32"/>
        </w:rPr>
      </w:pPr>
      <w:r>
        <w:rPr>
          <w:rFonts w:ascii="华文楷体" w:hAnsi="华文楷体" w:eastAsia="华文楷体" w:cs="华文楷体"/>
          <w:b/>
          <w:bCs/>
          <w:kern w:val="0"/>
          <w:sz w:val="32"/>
          <w:szCs w:val="32"/>
        </w:rPr>
        <w:t>3</w:t>
      </w:r>
      <w:r>
        <w:rPr>
          <w:rFonts w:hint="eastAsia" w:ascii="华文楷体" w:hAnsi="华文楷体" w:eastAsia="华文楷体" w:cs="华文楷体"/>
          <w:b/>
          <w:bCs/>
          <w:kern w:val="0"/>
          <w:sz w:val="32"/>
          <w:szCs w:val="32"/>
        </w:rPr>
        <w:t>、比上年增减变化情况</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2018</w:t>
      </w:r>
      <w:r>
        <w:rPr>
          <w:rFonts w:hint="eastAsia" w:ascii="仿宋" w:hAnsi="仿宋" w:eastAsia="仿宋" w:cs="仿宋"/>
          <w:kern w:val="0"/>
          <w:sz w:val="32"/>
          <w:szCs w:val="32"/>
        </w:rPr>
        <w:t>年预算收支安排</w:t>
      </w:r>
      <w:r>
        <w:rPr>
          <w:rFonts w:ascii="仿宋" w:hAnsi="仿宋" w:eastAsia="仿宋" w:cs="仿宋"/>
          <w:kern w:val="0"/>
          <w:sz w:val="32"/>
          <w:szCs w:val="32"/>
        </w:rPr>
        <w:t>848.76</w:t>
      </w:r>
      <w:r>
        <w:rPr>
          <w:rFonts w:hint="eastAsia" w:ascii="仿宋" w:hAnsi="仿宋" w:eastAsia="仿宋" w:cs="仿宋"/>
          <w:kern w:val="0"/>
          <w:sz w:val="32"/>
          <w:szCs w:val="32"/>
        </w:rPr>
        <w:t>万元，较</w:t>
      </w:r>
      <w:r>
        <w:rPr>
          <w:rFonts w:ascii="仿宋" w:hAnsi="仿宋" w:eastAsia="仿宋" w:cs="仿宋"/>
          <w:kern w:val="0"/>
          <w:sz w:val="32"/>
          <w:szCs w:val="32"/>
        </w:rPr>
        <w:t>2016</w:t>
      </w:r>
      <w:r>
        <w:rPr>
          <w:rFonts w:hint="eastAsia" w:ascii="仿宋" w:hAnsi="仿宋" w:eastAsia="仿宋" w:cs="仿宋"/>
          <w:kern w:val="0"/>
          <w:sz w:val="32"/>
          <w:szCs w:val="32"/>
        </w:rPr>
        <w:t>年预算减少</w:t>
      </w:r>
      <w:r>
        <w:rPr>
          <w:rFonts w:ascii="仿宋" w:hAnsi="仿宋" w:eastAsia="仿宋" w:cs="仿宋"/>
          <w:kern w:val="0"/>
          <w:sz w:val="32"/>
          <w:szCs w:val="32"/>
        </w:rPr>
        <w:t>338.65</w:t>
      </w:r>
      <w:r>
        <w:rPr>
          <w:rFonts w:hint="eastAsia" w:ascii="仿宋" w:hAnsi="仿宋" w:eastAsia="仿宋" w:cs="仿宋"/>
          <w:kern w:val="0"/>
          <w:sz w:val="32"/>
          <w:szCs w:val="32"/>
        </w:rPr>
        <w:t>万元，其中：基本支出增加</w:t>
      </w:r>
      <w:r>
        <w:rPr>
          <w:rFonts w:ascii="仿宋" w:hAnsi="仿宋" w:eastAsia="仿宋" w:cs="仿宋"/>
          <w:kern w:val="0"/>
          <w:sz w:val="32"/>
          <w:szCs w:val="32"/>
        </w:rPr>
        <w:t>25.35</w:t>
      </w:r>
      <w:r>
        <w:rPr>
          <w:rFonts w:hint="eastAsia" w:ascii="仿宋" w:hAnsi="仿宋" w:eastAsia="仿宋" w:cs="仿宋"/>
          <w:kern w:val="0"/>
          <w:sz w:val="32"/>
          <w:szCs w:val="32"/>
        </w:rPr>
        <w:t>万元，主要原因是工资调高。项目支出减少</w:t>
      </w:r>
      <w:r>
        <w:rPr>
          <w:rFonts w:ascii="仿宋" w:hAnsi="仿宋" w:eastAsia="仿宋" w:cs="仿宋"/>
          <w:kern w:val="0"/>
          <w:sz w:val="32"/>
          <w:szCs w:val="32"/>
        </w:rPr>
        <w:t>364</w:t>
      </w:r>
      <w:r>
        <w:rPr>
          <w:rFonts w:hint="eastAsia" w:ascii="仿宋" w:hAnsi="仿宋" w:eastAsia="仿宋" w:cs="仿宋"/>
          <w:kern w:val="0"/>
          <w:sz w:val="32"/>
          <w:szCs w:val="32"/>
        </w:rPr>
        <w:t>万元。</w:t>
      </w:r>
    </w:p>
    <w:p>
      <w:pPr>
        <w:widowControl/>
        <w:spacing w:line="360" w:lineRule="auto"/>
        <w:ind w:firstLine="800" w:firstLineChars="250"/>
        <w:jc w:val="left"/>
        <w:rPr>
          <w:rFonts w:ascii="黑体" w:hAnsi="黑体" w:eastAsia="黑体" w:cs="Times New Roman"/>
          <w:kern w:val="0"/>
          <w:sz w:val="32"/>
          <w:szCs w:val="32"/>
        </w:rPr>
      </w:pPr>
      <w:r>
        <w:rPr>
          <w:rFonts w:hint="eastAsia" w:ascii="黑体" w:hAnsi="黑体" w:eastAsia="黑体" w:cs="黑体"/>
          <w:sz w:val="32"/>
          <w:szCs w:val="32"/>
        </w:rPr>
        <w:t>三、机关运行经费安排情况</w:t>
      </w:r>
    </w:p>
    <w:p>
      <w:pPr>
        <w:widowControl/>
        <w:spacing w:line="360" w:lineRule="auto"/>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机关运行经费共计</w:t>
      </w:r>
      <w:r>
        <w:rPr>
          <w:rFonts w:ascii="仿宋" w:hAnsi="仿宋" w:eastAsia="仿宋" w:cs="仿宋"/>
          <w:kern w:val="0"/>
          <w:sz w:val="32"/>
          <w:szCs w:val="32"/>
        </w:rPr>
        <w:t>205.76</w:t>
      </w:r>
      <w:r>
        <w:rPr>
          <w:rFonts w:hint="eastAsia" w:ascii="仿宋" w:hAnsi="仿宋" w:eastAsia="仿宋" w:cs="仿宋"/>
          <w:kern w:val="0"/>
          <w:sz w:val="32"/>
          <w:szCs w:val="32"/>
        </w:rPr>
        <w:t>万元，其中日常经费</w:t>
      </w:r>
      <w:r>
        <w:rPr>
          <w:rFonts w:ascii="仿宋" w:hAnsi="仿宋" w:eastAsia="仿宋" w:cs="仿宋"/>
          <w:kern w:val="0"/>
          <w:sz w:val="32"/>
          <w:szCs w:val="32"/>
        </w:rPr>
        <w:t>3</w:t>
      </w:r>
      <w:r>
        <w:rPr>
          <w:rFonts w:hint="eastAsia" w:ascii="仿宋" w:hAnsi="仿宋" w:eastAsia="仿宋" w:cs="仿宋"/>
          <w:kern w:val="0"/>
          <w:sz w:val="32"/>
          <w:szCs w:val="32"/>
        </w:rPr>
        <w:t>万元，主要用于办公费、差旅费、水费、电费、会议费、招待费、转移支付，其他支出等。人员经费支出</w:t>
      </w:r>
      <w:r>
        <w:rPr>
          <w:rFonts w:ascii="仿宋" w:hAnsi="仿宋" w:eastAsia="仿宋" w:cs="仿宋"/>
          <w:kern w:val="0"/>
          <w:sz w:val="32"/>
          <w:szCs w:val="32"/>
        </w:rPr>
        <w:t>202.76</w:t>
      </w:r>
      <w:r>
        <w:rPr>
          <w:rFonts w:hint="eastAsia" w:ascii="仿宋" w:hAnsi="仿宋" w:eastAsia="仿宋" w:cs="仿宋"/>
          <w:kern w:val="0"/>
          <w:sz w:val="32"/>
          <w:szCs w:val="32"/>
        </w:rPr>
        <w:t>万元，同比去年增长</w:t>
      </w:r>
      <w:r>
        <w:rPr>
          <w:rFonts w:ascii="仿宋" w:hAnsi="仿宋" w:eastAsia="仿宋" w:cs="仿宋"/>
          <w:kern w:val="0"/>
          <w:sz w:val="32"/>
          <w:szCs w:val="32"/>
        </w:rPr>
        <w:t>1.12%</w:t>
      </w:r>
      <w:r>
        <w:rPr>
          <w:rFonts w:hint="eastAsia" w:ascii="仿宋" w:hAnsi="仿宋" w:eastAsia="仿宋" w:cs="仿宋"/>
          <w:kern w:val="0"/>
          <w:sz w:val="32"/>
          <w:szCs w:val="32"/>
        </w:rPr>
        <w:t>。增长原因是</w:t>
      </w:r>
      <w:r>
        <w:rPr>
          <w:rFonts w:ascii="仿宋" w:hAnsi="仿宋" w:eastAsia="仿宋" w:cs="仿宋"/>
          <w:kern w:val="0"/>
          <w:sz w:val="32"/>
          <w:szCs w:val="32"/>
        </w:rPr>
        <w:t>2016</w:t>
      </w:r>
      <w:r>
        <w:rPr>
          <w:rFonts w:hint="eastAsia" w:ascii="仿宋" w:hAnsi="仿宋" w:eastAsia="仿宋" w:cs="仿宋"/>
          <w:kern w:val="0"/>
          <w:sz w:val="32"/>
          <w:szCs w:val="32"/>
        </w:rPr>
        <w:t>年机关事业单位统一调高了工资标准。其中，工资福利支出</w:t>
      </w:r>
      <w:r>
        <w:rPr>
          <w:rFonts w:ascii="仿宋" w:hAnsi="仿宋" w:eastAsia="仿宋" w:cs="仿宋"/>
          <w:kern w:val="0"/>
          <w:sz w:val="32"/>
          <w:szCs w:val="32"/>
        </w:rPr>
        <w:t>182.54</w:t>
      </w:r>
      <w:r>
        <w:rPr>
          <w:rFonts w:hint="eastAsia" w:ascii="仿宋" w:hAnsi="仿宋" w:eastAsia="仿宋" w:cs="仿宋"/>
          <w:kern w:val="0"/>
          <w:sz w:val="32"/>
          <w:szCs w:val="32"/>
        </w:rPr>
        <w:t>万元，对个人和家庭的补助支出</w:t>
      </w:r>
      <w:r>
        <w:rPr>
          <w:rFonts w:ascii="仿宋" w:hAnsi="仿宋" w:eastAsia="仿宋" w:cs="仿宋"/>
          <w:kern w:val="0"/>
          <w:sz w:val="32"/>
          <w:szCs w:val="32"/>
        </w:rPr>
        <w:t>20.22</w:t>
      </w:r>
      <w:r>
        <w:rPr>
          <w:rFonts w:hint="eastAsia" w:ascii="仿宋" w:hAnsi="仿宋" w:eastAsia="仿宋" w:cs="仿宋"/>
          <w:kern w:val="0"/>
          <w:sz w:val="32"/>
          <w:szCs w:val="32"/>
        </w:rPr>
        <w:t>万元。</w:t>
      </w:r>
    </w:p>
    <w:p>
      <w:pPr>
        <w:widowControl/>
        <w:spacing w:line="360" w:lineRule="auto"/>
        <w:ind w:firstLine="1056" w:firstLineChars="33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widowControl/>
        <w:spacing w:line="360" w:lineRule="auto"/>
        <w:ind w:left="420" w:leftChars="200" w:firstLine="640" w:firstLineChars="200"/>
        <w:jc w:val="left"/>
        <w:rPr>
          <w:rFonts w:ascii="仿宋" w:hAnsi="仿宋" w:eastAsia="仿宋" w:cs="Times New Roman"/>
          <w:kern w:val="0"/>
          <w:sz w:val="32"/>
          <w:szCs w:val="32"/>
        </w:rPr>
      </w:pPr>
      <w:r>
        <w:rPr>
          <w:rFonts w:ascii="仿宋" w:hAnsi="仿宋" w:eastAsia="仿宋" w:cs="仿宋"/>
          <w:kern w:val="0"/>
          <w:sz w:val="32"/>
          <w:szCs w:val="32"/>
        </w:rPr>
        <w:t>2018</w:t>
      </w:r>
      <w:r>
        <w:rPr>
          <w:rFonts w:hint="eastAsia" w:ascii="仿宋" w:hAnsi="仿宋" w:eastAsia="仿宋" w:cs="仿宋"/>
          <w:kern w:val="0"/>
          <w:sz w:val="32"/>
          <w:szCs w:val="32"/>
        </w:rPr>
        <w:t>年，我单位“三公”经费预算安排</w:t>
      </w:r>
      <w:r>
        <w:rPr>
          <w:rFonts w:ascii="仿宋" w:hAnsi="仿宋" w:eastAsia="仿宋" w:cs="仿宋"/>
          <w:kern w:val="0"/>
          <w:sz w:val="32"/>
          <w:szCs w:val="32"/>
        </w:rPr>
        <w:t>3</w:t>
      </w:r>
      <w:r>
        <w:rPr>
          <w:rFonts w:hint="eastAsia" w:ascii="仿宋" w:hAnsi="仿宋" w:eastAsia="仿宋" w:cs="仿宋"/>
          <w:kern w:val="0"/>
          <w:sz w:val="32"/>
          <w:szCs w:val="32"/>
        </w:rPr>
        <w:t>万元，其中，因公出国（境）费</w:t>
      </w:r>
      <w:r>
        <w:rPr>
          <w:rFonts w:ascii="仿宋" w:hAnsi="仿宋" w:eastAsia="仿宋" w:cs="仿宋"/>
          <w:kern w:val="0"/>
          <w:sz w:val="32"/>
          <w:szCs w:val="32"/>
        </w:rPr>
        <w:t>0</w:t>
      </w:r>
      <w:r>
        <w:rPr>
          <w:rFonts w:hint="eastAsia" w:ascii="仿宋" w:hAnsi="仿宋" w:eastAsia="仿宋" w:cs="仿宋"/>
          <w:kern w:val="0"/>
          <w:sz w:val="32"/>
          <w:szCs w:val="32"/>
        </w:rPr>
        <w:t>元，安排公务用车维护费</w:t>
      </w:r>
      <w:r>
        <w:rPr>
          <w:rFonts w:ascii="仿宋" w:hAnsi="仿宋" w:eastAsia="仿宋" w:cs="仿宋"/>
          <w:kern w:val="0"/>
          <w:sz w:val="32"/>
          <w:szCs w:val="32"/>
        </w:rPr>
        <w:t>2.8</w:t>
      </w:r>
      <w:r>
        <w:rPr>
          <w:rFonts w:hint="eastAsia" w:ascii="仿宋" w:hAnsi="仿宋" w:eastAsia="仿宋" w:cs="仿宋"/>
          <w:kern w:val="0"/>
          <w:sz w:val="32"/>
          <w:szCs w:val="32"/>
        </w:rPr>
        <w:t>万元，（其中公务用车购置费</w:t>
      </w:r>
      <w:r>
        <w:rPr>
          <w:rFonts w:ascii="仿宋" w:hAnsi="仿宋" w:eastAsia="仿宋" w:cs="仿宋"/>
          <w:kern w:val="0"/>
          <w:sz w:val="32"/>
          <w:szCs w:val="32"/>
        </w:rPr>
        <w:t>0</w:t>
      </w:r>
      <w:r>
        <w:rPr>
          <w:rFonts w:hint="eastAsia" w:ascii="仿宋" w:hAnsi="仿宋" w:eastAsia="仿宋" w:cs="仿宋"/>
          <w:kern w:val="0"/>
          <w:sz w:val="32"/>
          <w:szCs w:val="32"/>
        </w:rPr>
        <w:t>元，公务用车运行维护费</w:t>
      </w:r>
      <w:r>
        <w:rPr>
          <w:rFonts w:ascii="仿宋" w:hAnsi="仿宋" w:eastAsia="仿宋" w:cs="仿宋"/>
          <w:kern w:val="0"/>
          <w:sz w:val="32"/>
          <w:szCs w:val="32"/>
        </w:rPr>
        <w:t>2.8</w:t>
      </w:r>
      <w:r>
        <w:rPr>
          <w:rFonts w:hint="eastAsia" w:ascii="仿宋" w:hAnsi="仿宋" w:eastAsia="仿宋" w:cs="仿宋"/>
          <w:kern w:val="0"/>
          <w:sz w:val="32"/>
          <w:szCs w:val="32"/>
        </w:rPr>
        <w:t>万元），公务接等费</w:t>
      </w:r>
      <w:r>
        <w:rPr>
          <w:rFonts w:ascii="仿宋" w:hAnsi="仿宋" w:eastAsia="仿宋" w:cs="仿宋"/>
          <w:kern w:val="0"/>
          <w:sz w:val="32"/>
          <w:szCs w:val="32"/>
        </w:rPr>
        <w:t>0</w:t>
      </w:r>
      <w:r>
        <w:rPr>
          <w:rFonts w:hint="eastAsia" w:ascii="仿宋" w:hAnsi="仿宋" w:eastAsia="仿宋" w:cs="仿宋"/>
          <w:kern w:val="0"/>
          <w:sz w:val="32"/>
          <w:szCs w:val="32"/>
        </w:rPr>
        <w:t>万元，</w:t>
      </w:r>
      <w:r>
        <w:rPr>
          <w:rFonts w:ascii="仿宋" w:hAnsi="仿宋" w:eastAsia="仿宋" w:cs="仿宋"/>
          <w:kern w:val="0"/>
          <w:sz w:val="32"/>
          <w:szCs w:val="32"/>
        </w:rPr>
        <w:t>2018</w:t>
      </w:r>
      <w:r>
        <w:rPr>
          <w:rFonts w:hint="eastAsia" w:ascii="仿宋" w:hAnsi="仿宋" w:eastAsia="仿宋" w:cs="仿宋"/>
          <w:kern w:val="0"/>
          <w:sz w:val="32"/>
          <w:szCs w:val="32"/>
        </w:rPr>
        <w:t>年“三公”经费预算减少了</w:t>
      </w:r>
      <w:r>
        <w:rPr>
          <w:rFonts w:ascii="仿宋" w:hAnsi="仿宋" w:eastAsia="仿宋" w:cs="仿宋"/>
          <w:kern w:val="0"/>
          <w:sz w:val="32"/>
          <w:szCs w:val="32"/>
        </w:rPr>
        <w:t>0.93%</w:t>
      </w:r>
      <w:r>
        <w:rPr>
          <w:rFonts w:hint="eastAsia" w:ascii="仿宋" w:hAnsi="仿宋" w:eastAsia="仿宋" w:cs="仿宋"/>
          <w:kern w:val="0"/>
          <w:sz w:val="32"/>
          <w:szCs w:val="32"/>
        </w:rPr>
        <w:t>。“三公”经费增减原因：油修费用预算</w:t>
      </w:r>
      <w:r>
        <w:rPr>
          <w:rFonts w:hint="eastAsia" w:ascii="仿宋" w:hAnsi="仿宋" w:eastAsia="仿宋" w:cs="仿宋"/>
          <w:kern w:val="0"/>
          <w:sz w:val="32"/>
          <w:szCs w:val="32"/>
          <w:lang w:eastAsia="zh-CN"/>
        </w:rPr>
        <w:t>安</w:t>
      </w:r>
      <w:r>
        <w:rPr>
          <w:rFonts w:hint="eastAsia" w:ascii="仿宋" w:hAnsi="仿宋" w:eastAsia="仿宋" w:cs="仿宋"/>
          <w:kern w:val="0"/>
          <w:sz w:val="32"/>
          <w:szCs w:val="32"/>
        </w:rPr>
        <w:t>排减少。</w:t>
      </w:r>
      <w:bookmarkStart w:id="0" w:name="_GoBack"/>
      <w:bookmarkEnd w:id="0"/>
    </w:p>
    <w:p>
      <w:pPr>
        <w:widowControl/>
        <w:spacing w:line="360" w:lineRule="auto"/>
        <w:ind w:firstLine="419" w:firstLineChars="131"/>
        <w:jc w:val="left"/>
        <w:rPr>
          <w:rFonts w:ascii="黑体" w:hAnsi="黑体" w:eastAsia="黑体" w:cs="Times New Roman"/>
          <w:sz w:val="32"/>
          <w:szCs w:val="32"/>
        </w:rPr>
      </w:pPr>
      <w:r>
        <w:rPr>
          <w:rFonts w:hint="eastAsia" w:ascii="黑体" w:hAnsi="黑体" w:eastAsia="黑体" w:cs="黑体"/>
          <w:sz w:val="32"/>
          <w:szCs w:val="32"/>
        </w:rPr>
        <w:t>五、绩效预算信息</w:t>
      </w:r>
    </w:p>
    <w:p>
      <w:pPr>
        <w:widowControl/>
        <w:spacing w:line="360" w:lineRule="auto"/>
        <w:ind w:firstLine="904" w:firstLineChars="300"/>
        <w:jc w:val="left"/>
        <w:rPr>
          <w:rFonts w:ascii="仿宋" w:hAnsi="仿宋" w:eastAsia="仿宋" w:cs="Times New Roman"/>
          <w:b/>
          <w:bCs/>
          <w:kern w:val="0"/>
          <w:sz w:val="30"/>
          <w:szCs w:val="30"/>
        </w:rPr>
      </w:pPr>
      <w:r>
        <w:rPr>
          <w:rFonts w:hint="eastAsia" w:ascii="仿宋" w:hAnsi="仿宋" w:eastAsia="仿宋" w:cs="仿宋"/>
          <w:b/>
          <w:bCs/>
          <w:kern w:val="0"/>
          <w:sz w:val="30"/>
          <w:szCs w:val="30"/>
        </w:rPr>
        <w:t>部门职责及工作活动绩效目标指：</w:t>
      </w:r>
    </w:p>
    <w:p>
      <w:pPr>
        <w:widowControl/>
        <w:spacing w:line="360" w:lineRule="auto"/>
        <w:jc w:val="center"/>
        <w:rPr>
          <w:rFonts w:ascii="仿宋" w:hAnsi="仿宋" w:eastAsia="仿宋" w:cs="Times New Roman"/>
          <w:b/>
          <w:bCs/>
          <w:kern w:val="0"/>
          <w:sz w:val="32"/>
          <w:szCs w:val="32"/>
        </w:rPr>
      </w:pPr>
      <w:r>
        <w:rPr>
          <w:rFonts w:hint="eastAsia" w:ascii="仿宋" w:hAnsi="仿宋" w:eastAsia="仿宋" w:cs="仿宋"/>
          <w:b/>
          <w:bCs/>
          <w:kern w:val="0"/>
          <w:sz w:val="32"/>
          <w:szCs w:val="32"/>
        </w:rPr>
        <w:t>部门职责</w:t>
      </w:r>
      <w:r>
        <w:rPr>
          <w:rFonts w:ascii="仿宋" w:hAnsi="仿宋" w:eastAsia="仿宋" w:cs="仿宋"/>
          <w:b/>
          <w:bCs/>
          <w:kern w:val="0"/>
          <w:sz w:val="32"/>
          <w:szCs w:val="32"/>
        </w:rPr>
        <w:t>--</w:t>
      </w:r>
      <w:r>
        <w:rPr>
          <w:rFonts w:hint="eastAsia" w:ascii="仿宋" w:hAnsi="仿宋" w:eastAsia="仿宋" w:cs="仿宋"/>
          <w:b/>
          <w:bCs/>
          <w:kern w:val="0"/>
          <w:sz w:val="32"/>
          <w:szCs w:val="32"/>
        </w:rPr>
        <w:t>工作活动绩效目标</w:t>
      </w:r>
    </w:p>
    <w:tbl>
      <w:tblPr>
        <w:tblStyle w:val="6"/>
        <w:tblW w:w="14850" w:type="dxa"/>
        <w:tblInd w:w="-1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958"/>
        <w:gridCol w:w="3596"/>
        <w:gridCol w:w="4252"/>
        <w:gridCol w:w="2552"/>
        <w:gridCol w:w="709"/>
        <w:gridCol w:w="567"/>
        <w:gridCol w:w="567"/>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12299" w:type="dxa"/>
            <w:gridSpan w:val="5"/>
            <w:tcBorders>
              <w:top w:val="single" w:color="FFFFFF" w:sz="6" w:space="0"/>
              <w:left w:val="single" w:color="FFFFFF" w:sz="6" w:space="0"/>
              <w:right w:val="single" w:color="FFFFFF" w:sz="6" w:space="0"/>
            </w:tcBorders>
            <w:vAlign w:val="center"/>
          </w:tcPr>
          <w:p>
            <w:pPr>
              <w:spacing w:line="560" w:lineRule="exact"/>
              <w:jc w:val="left"/>
              <w:rPr>
                <w:rFonts w:ascii="宋体" w:cs="Times New Roman"/>
                <w:sz w:val="18"/>
                <w:szCs w:val="18"/>
              </w:rPr>
            </w:pPr>
            <w:r>
              <w:rPr>
                <w:rFonts w:hint="eastAsia" w:ascii="宋体" w:hAnsi="宋体" w:cs="宋体"/>
                <w:sz w:val="18"/>
                <w:szCs w:val="18"/>
              </w:rPr>
              <w:t>部门（单位）名称：成安县农业开发办公室</w:t>
            </w:r>
          </w:p>
        </w:tc>
        <w:tc>
          <w:tcPr>
            <w:tcW w:w="2551"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cs="Times New Roman"/>
                <w:sz w:val="18"/>
                <w:szCs w:val="18"/>
              </w:rPr>
            </w:pPr>
            <w:r>
              <w:rPr>
                <w:rFonts w:hint="eastAsia" w:ascii="宋体" w:hAnsi="宋体" w:cs="宋体"/>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941"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职责活动</w:t>
            </w:r>
          </w:p>
        </w:tc>
        <w:tc>
          <w:tcPr>
            <w:tcW w:w="958"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年度预算数</w:t>
            </w:r>
          </w:p>
        </w:tc>
        <w:tc>
          <w:tcPr>
            <w:tcW w:w="3596"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内容描述</w:t>
            </w:r>
          </w:p>
        </w:tc>
        <w:tc>
          <w:tcPr>
            <w:tcW w:w="4252"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绩效目标</w:t>
            </w:r>
          </w:p>
        </w:tc>
        <w:tc>
          <w:tcPr>
            <w:tcW w:w="2552"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绩效指标</w:t>
            </w:r>
          </w:p>
        </w:tc>
        <w:tc>
          <w:tcPr>
            <w:tcW w:w="2551" w:type="dxa"/>
            <w:gridSpan w:val="4"/>
            <w:vAlign w:val="center"/>
          </w:tcPr>
          <w:p>
            <w:pPr>
              <w:spacing w:line="560" w:lineRule="exact"/>
              <w:jc w:val="center"/>
              <w:rPr>
                <w:rFonts w:ascii="宋体" w:cs="Times New Roman"/>
                <w:b/>
                <w:bCs/>
                <w:sz w:val="18"/>
                <w:szCs w:val="18"/>
              </w:rPr>
            </w:pPr>
            <w:r>
              <w:rPr>
                <w:rFonts w:hint="eastAsia" w:ascii="宋体" w:hAnsi="宋体" w:cs="宋体"/>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941" w:type="dxa"/>
            <w:vMerge w:val="continue"/>
            <w:vAlign w:val="center"/>
          </w:tcPr>
          <w:p>
            <w:pPr>
              <w:spacing w:line="560" w:lineRule="exact"/>
              <w:jc w:val="left"/>
              <w:outlineLvl w:val="0"/>
              <w:rPr>
                <w:rFonts w:ascii="宋体" w:cs="Times New Roman"/>
                <w:sz w:val="18"/>
                <w:szCs w:val="18"/>
              </w:rPr>
            </w:pPr>
          </w:p>
        </w:tc>
        <w:tc>
          <w:tcPr>
            <w:tcW w:w="958" w:type="dxa"/>
            <w:vMerge w:val="continue"/>
            <w:vAlign w:val="center"/>
          </w:tcPr>
          <w:p>
            <w:pPr>
              <w:spacing w:line="560" w:lineRule="exact"/>
              <w:jc w:val="left"/>
              <w:outlineLvl w:val="0"/>
              <w:rPr>
                <w:rFonts w:ascii="宋体" w:cs="Times New Roman"/>
                <w:sz w:val="18"/>
                <w:szCs w:val="18"/>
              </w:rPr>
            </w:pPr>
          </w:p>
        </w:tc>
        <w:tc>
          <w:tcPr>
            <w:tcW w:w="3596" w:type="dxa"/>
            <w:vMerge w:val="continue"/>
            <w:vAlign w:val="center"/>
          </w:tcPr>
          <w:p>
            <w:pPr>
              <w:spacing w:line="560" w:lineRule="exact"/>
              <w:jc w:val="left"/>
              <w:outlineLvl w:val="0"/>
              <w:rPr>
                <w:rFonts w:ascii="宋体" w:cs="Times New Roman"/>
                <w:sz w:val="18"/>
                <w:szCs w:val="18"/>
              </w:rPr>
            </w:pPr>
          </w:p>
        </w:tc>
        <w:tc>
          <w:tcPr>
            <w:tcW w:w="4252" w:type="dxa"/>
            <w:vMerge w:val="continue"/>
            <w:vAlign w:val="center"/>
          </w:tcPr>
          <w:p>
            <w:pPr>
              <w:spacing w:line="560" w:lineRule="exact"/>
              <w:jc w:val="left"/>
              <w:outlineLvl w:val="0"/>
              <w:rPr>
                <w:rFonts w:ascii="宋体" w:cs="Times New Roman"/>
                <w:sz w:val="18"/>
                <w:szCs w:val="18"/>
              </w:rPr>
            </w:pPr>
          </w:p>
        </w:tc>
        <w:tc>
          <w:tcPr>
            <w:tcW w:w="2552" w:type="dxa"/>
            <w:vMerge w:val="continue"/>
            <w:vAlign w:val="center"/>
          </w:tcPr>
          <w:p>
            <w:pPr>
              <w:spacing w:line="560" w:lineRule="exact"/>
              <w:jc w:val="left"/>
              <w:outlineLvl w:val="0"/>
              <w:rPr>
                <w:rFonts w:ascii="宋体" w:cs="Times New Roman"/>
                <w:sz w:val="18"/>
                <w:szCs w:val="18"/>
              </w:rPr>
            </w:pPr>
          </w:p>
        </w:tc>
        <w:tc>
          <w:tcPr>
            <w:tcW w:w="709"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优</w:t>
            </w:r>
          </w:p>
        </w:tc>
        <w:tc>
          <w:tcPr>
            <w:tcW w:w="567"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良</w:t>
            </w:r>
          </w:p>
        </w:tc>
        <w:tc>
          <w:tcPr>
            <w:tcW w:w="567"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中</w:t>
            </w:r>
          </w:p>
        </w:tc>
        <w:tc>
          <w:tcPr>
            <w:tcW w:w="708"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5" w:hRule="atLeast"/>
        </w:trPr>
        <w:tc>
          <w:tcPr>
            <w:tcW w:w="941" w:type="dxa"/>
            <w:vAlign w:val="center"/>
          </w:tcPr>
          <w:p>
            <w:pPr>
              <w:spacing w:line="560" w:lineRule="exact"/>
              <w:jc w:val="left"/>
              <w:rPr>
                <w:rFonts w:ascii="宋体" w:cs="Times New Roman"/>
                <w:b/>
                <w:bCs/>
                <w:sz w:val="18"/>
                <w:szCs w:val="18"/>
              </w:rPr>
            </w:pPr>
            <w:r>
              <w:rPr>
                <w:rFonts w:hint="eastAsia" w:ascii="宋体" w:hAnsi="宋体" w:cs="宋体"/>
                <w:b/>
                <w:bCs/>
                <w:sz w:val="18"/>
                <w:szCs w:val="18"/>
              </w:rPr>
              <w:t>农业综合开发</w:t>
            </w:r>
          </w:p>
        </w:tc>
        <w:tc>
          <w:tcPr>
            <w:tcW w:w="958" w:type="dxa"/>
            <w:vAlign w:val="center"/>
          </w:tcPr>
          <w:p>
            <w:pPr>
              <w:spacing w:line="560" w:lineRule="exact"/>
              <w:jc w:val="left"/>
              <w:rPr>
                <w:rFonts w:ascii="宋体" w:cs="Times New Roman"/>
                <w:sz w:val="18"/>
                <w:szCs w:val="18"/>
              </w:rPr>
            </w:pPr>
            <w:r>
              <w:rPr>
                <w:rFonts w:ascii="宋体" w:hAnsi="宋体" w:cs="宋体"/>
                <w:sz w:val="18"/>
                <w:szCs w:val="18"/>
              </w:rPr>
              <w:t>1000</w:t>
            </w:r>
          </w:p>
        </w:tc>
        <w:tc>
          <w:tcPr>
            <w:tcW w:w="3596" w:type="dxa"/>
            <w:vAlign w:val="center"/>
          </w:tcPr>
          <w:p>
            <w:pPr>
              <w:spacing w:line="560" w:lineRule="exact"/>
              <w:jc w:val="left"/>
              <w:rPr>
                <w:rFonts w:ascii="宋体" w:cs="Times New Roman"/>
                <w:sz w:val="18"/>
                <w:szCs w:val="18"/>
              </w:rPr>
            </w:pPr>
            <w:r>
              <w:rPr>
                <w:rFonts w:hint="eastAsia" w:ascii="宋体" w:hAnsi="宋体" w:cs="宋体"/>
                <w:sz w:val="18"/>
                <w:szCs w:val="18"/>
              </w:rPr>
              <w:t>贯彻国家农业综合开发方针，执行全县农业综合开发政策及项目立项、实施、检查验收等管理办法，管理县农业综合开发资金和各类农业综合开发项目。</w:t>
            </w:r>
          </w:p>
        </w:tc>
        <w:tc>
          <w:tcPr>
            <w:tcW w:w="4252" w:type="dxa"/>
            <w:vAlign w:val="center"/>
          </w:tcPr>
          <w:p>
            <w:pPr>
              <w:spacing w:line="560" w:lineRule="exact"/>
              <w:jc w:val="left"/>
              <w:rPr>
                <w:rFonts w:ascii="宋体" w:cs="Times New Roman"/>
                <w:sz w:val="18"/>
                <w:szCs w:val="18"/>
              </w:rPr>
            </w:pPr>
            <w:r>
              <w:rPr>
                <w:rFonts w:hint="eastAsia" w:ascii="宋体" w:hAnsi="宋体" w:cs="宋体"/>
                <w:sz w:val="18"/>
                <w:szCs w:val="18"/>
              </w:rPr>
              <w:t>在全县开发县组织实施高标准农田、产业化经营财政补助项目、贴息项目、设施蔬菜项目、部门项目等项目，大力推进重点开发、效益开发，有效改善农业生产条件和生态环境，提高农业综合生产能力提高粮食产能，扶持农业龙头企业和新型经营主体，带动农业特色主导产业发展，促进农业增效、农民增收。</w:t>
            </w:r>
          </w:p>
        </w:tc>
        <w:tc>
          <w:tcPr>
            <w:tcW w:w="2552" w:type="dxa"/>
            <w:vAlign w:val="center"/>
          </w:tcPr>
          <w:p>
            <w:pPr>
              <w:spacing w:line="560" w:lineRule="exact"/>
              <w:jc w:val="left"/>
              <w:rPr>
                <w:rFonts w:ascii="宋体" w:cs="Times New Roman"/>
                <w:sz w:val="18"/>
                <w:szCs w:val="18"/>
              </w:rPr>
            </w:pPr>
            <w:r>
              <w:rPr>
                <w:rFonts w:hint="eastAsia" w:ascii="宋体" w:hAnsi="宋体" w:cs="宋体"/>
                <w:sz w:val="18"/>
                <w:szCs w:val="18"/>
              </w:rPr>
              <w:t>年度土地治理项目、产业化实施计划中各项分类措施的建设任务验收完成率</w:t>
            </w:r>
          </w:p>
        </w:tc>
        <w:tc>
          <w:tcPr>
            <w:tcW w:w="709" w:type="dxa"/>
            <w:vAlign w:val="center"/>
          </w:tcPr>
          <w:p>
            <w:pPr>
              <w:spacing w:line="560" w:lineRule="exact"/>
              <w:jc w:val="center"/>
              <w:rPr>
                <w:rFonts w:ascii="宋体" w:cs="Times New Roman"/>
                <w:sz w:val="18"/>
                <w:szCs w:val="18"/>
              </w:rPr>
            </w:pPr>
          </w:p>
        </w:tc>
        <w:tc>
          <w:tcPr>
            <w:tcW w:w="567" w:type="dxa"/>
            <w:vAlign w:val="center"/>
          </w:tcPr>
          <w:p>
            <w:pPr>
              <w:spacing w:line="560" w:lineRule="exact"/>
              <w:jc w:val="center"/>
              <w:rPr>
                <w:rFonts w:ascii="宋体" w:cs="Times New Roman"/>
                <w:sz w:val="18"/>
                <w:szCs w:val="18"/>
              </w:rPr>
            </w:pPr>
            <w:r>
              <w:rPr>
                <w:rFonts w:hint="eastAsia" w:ascii="宋体" w:hAnsi="宋体" w:cs="宋体"/>
                <w:sz w:val="18"/>
                <w:szCs w:val="18"/>
              </w:rPr>
              <w:t>良</w:t>
            </w:r>
          </w:p>
        </w:tc>
        <w:tc>
          <w:tcPr>
            <w:tcW w:w="567" w:type="dxa"/>
            <w:vAlign w:val="center"/>
          </w:tcPr>
          <w:p>
            <w:pPr>
              <w:spacing w:line="560" w:lineRule="exact"/>
              <w:jc w:val="center"/>
              <w:rPr>
                <w:rFonts w:ascii="宋体" w:cs="Times New Roman"/>
                <w:sz w:val="18"/>
                <w:szCs w:val="18"/>
              </w:rPr>
            </w:pPr>
          </w:p>
        </w:tc>
        <w:tc>
          <w:tcPr>
            <w:tcW w:w="708" w:type="dxa"/>
            <w:vAlign w:val="center"/>
          </w:tcPr>
          <w:p>
            <w:pPr>
              <w:spacing w:line="560" w:lineRule="exact"/>
              <w:jc w:val="center"/>
              <w:rPr>
                <w:rFonts w:ascii="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5" w:hRule="atLeast"/>
        </w:trPr>
        <w:tc>
          <w:tcPr>
            <w:tcW w:w="941" w:type="dxa"/>
            <w:vAlign w:val="center"/>
          </w:tcPr>
          <w:p>
            <w:pPr>
              <w:spacing w:line="560" w:lineRule="exact"/>
              <w:jc w:val="left"/>
              <w:rPr>
                <w:rFonts w:ascii="方正书宋_GBK" w:hAnsi="Times New Roman" w:eastAsia="方正书宋_GBK" w:cs="Times New Roman"/>
                <w:b/>
                <w:bCs/>
                <w:sz w:val="18"/>
                <w:szCs w:val="18"/>
              </w:rPr>
            </w:pPr>
            <w:r>
              <w:rPr>
                <w:rFonts w:hint="eastAsia" w:ascii="方正书宋_GBK" w:hAnsi="Times New Roman" w:eastAsia="方正书宋_GBK" w:cs="方正书宋_GBK"/>
                <w:b/>
                <w:bCs/>
                <w:sz w:val="18"/>
                <w:szCs w:val="18"/>
              </w:rPr>
              <w:t>政务管理</w:t>
            </w:r>
          </w:p>
        </w:tc>
        <w:tc>
          <w:tcPr>
            <w:tcW w:w="958" w:type="dxa"/>
            <w:vAlign w:val="center"/>
          </w:tcPr>
          <w:p>
            <w:pPr>
              <w:spacing w:line="560" w:lineRule="exact"/>
              <w:jc w:val="left"/>
              <w:rPr>
                <w:rFonts w:ascii="方正书宋_GBK" w:hAnsi="Times New Roman" w:eastAsia="方正书宋_GBK" w:cs="方正书宋_GBK"/>
                <w:sz w:val="18"/>
                <w:szCs w:val="18"/>
              </w:rPr>
            </w:pPr>
            <w:r>
              <w:rPr>
                <w:rFonts w:ascii="方正书宋_GBK" w:hAnsi="Times New Roman" w:eastAsia="方正书宋_GBK" w:cs="方正书宋_GBK"/>
                <w:sz w:val="18"/>
                <w:szCs w:val="18"/>
              </w:rPr>
              <w:t>6.41</w:t>
            </w:r>
          </w:p>
        </w:tc>
        <w:tc>
          <w:tcPr>
            <w:tcW w:w="3596" w:type="dxa"/>
            <w:vAlign w:val="center"/>
          </w:tcPr>
          <w:p>
            <w:pPr>
              <w:spacing w:line="560" w:lineRule="exact"/>
              <w:jc w:val="left"/>
              <w:rPr>
                <w:rFonts w:ascii="方正书宋_GBK" w:hAnsi="Times New Roman" w:eastAsia="方正书宋_GBK" w:cs="Times New Roman"/>
                <w:sz w:val="18"/>
                <w:szCs w:val="18"/>
              </w:rPr>
            </w:pPr>
            <w:r>
              <w:rPr>
                <w:rFonts w:hint="eastAsia" w:ascii="方正书宋_GBK" w:hAnsi="Times New Roman" w:eastAsia="方正书宋_GBK" w:cs="方正书宋_GBK"/>
                <w:sz w:val="18"/>
                <w:szCs w:val="18"/>
              </w:rPr>
              <w:t>负责部门综合业务管理和综合事务管理。</w:t>
            </w:r>
          </w:p>
        </w:tc>
        <w:tc>
          <w:tcPr>
            <w:tcW w:w="4252" w:type="dxa"/>
            <w:vAlign w:val="center"/>
          </w:tcPr>
          <w:p>
            <w:pPr>
              <w:spacing w:line="560" w:lineRule="exact"/>
              <w:jc w:val="left"/>
              <w:rPr>
                <w:rFonts w:ascii="方正书宋_GBK" w:hAnsi="Times New Roman" w:eastAsia="方正书宋_GBK" w:cs="Times New Roman"/>
                <w:sz w:val="18"/>
                <w:szCs w:val="18"/>
              </w:rPr>
            </w:pPr>
            <w:r>
              <w:rPr>
                <w:rFonts w:hint="eastAsia" w:ascii="Times New Roman" w:hAnsi="Times New Roman" w:eastAsia="方正书宋_GBK" w:cs="方正书宋_GBK"/>
                <w:sz w:val="18"/>
                <w:szCs w:val="18"/>
              </w:rPr>
              <w:t>落实农业综合开发政策，编制农业综合开发中长期规划，监督农业综合开发项目计划执行，保障机关规范高效运转，保障农发资金规范高效使用</w:t>
            </w:r>
          </w:p>
        </w:tc>
        <w:tc>
          <w:tcPr>
            <w:tcW w:w="2552" w:type="dxa"/>
            <w:vAlign w:val="center"/>
          </w:tcPr>
          <w:p>
            <w:pPr>
              <w:spacing w:line="560" w:lineRule="exact"/>
              <w:jc w:val="left"/>
              <w:rPr>
                <w:rFonts w:ascii="Times New Roman" w:hAnsi="Times New Roman" w:eastAsia="方正书宋_GBK" w:cs="Times New Roman"/>
                <w:sz w:val="18"/>
                <w:szCs w:val="18"/>
              </w:rPr>
            </w:pPr>
          </w:p>
        </w:tc>
        <w:tc>
          <w:tcPr>
            <w:tcW w:w="709" w:type="dxa"/>
            <w:vAlign w:val="center"/>
          </w:tcPr>
          <w:p>
            <w:pPr>
              <w:spacing w:line="560" w:lineRule="exact"/>
              <w:jc w:val="center"/>
              <w:rPr>
                <w:rFonts w:ascii="Times New Roman" w:hAnsi="Times New Roman" w:eastAsia="方正书宋_GBK" w:cs="Times New Roman"/>
                <w:sz w:val="18"/>
                <w:szCs w:val="18"/>
              </w:rPr>
            </w:pPr>
          </w:p>
        </w:tc>
        <w:tc>
          <w:tcPr>
            <w:tcW w:w="567" w:type="dxa"/>
            <w:vAlign w:val="center"/>
          </w:tcPr>
          <w:p>
            <w:pPr>
              <w:spacing w:line="560" w:lineRule="exact"/>
              <w:jc w:val="center"/>
              <w:rPr>
                <w:rFonts w:ascii="Times New Roman" w:hAnsi="Times New Roman" w:eastAsia="方正书宋_GBK" w:cs="Times New Roman"/>
                <w:sz w:val="18"/>
                <w:szCs w:val="18"/>
              </w:rPr>
            </w:pPr>
            <w:r>
              <w:rPr>
                <w:rFonts w:hint="eastAsia" w:ascii="Times New Roman" w:hAnsi="Times New Roman" w:eastAsia="方正书宋_GBK" w:cs="方正书宋_GBK"/>
                <w:sz w:val="18"/>
                <w:szCs w:val="18"/>
              </w:rPr>
              <w:t>良</w:t>
            </w:r>
          </w:p>
        </w:tc>
        <w:tc>
          <w:tcPr>
            <w:tcW w:w="567" w:type="dxa"/>
            <w:vAlign w:val="center"/>
          </w:tcPr>
          <w:p>
            <w:pPr>
              <w:spacing w:line="560" w:lineRule="exact"/>
              <w:jc w:val="center"/>
              <w:rPr>
                <w:rFonts w:ascii="Times New Roman" w:hAnsi="Times New Roman" w:eastAsia="方正书宋_GBK" w:cs="Times New Roman"/>
                <w:sz w:val="18"/>
                <w:szCs w:val="18"/>
              </w:rPr>
            </w:pPr>
          </w:p>
        </w:tc>
        <w:tc>
          <w:tcPr>
            <w:tcW w:w="708" w:type="dxa"/>
            <w:vAlign w:val="center"/>
          </w:tcPr>
          <w:p>
            <w:pPr>
              <w:spacing w:line="560" w:lineRule="exact"/>
              <w:jc w:val="center"/>
              <w:rPr>
                <w:rFonts w:ascii="Times New Roman" w:hAnsi="Times New Roman" w:eastAsia="方正书宋_GBK" w:cs="Times New Roman"/>
                <w:sz w:val="18"/>
                <w:szCs w:val="18"/>
              </w:rPr>
            </w:pPr>
          </w:p>
        </w:tc>
      </w:tr>
    </w:tbl>
    <w:p>
      <w:pPr>
        <w:widowControl/>
        <w:spacing w:line="360" w:lineRule="auto"/>
        <w:jc w:val="center"/>
        <w:rPr>
          <w:rFonts w:ascii="仿宋" w:hAnsi="仿宋" w:eastAsia="仿宋" w:cs="Times New Roman"/>
          <w:b/>
          <w:bCs/>
          <w:kern w:val="0"/>
          <w:sz w:val="32"/>
          <w:szCs w:val="32"/>
        </w:rPr>
      </w:pPr>
    </w:p>
    <w:p>
      <w:pPr>
        <w:widowControl/>
        <w:spacing w:line="360" w:lineRule="auto"/>
        <w:ind w:firstLine="1059" w:firstLineChars="331"/>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ind w:firstLine="1059" w:firstLineChars="331"/>
        <w:jc w:val="left"/>
        <w:rPr>
          <w:rFonts w:ascii="楷体" w:hAnsi="楷体" w:eastAsia="楷体" w:cs="Times New Roman"/>
          <w:b/>
          <w:bCs/>
          <w:sz w:val="32"/>
          <w:szCs w:val="32"/>
        </w:rPr>
      </w:pPr>
      <w:r>
        <w:rPr>
          <w:rFonts w:ascii="仿宋" w:hAnsi="仿宋" w:eastAsia="仿宋" w:cs="仿宋"/>
          <w:kern w:val="0"/>
          <w:sz w:val="32"/>
          <w:szCs w:val="32"/>
        </w:rPr>
        <w:t>2018</w:t>
      </w:r>
      <w:r>
        <w:rPr>
          <w:rFonts w:hint="eastAsia" w:ascii="仿宋" w:hAnsi="仿宋" w:eastAsia="仿宋" w:cs="仿宋"/>
          <w:kern w:val="0"/>
          <w:sz w:val="32"/>
          <w:szCs w:val="32"/>
        </w:rPr>
        <w:t>年，我单位安排政府采购预算</w:t>
      </w:r>
      <w:r>
        <w:rPr>
          <w:rFonts w:ascii="仿宋" w:hAnsi="仿宋" w:eastAsia="仿宋" w:cs="仿宋"/>
          <w:kern w:val="0"/>
          <w:sz w:val="32"/>
          <w:szCs w:val="32"/>
        </w:rPr>
        <w:t>0.5</w:t>
      </w:r>
      <w:r>
        <w:rPr>
          <w:rFonts w:hint="eastAsia" w:ascii="仿宋" w:hAnsi="仿宋" w:eastAsia="仿宋" w:cs="仿宋"/>
          <w:kern w:val="0"/>
          <w:sz w:val="32"/>
          <w:szCs w:val="32"/>
        </w:rPr>
        <w:t>万元。具体内容见下表</w:t>
      </w:r>
    </w:p>
    <w:p>
      <w:pPr>
        <w:widowControl/>
        <w:spacing w:line="360" w:lineRule="auto"/>
        <w:jc w:val="left"/>
        <w:rPr>
          <w:rFonts w:ascii="仿宋" w:hAnsi="仿宋" w:eastAsia="仿宋" w:cs="Times New Roman"/>
          <w:b/>
          <w:bCs/>
          <w:kern w:val="0"/>
          <w:sz w:val="32"/>
          <w:szCs w:val="32"/>
        </w:rPr>
      </w:pPr>
    </w:p>
    <w:p>
      <w:pPr>
        <w:spacing w:line="560" w:lineRule="exact"/>
        <w:jc w:val="center"/>
        <w:outlineLvl w:val="0"/>
        <w:rPr>
          <w:rFonts w:ascii="仿宋" w:hAnsi="仿宋" w:eastAsia="仿宋" w:cs="Times New Roman"/>
          <w:sz w:val="32"/>
          <w:szCs w:val="32"/>
        </w:rPr>
      </w:pPr>
      <w:r>
        <w:rPr>
          <w:rFonts w:hint="eastAsia" w:ascii="仿宋" w:hAnsi="仿宋" w:eastAsia="仿宋" w:cs="仿宋"/>
          <w:sz w:val="32"/>
          <w:szCs w:val="32"/>
        </w:rPr>
        <w:t>部门政府采购预算</w:t>
      </w:r>
    </w:p>
    <w:tbl>
      <w:tblPr>
        <w:tblStyle w:val="6"/>
        <w:tblW w:w="126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9"/>
        <w:gridCol w:w="1134"/>
        <w:gridCol w:w="1701"/>
        <w:gridCol w:w="63"/>
        <w:gridCol w:w="788"/>
        <w:gridCol w:w="549"/>
        <w:gridCol w:w="463"/>
        <w:gridCol w:w="650"/>
        <w:gridCol w:w="606"/>
        <w:gridCol w:w="709"/>
        <w:gridCol w:w="708"/>
        <w:gridCol w:w="709"/>
        <w:gridCol w:w="709"/>
        <w:gridCol w:w="709"/>
        <w:gridCol w:w="8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687" w:type="dxa"/>
            <w:gridSpan w:val="8"/>
            <w:tcBorders>
              <w:top w:val="single" w:color="FFFFFF" w:sz="6" w:space="0"/>
              <w:left w:val="single" w:color="FFFFFF" w:sz="6" w:space="0"/>
              <w:right w:val="single" w:color="FFFFFF" w:sz="6" w:space="0"/>
            </w:tcBorders>
            <w:vAlign w:val="center"/>
          </w:tcPr>
          <w:p>
            <w:pPr>
              <w:spacing w:line="560" w:lineRule="exact"/>
              <w:jc w:val="left"/>
              <w:rPr>
                <w:rFonts w:ascii="宋体" w:cs="Times New Roman"/>
                <w:sz w:val="24"/>
                <w:szCs w:val="24"/>
              </w:rPr>
            </w:pPr>
            <w:r>
              <w:rPr>
                <w:rFonts w:hint="eastAsia" w:ascii="宋体" w:hAnsi="宋体" w:cs="宋体"/>
                <w:sz w:val="24"/>
                <w:szCs w:val="24"/>
              </w:rPr>
              <w:t>部门（单位）名称：成安县农业开发办公室</w:t>
            </w:r>
          </w:p>
        </w:tc>
        <w:tc>
          <w:tcPr>
            <w:tcW w:w="4983"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cs="Times New Roman"/>
                <w:sz w:val="24"/>
                <w:szCs w:val="24"/>
              </w:rPr>
            </w:pPr>
            <w:r>
              <w:rPr>
                <w:rFonts w:hint="eastAsia" w:ascii="宋体" w:hAnsi="宋体" w:cs="宋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73" w:type="dxa"/>
            <w:gridSpan w:val="2"/>
            <w:vAlign w:val="center"/>
          </w:tcPr>
          <w:p>
            <w:pPr>
              <w:spacing w:line="560" w:lineRule="exact"/>
              <w:jc w:val="center"/>
              <w:rPr>
                <w:rFonts w:ascii="宋体" w:cs="Times New Roman"/>
                <w:b/>
                <w:bCs/>
              </w:rPr>
            </w:pPr>
            <w:r>
              <w:rPr>
                <w:rFonts w:hint="eastAsia" w:ascii="宋体" w:hAnsi="宋体" w:cs="宋体"/>
                <w:b/>
                <w:bCs/>
              </w:rPr>
              <w:t>政府采购项目来源</w:t>
            </w:r>
          </w:p>
        </w:tc>
        <w:tc>
          <w:tcPr>
            <w:tcW w:w="1764" w:type="dxa"/>
            <w:gridSpan w:val="2"/>
            <w:vMerge w:val="restart"/>
            <w:vAlign w:val="center"/>
          </w:tcPr>
          <w:p>
            <w:pPr>
              <w:spacing w:line="560" w:lineRule="exact"/>
              <w:jc w:val="center"/>
              <w:rPr>
                <w:rFonts w:ascii="宋体" w:cs="Times New Roman"/>
                <w:b/>
                <w:bCs/>
              </w:rPr>
            </w:pPr>
            <w:r>
              <w:rPr>
                <w:rFonts w:hint="eastAsia" w:ascii="宋体" w:hAnsi="宋体" w:cs="宋体"/>
                <w:b/>
                <w:bCs/>
              </w:rPr>
              <w:t>采购物品名称</w:t>
            </w:r>
          </w:p>
        </w:tc>
        <w:tc>
          <w:tcPr>
            <w:tcW w:w="788" w:type="dxa"/>
            <w:vMerge w:val="restart"/>
            <w:vAlign w:val="center"/>
          </w:tcPr>
          <w:p>
            <w:pPr>
              <w:spacing w:line="560" w:lineRule="exact"/>
              <w:jc w:val="center"/>
              <w:rPr>
                <w:rFonts w:ascii="宋体" w:cs="Times New Roman"/>
                <w:b/>
                <w:bCs/>
              </w:rPr>
            </w:pPr>
            <w:r>
              <w:rPr>
                <w:rFonts w:hint="eastAsia" w:ascii="宋体" w:hAnsi="宋体" w:cs="宋体"/>
                <w:b/>
                <w:bCs/>
              </w:rPr>
              <w:t>政府采购目录序号</w:t>
            </w:r>
          </w:p>
        </w:tc>
        <w:tc>
          <w:tcPr>
            <w:tcW w:w="549" w:type="dxa"/>
            <w:vMerge w:val="restart"/>
            <w:vAlign w:val="center"/>
          </w:tcPr>
          <w:p>
            <w:pPr>
              <w:spacing w:line="560" w:lineRule="exact"/>
              <w:jc w:val="center"/>
              <w:rPr>
                <w:rFonts w:ascii="宋体" w:cs="Times New Roman"/>
                <w:b/>
                <w:bCs/>
              </w:rPr>
            </w:pPr>
            <w:r>
              <w:rPr>
                <w:rFonts w:hint="eastAsia" w:ascii="宋体" w:hAnsi="宋体" w:cs="宋体"/>
                <w:b/>
                <w:bCs/>
              </w:rPr>
              <w:t>数量</w:t>
            </w:r>
            <w:r>
              <w:rPr>
                <w:rFonts w:ascii="宋体" w:hAnsi="宋体" w:cs="宋体"/>
                <w:b/>
                <w:bCs/>
              </w:rPr>
              <w:t xml:space="preserve">  </w:t>
            </w:r>
            <w:r>
              <w:rPr>
                <w:rFonts w:hint="eastAsia" w:ascii="宋体" w:hAnsi="宋体" w:cs="宋体"/>
                <w:b/>
                <w:bCs/>
              </w:rPr>
              <w:t>单位</w:t>
            </w:r>
          </w:p>
        </w:tc>
        <w:tc>
          <w:tcPr>
            <w:tcW w:w="463" w:type="dxa"/>
            <w:vAlign w:val="center"/>
          </w:tcPr>
          <w:p>
            <w:pPr>
              <w:spacing w:line="560" w:lineRule="exact"/>
              <w:jc w:val="center"/>
              <w:rPr>
                <w:rFonts w:ascii="宋体" w:cs="Times New Roman"/>
                <w:b/>
                <w:bCs/>
              </w:rPr>
            </w:pPr>
            <w:r>
              <w:rPr>
                <w:rFonts w:hint="eastAsia" w:ascii="宋体" w:hAnsi="宋体" w:cs="宋体"/>
                <w:b/>
                <w:bCs/>
              </w:rPr>
              <w:t>数量</w:t>
            </w:r>
          </w:p>
        </w:tc>
        <w:tc>
          <w:tcPr>
            <w:tcW w:w="650" w:type="dxa"/>
            <w:vAlign w:val="center"/>
          </w:tcPr>
          <w:p>
            <w:pPr>
              <w:spacing w:line="560" w:lineRule="exact"/>
              <w:jc w:val="center"/>
              <w:rPr>
                <w:rFonts w:ascii="宋体" w:cs="Times New Roman"/>
                <w:b/>
                <w:bCs/>
              </w:rPr>
            </w:pPr>
            <w:r>
              <w:rPr>
                <w:rFonts w:hint="eastAsia" w:ascii="宋体" w:hAnsi="宋体" w:cs="宋体"/>
                <w:b/>
                <w:bCs/>
              </w:rPr>
              <w:t>单价</w:t>
            </w:r>
          </w:p>
        </w:tc>
        <w:tc>
          <w:tcPr>
            <w:tcW w:w="4983" w:type="dxa"/>
            <w:gridSpan w:val="7"/>
            <w:vAlign w:val="center"/>
          </w:tcPr>
          <w:p>
            <w:pPr>
              <w:spacing w:line="560" w:lineRule="exact"/>
              <w:jc w:val="center"/>
              <w:rPr>
                <w:rFonts w:ascii="宋体" w:cs="Times New Roman"/>
                <w:b/>
                <w:bCs/>
              </w:rPr>
            </w:pPr>
            <w:r>
              <w:rPr>
                <w:rFonts w:hint="eastAsia" w:ascii="宋体" w:hAnsi="宋体" w:cs="宋体"/>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9" w:type="dxa"/>
            <w:vMerge w:val="restart"/>
            <w:vAlign w:val="center"/>
          </w:tcPr>
          <w:p>
            <w:pPr>
              <w:spacing w:line="560" w:lineRule="exact"/>
              <w:jc w:val="center"/>
              <w:rPr>
                <w:rFonts w:ascii="宋体" w:cs="Times New Roman"/>
                <w:b/>
                <w:bCs/>
              </w:rPr>
            </w:pPr>
            <w:r>
              <w:rPr>
                <w:rFonts w:hint="eastAsia" w:ascii="宋体" w:hAnsi="宋体" w:cs="宋体"/>
                <w:b/>
                <w:bCs/>
              </w:rPr>
              <w:t>项目名称</w:t>
            </w:r>
          </w:p>
        </w:tc>
        <w:tc>
          <w:tcPr>
            <w:tcW w:w="1134" w:type="dxa"/>
            <w:vMerge w:val="restart"/>
            <w:vAlign w:val="center"/>
          </w:tcPr>
          <w:p>
            <w:pPr>
              <w:spacing w:line="560" w:lineRule="exact"/>
              <w:jc w:val="center"/>
              <w:rPr>
                <w:rFonts w:ascii="宋体" w:cs="Times New Roman"/>
                <w:b/>
                <w:bCs/>
              </w:rPr>
            </w:pPr>
            <w:r>
              <w:rPr>
                <w:rFonts w:hint="eastAsia" w:ascii="宋体" w:hAnsi="宋体" w:cs="宋体"/>
                <w:b/>
                <w:bCs/>
              </w:rPr>
              <w:t>预算资金</w:t>
            </w:r>
          </w:p>
        </w:tc>
        <w:tc>
          <w:tcPr>
            <w:tcW w:w="1764" w:type="dxa"/>
            <w:gridSpan w:val="2"/>
            <w:vMerge w:val="continue"/>
            <w:vAlign w:val="center"/>
          </w:tcPr>
          <w:p>
            <w:pPr>
              <w:spacing w:line="560" w:lineRule="exact"/>
              <w:jc w:val="left"/>
              <w:outlineLvl w:val="0"/>
              <w:rPr>
                <w:rFonts w:ascii="宋体" w:cs="Times New Roman"/>
              </w:rPr>
            </w:pPr>
          </w:p>
        </w:tc>
        <w:tc>
          <w:tcPr>
            <w:tcW w:w="788" w:type="dxa"/>
            <w:vMerge w:val="continue"/>
            <w:vAlign w:val="center"/>
          </w:tcPr>
          <w:p>
            <w:pPr>
              <w:spacing w:line="560" w:lineRule="exact"/>
              <w:jc w:val="left"/>
              <w:outlineLvl w:val="0"/>
              <w:rPr>
                <w:rFonts w:ascii="宋体" w:cs="Times New Roman"/>
              </w:rPr>
            </w:pPr>
          </w:p>
        </w:tc>
        <w:tc>
          <w:tcPr>
            <w:tcW w:w="549" w:type="dxa"/>
            <w:vMerge w:val="continue"/>
            <w:vAlign w:val="center"/>
          </w:tcPr>
          <w:p>
            <w:pPr>
              <w:spacing w:line="560" w:lineRule="exact"/>
              <w:jc w:val="left"/>
              <w:outlineLvl w:val="0"/>
              <w:rPr>
                <w:rFonts w:ascii="宋体" w:cs="Times New Roman"/>
              </w:rPr>
            </w:pPr>
          </w:p>
        </w:tc>
        <w:tc>
          <w:tcPr>
            <w:tcW w:w="463" w:type="dxa"/>
            <w:vMerge w:val="restart"/>
            <w:vAlign w:val="center"/>
          </w:tcPr>
          <w:p>
            <w:pPr>
              <w:spacing w:line="560" w:lineRule="exact"/>
              <w:jc w:val="left"/>
              <w:outlineLvl w:val="0"/>
              <w:rPr>
                <w:rFonts w:ascii="宋体" w:cs="Times New Roman"/>
              </w:rPr>
            </w:pPr>
          </w:p>
        </w:tc>
        <w:tc>
          <w:tcPr>
            <w:tcW w:w="650" w:type="dxa"/>
            <w:vMerge w:val="restart"/>
            <w:vAlign w:val="center"/>
          </w:tcPr>
          <w:p>
            <w:pPr>
              <w:spacing w:line="560" w:lineRule="exact"/>
              <w:jc w:val="left"/>
              <w:outlineLvl w:val="0"/>
              <w:rPr>
                <w:rFonts w:ascii="宋体" w:cs="Times New Roman"/>
              </w:rPr>
            </w:pPr>
          </w:p>
        </w:tc>
        <w:tc>
          <w:tcPr>
            <w:tcW w:w="606" w:type="dxa"/>
            <w:vMerge w:val="restart"/>
            <w:vAlign w:val="center"/>
          </w:tcPr>
          <w:p>
            <w:pPr>
              <w:spacing w:line="560" w:lineRule="exact"/>
              <w:jc w:val="center"/>
              <w:rPr>
                <w:rFonts w:ascii="宋体" w:cs="Times New Roman"/>
                <w:b/>
                <w:bCs/>
              </w:rPr>
            </w:pPr>
            <w:r>
              <w:rPr>
                <w:rFonts w:hint="eastAsia" w:ascii="宋体" w:hAnsi="宋体" w:cs="宋体"/>
                <w:b/>
                <w:bCs/>
              </w:rPr>
              <w:t>总计</w:t>
            </w:r>
          </w:p>
        </w:tc>
        <w:tc>
          <w:tcPr>
            <w:tcW w:w="3544" w:type="dxa"/>
            <w:gridSpan w:val="5"/>
            <w:vAlign w:val="center"/>
          </w:tcPr>
          <w:p>
            <w:pPr>
              <w:spacing w:line="560" w:lineRule="exact"/>
              <w:jc w:val="center"/>
              <w:rPr>
                <w:rFonts w:ascii="宋体" w:cs="Times New Roman"/>
                <w:b/>
                <w:bCs/>
              </w:rPr>
            </w:pPr>
            <w:r>
              <w:rPr>
                <w:rFonts w:hint="eastAsia" w:ascii="宋体" w:hAnsi="宋体" w:cs="宋体"/>
                <w:b/>
                <w:bCs/>
              </w:rPr>
              <w:t>当年部门预算安排资金</w:t>
            </w:r>
          </w:p>
        </w:tc>
        <w:tc>
          <w:tcPr>
            <w:tcW w:w="833" w:type="dxa"/>
            <w:vMerge w:val="restart"/>
            <w:vAlign w:val="center"/>
          </w:tcPr>
          <w:p>
            <w:pPr>
              <w:spacing w:line="560" w:lineRule="exact"/>
              <w:jc w:val="center"/>
              <w:rPr>
                <w:rFonts w:ascii="宋体" w:cs="Times New Roman"/>
                <w:b/>
                <w:bCs/>
              </w:rPr>
            </w:pPr>
            <w:r>
              <w:rPr>
                <w:rFonts w:hint="eastAsia" w:ascii="宋体" w:hAnsi="宋体" w:cs="宋体"/>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339" w:type="dxa"/>
            <w:vMerge w:val="continue"/>
            <w:vAlign w:val="center"/>
          </w:tcPr>
          <w:p>
            <w:pPr>
              <w:spacing w:line="560" w:lineRule="exact"/>
              <w:jc w:val="left"/>
              <w:outlineLvl w:val="0"/>
              <w:rPr>
                <w:rFonts w:ascii="宋体" w:cs="Times New Roman"/>
              </w:rPr>
            </w:pPr>
          </w:p>
        </w:tc>
        <w:tc>
          <w:tcPr>
            <w:tcW w:w="1134" w:type="dxa"/>
            <w:vMerge w:val="continue"/>
            <w:vAlign w:val="center"/>
          </w:tcPr>
          <w:p>
            <w:pPr>
              <w:spacing w:line="560" w:lineRule="exact"/>
              <w:jc w:val="left"/>
              <w:outlineLvl w:val="0"/>
              <w:rPr>
                <w:rFonts w:ascii="宋体" w:cs="Times New Roman"/>
              </w:rPr>
            </w:pPr>
          </w:p>
        </w:tc>
        <w:tc>
          <w:tcPr>
            <w:tcW w:w="1764" w:type="dxa"/>
            <w:gridSpan w:val="2"/>
            <w:vMerge w:val="continue"/>
            <w:vAlign w:val="center"/>
          </w:tcPr>
          <w:p>
            <w:pPr>
              <w:spacing w:line="560" w:lineRule="exact"/>
              <w:jc w:val="left"/>
              <w:outlineLvl w:val="0"/>
              <w:rPr>
                <w:rFonts w:ascii="宋体" w:cs="Times New Roman"/>
              </w:rPr>
            </w:pPr>
          </w:p>
        </w:tc>
        <w:tc>
          <w:tcPr>
            <w:tcW w:w="788" w:type="dxa"/>
            <w:vMerge w:val="continue"/>
            <w:vAlign w:val="center"/>
          </w:tcPr>
          <w:p>
            <w:pPr>
              <w:spacing w:line="560" w:lineRule="exact"/>
              <w:jc w:val="left"/>
              <w:outlineLvl w:val="0"/>
              <w:rPr>
                <w:rFonts w:ascii="宋体" w:cs="Times New Roman"/>
              </w:rPr>
            </w:pPr>
          </w:p>
        </w:tc>
        <w:tc>
          <w:tcPr>
            <w:tcW w:w="549" w:type="dxa"/>
            <w:vMerge w:val="continue"/>
            <w:vAlign w:val="center"/>
          </w:tcPr>
          <w:p>
            <w:pPr>
              <w:spacing w:line="560" w:lineRule="exact"/>
              <w:jc w:val="left"/>
              <w:outlineLvl w:val="0"/>
              <w:rPr>
                <w:rFonts w:ascii="宋体" w:cs="Times New Roman"/>
              </w:rPr>
            </w:pPr>
          </w:p>
        </w:tc>
        <w:tc>
          <w:tcPr>
            <w:tcW w:w="463" w:type="dxa"/>
            <w:vMerge w:val="continue"/>
            <w:vAlign w:val="center"/>
          </w:tcPr>
          <w:p>
            <w:pPr>
              <w:spacing w:line="560" w:lineRule="exact"/>
              <w:jc w:val="left"/>
              <w:outlineLvl w:val="0"/>
              <w:rPr>
                <w:rFonts w:ascii="宋体" w:cs="Times New Roman"/>
              </w:rPr>
            </w:pPr>
          </w:p>
        </w:tc>
        <w:tc>
          <w:tcPr>
            <w:tcW w:w="650" w:type="dxa"/>
            <w:vMerge w:val="continue"/>
            <w:vAlign w:val="center"/>
          </w:tcPr>
          <w:p>
            <w:pPr>
              <w:spacing w:line="560" w:lineRule="exact"/>
              <w:jc w:val="left"/>
              <w:outlineLvl w:val="0"/>
              <w:rPr>
                <w:rFonts w:ascii="宋体" w:cs="Times New Roman"/>
              </w:rPr>
            </w:pPr>
          </w:p>
        </w:tc>
        <w:tc>
          <w:tcPr>
            <w:tcW w:w="606" w:type="dxa"/>
            <w:vMerge w:val="continue"/>
            <w:vAlign w:val="center"/>
          </w:tcPr>
          <w:p>
            <w:pPr>
              <w:spacing w:line="560" w:lineRule="exact"/>
              <w:jc w:val="left"/>
              <w:outlineLvl w:val="0"/>
              <w:rPr>
                <w:rFonts w:ascii="宋体" w:cs="Times New Roman"/>
              </w:rPr>
            </w:pPr>
          </w:p>
        </w:tc>
        <w:tc>
          <w:tcPr>
            <w:tcW w:w="709" w:type="dxa"/>
            <w:vAlign w:val="center"/>
          </w:tcPr>
          <w:p>
            <w:pPr>
              <w:spacing w:line="560" w:lineRule="exact"/>
              <w:jc w:val="center"/>
              <w:rPr>
                <w:rFonts w:ascii="宋体" w:cs="Times New Roman"/>
                <w:b/>
                <w:bCs/>
              </w:rPr>
            </w:pPr>
            <w:r>
              <w:rPr>
                <w:rFonts w:hint="eastAsia" w:ascii="宋体" w:hAnsi="宋体" w:cs="宋体"/>
                <w:b/>
                <w:bCs/>
              </w:rPr>
              <w:t>合计</w:t>
            </w:r>
          </w:p>
        </w:tc>
        <w:tc>
          <w:tcPr>
            <w:tcW w:w="708" w:type="dxa"/>
            <w:vAlign w:val="center"/>
          </w:tcPr>
          <w:p>
            <w:pPr>
              <w:spacing w:line="560" w:lineRule="exact"/>
              <w:jc w:val="center"/>
              <w:rPr>
                <w:rFonts w:ascii="宋体" w:cs="Times New Roman"/>
                <w:b/>
                <w:bCs/>
              </w:rPr>
            </w:pPr>
            <w:r>
              <w:rPr>
                <w:rFonts w:hint="eastAsia" w:ascii="宋体" w:hAnsi="宋体" w:cs="宋体"/>
                <w:b/>
                <w:bCs/>
              </w:rPr>
              <w:t>一般公共预算拨款</w:t>
            </w:r>
          </w:p>
        </w:tc>
        <w:tc>
          <w:tcPr>
            <w:tcW w:w="709" w:type="dxa"/>
            <w:vAlign w:val="center"/>
          </w:tcPr>
          <w:p>
            <w:pPr>
              <w:spacing w:line="560" w:lineRule="exact"/>
              <w:jc w:val="center"/>
              <w:rPr>
                <w:rFonts w:ascii="宋体" w:cs="Times New Roman"/>
                <w:b/>
                <w:bCs/>
              </w:rPr>
            </w:pPr>
            <w:r>
              <w:rPr>
                <w:rFonts w:hint="eastAsia" w:ascii="宋体" w:hAnsi="宋体" w:cs="宋体"/>
                <w:b/>
                <w:bCs/>
              </w:rPr>
              <w:t>基金预算拨款</w:t>
            </w:r>
          </w:p>
        </w:tc>
        <w:tc>
          <w:tcPr>
            <w:tcW w:w="709" w:type="dxa"/>
            <w:vAlign w:val="center"/>
          </w:tcPr>
          <w:p>
            <w:pPr>
              <w:spacing w:line="560" w:lineRule="exact"/>
              <w:jc w:val="center"/>
              <w:rPr>
                <w:rFonts w:ascii="宋体" w:cs="Times New Roman"/>
                <w:b/>
                <w:bCs/>
              </w:rPr>
            </w:pPr>
            <w:r>
              <w:rPr>
                <w:rFonts w:hint="eastAsia" w:ascii="宋体" w:hAnsi="宋体" w:cs="宋体"/>
                <w:b/>
                <w:bCs/>
              </w:rPr>
              <w:t>财政专户核拨</w:t>
            </w:r>
          </w:p>
        </w:tc>
        <w:tc>
          <w:tcPr>
            <w:tcW w:w="709" w:type="dxa"/>
            <w:vAlign w:val="center"/>
          </w:tcPr>
          <w:p>
            <w:pPr>
              <w:spacing w:line="560" w:lineRule="exact"/>
              <w:jc w:val="center"/>
              <w:rPr>
                <w:rFonts w:ascii="宋体" w:cs="Times New Roman"/>
                <w:b/>
                <w:bCs/>
              </w:rPr>
            </w:pPr>
            <w:r>
              <w:rPr>
                <w:rFonts w:hint="eastAsia" w:ascii="宋体" w:hAnsi="宋体" w:cs="宋体"/>
                <w:b/>
                <w:bCs/>
              </w:rPr>
              <w:t>其他来源收入</w:t>
            </w:r>
          </w:p>
        </w:tc>
        <w:tc>
          <w:tcPr>
            <w:tcW w:w="833" w:type="dxa"/>
            <w:vMerge w:val="continue"/>
            <w:vAlign w:val="center"/>
          </w:tcPr>
          <w:p>
            <w:pPr>
              <w:spacing w:line="560" w:lineRule="exact"/>
              <w:jc w:val="left"/>
              <w:outlineLvl w:val="0"/>
              <w:rPr>
                <w:rFonts w:ascii="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9" w:type="dxa"/>
            <w:vAlign w:val="center"/>
          </w:tcPr>
          <w:p>
            <w:pPr>
              <w:spacing w:line="560" w:lineRule="exact"/>
              <w:jc w:val="center"/>
              <w:rPr>
                <w:rFonts w:ascii="宋体" w:cs="Times New Roman"/>
                <w:b/>
                <w:bCs/>
              </w:rPr>
            </w:pPr>
            <w:r>
              <w:rPr>
                <w:rFonts w:hint="eastAsia" w:ascii="宋体" w:hAnsi="宋体" w:cs="宋体"/>
                <w:b/>
                <w:bCs/>
              </w:rPr>
              <w:t>合　计</w:t>
            </w:r>
          </w:p>
        </w:tc>
        <w:tc>
          <w:tcPr>
            <w:tcW w:w="1134" w:type="dxa"/>
            <w:vAlign w:val="center"/>
          </w:tcPr>
          <w:p>
            <w:pPr>
              <w:spacing w:line="560" w:lineRule="exact"/>
              <w:jc w:val="right"/>
              <w:rPr>
                <w:rFonts w:ascii="宋体" w:cs="Times New Roman"/>
                <w:b/>
                <w:bCs/>
              </w:rPr>
            </w:pPr>
          </w:p>
        </w:tc>
        <w:tc>
          <w:tcPr>
            <w:tcW w:w="1701" w:type="dxa"/>
            <w:vAlign w:val="center"/>
          </w:tcPr>
          <w:p>
            <w:pPr>
              <w:spacing w:line="560" w:lineRule="exact"/>
              <w:jc w:val="center"/>
              <w:rPr>
                <w:rFonts w:ascii="宋体" w:cs="Times New Roman"/>
                <w:b/>
                <w:bCs/>
              </w:rPr>
            </w:pPr>
          </w:p>
        </w:tc>
        <w:tc>
          <w:tcPr>
            <w:tcW w:w="851" w:type="dxa"/>
            <w:gridSpan w:val="2"/>
            <w:vAlign w:val="center"/>
          </w:tcPr>
          <w:p>
            <w:pPr>
              <w:spacing w:line="560" w:lineRule="exact"/>
              <w:jc w:val="left"/>
              <w:rPr>
                <w:rFonts w:ascii="宋体" w:cs="Times New Roman"/>
                <w:b/>
                <w:bCs/>
              </w:rPr>
            </w:pPr>
          </w:p>
        </w:tc>
        <w:tc>
          <w:tcPr>
            <w:tcW w:w="549" w:type="dxa"/>
            <w:vAlign w:val="center"/>
          </w:tcPr>
          <w:p>
            <w:pPr>
              <w:spacing w:line="560" w:lineRule="exact"/>
              <w:jc w:val="left"/>
              <w:rPr>
                <w:rFonts w:ascii="宋体" w:cs="Times New Roman"/>
                <w:b/>
                <w:bCs/>
              </w:rPr>
            </w:pPr>
          </w:p>
        </w:tc>
        <w:tc>
          <w:tcPr>
            <w:tcW w:w="463" w:type="dxa"/>
            <w:vAlign w:val="center"/>
          </w:tcPr>
          <w:p>
            <w:pPr>
              <w:spacing w:line="560" w:lineRule="exact"/>
              <w:jc w:val="right"/>
              <w:rPr>
                <w:rFonts w:ascii="宋体" w:cs="Times New Roman"/>
                <w:b/>
                <w:bCs/>
              </w:rPr>
            </w:pPr>
          </w:p>
        </w:tc>
        <w:tc>
          <w:tcPr>
            <w:tcW w:w="650" w:type="dxa"/>
            <w:vAlign w:val="center"/>
          </w:tcPr>
          <w:p>
            <w:pPr>
              <w:spacing w:line="560" w:lineRule="exact"/>
              <w:jc w:val="right"/>
              <w:rPr>
                <w:rFonts w:ascii="宋体" w:cs="Times New Roman"/>
                <w:b/>
                <w:bCs/>
              </w:rPr>
            </w:pPr>
          </w:p>
        </w:tc>
        <w:tc>
          <w:tcPr>
            <w:tcW w:w="606" w:type="dxa"/>
            <w:vAlign w:val="center"/>
          </w:tcPr>
          <w:p>
            <w:pPr>
              <w:spacing w:line="560" w:lineRule="exact"/>
              <w:jc w:val="right"/>
              <w:rPr>
                <w:rFonts w:ascii="宋体" w:cs="Times New Roman"/>
                <w:b/>
                <w:bCs/>
              </w:rPr>
            </w:pPr>
          </w:p>
        </w:tc>
        <w:tc>
          <w:tcPr>
            <w:tcW w:w="709" w:type="dxa"/>
            <w:vAlign w:val="center"/>
          </w:tcPr>
          <w:p>
            <w:pPr>
              <w:spacing w:line="560" w:lineRule="exact"/>
              <w:jc w:val="right"/>
              <w:rPr>
                <w:rFonts w:ascii="宋体" w:cs="Times New Roman"/>
                <w:b/>
                <w:bCs/>
              </w:rPr>
            </w:pPr>
          </w:p>
        </w:tc>
        <w:tc>
          <w:tcPr>
            <w:tcW w:w="708" w:type="dxa"/>
            <w:vAlign w:val="center"/>
          </w:tcPr>
          <w:p>
            <w:pPr>
              <w:spacing w:line="560" w:lineRule="exact"/>
              <w:jc w:val="right"/>
              <w:rPr>
                <w:rFonts w:ascii="宋体" w:cs="Times New Roman"/>
                <w:b/>
                <w:bCs/>
              </w:rPr>
            </w:pPr>
          </w:p>
        </w:tc>
        <w:tc>
          <w:tcPr>
            <w:tcW w:w="709" w:type="dxa"/>
            <w:vAlign w:val="center"/>
          </w:tcPr>
          <w:p>
            <w:pPr>
              <w:spacing w:line="560" w:lineRule="exact"/>
              <w:jc w:val="right"/>
              <w:rPr>
                <w:rFonts w:ascii="宋体" w:cs="Times New Roman"/>
                <w:b/>
                <w:bCs/>
              </w:rPr>
            </w:pPr>
          </w:p>
        </w:tc>
        <w:tc>
          <w:tcPr>
            <w:tcW w:w="709" w:type="dxa"/>
            <w:vAlign w:val="center"/>
          </w:tcPr>
          <w:p>
            <w:pPr>
              <w:spacing w:line="560" w:lineRule="exact"/>
              <w:jc w:val="right"/>
              <w:rPr>
                <w:rFonts w:ascii="宋体" w:cs="Times New Roman"/>
                <w:b/>
                <w:bCs/>
              </w:rPr>
            </w:pPr>
          </w:p>
        </w:tc>
        <w:tc>
          <w:tcPr>
            <w:tcW w:w="709" w:type="dxa"/>
            <w:vAlign w:val="center"/>
          </w:tcPr>
          <w:p>
            <w:pPr>
              <w:spacing w:line="560" w:lineRule="exact"/>
              <w:jc w:val="right"/>
              <w:rPr>
                <w:rFonts w:ascii="宋体" w:cs="Times New Roman"/>
                <w:b/>
                <w:bCs/>
              </w:rPr>
            </w:pPr>
          </w:p>
        </w:tc>
        <w:tc>
          <w:tcPr>
            <w:tcW w:w="833" w:type="dxa"/>
            <w:vAlign w:val="center"/>
          </w:tcPr>
          <w:p>
            <w:pPr>
              <w:spacing w:line="560" w:lineRule="exact"/>
              <w:jc w:val="right"/>
              <w:rPr>
                <w:rFonts w:ascii="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9" w:type="dxa"/>
            <w:vAlign w:val="center"/>
          </w:tcPr>
          <w:p>
            <w:pPr>
              <w:spacing w:line="560" w:lineRule="exact"/>
              <w:jc w:val="center"/>
              <w:rPr>
                <w:rFonts w:ascii="宋体" w:cs="Times New Roman"/>
                <w:b/>
                <w:bCs/>
              </w:rPr>
            </w:pPr>
            <w:r>
              <w:rPr>
                <w:rFonts w:hint="eastAsia" w:ascii="宋体" w:cs="宋体"/>
              </w:rPr>
              <w:t>凭证装订机</w:t>
            </w:r>
          </w:p>
        </w:tc>
        <w:tc>
          <w:tcPr>
            <w:tcW w:w="1134" w:type="dxa"/>
            <w:vAlign w:val="center"/>
          </w:tcPr>
          <w:p>
            <w:pPr>
              <w:spacing w:line="560" w:lineRule="exact"/>
              <w:jc w:val="right"/>
              <w:rPr>
                <w:rFonts w:ascii="宋体" w:cs="Times New Roman"/>
                <w:b/>
                <w:bCs/>
              </w:rPr>
            </w:pPr>
            <w:r>
              <w:rPr>
                <w:rFonts w:ascii="宋体" w:cs="宋体"/>
                <w:b/>
                <w:bCs/>
              </w:rPr>
              <w:t>0.15</w:t>
            </w:r>
          </w:p>
        </w:tc>
        <w:tc>
          <w:tcPr>
            <w:tcW w:w="1701" w:type="dxa"/>
            <w:vAlign w:val="center"/>
          </w:tcPr>
          <w:p>
            <w:pPr>
              <w:spacing w:line="560" w:lineRule="exact"/>
              <w:jc w:val="center"/>
              <w:rPr>
                <w:rFonts w:ascii="宋体" w:cs="Times New Roman"/>
                <w:b/>
                <w:bCs/>
              </w:rPr>
            </w:pPr>
          </w:p>
        </w:tc>
        <w:tc>
          <w:tcPr>
            <w:tcW w:w="851" w:type="dxa"/>
            <w:gridSpan w:val="2"/>
            <w:vAlign w:val="center"/>
          </w:tcPr>
          <w:p>
            <w:pPr>
              <w:spacing w:line="560" w:lineRule="exact"/>
              <w:jc w:val="left"/>
              <w:rPr>
                <w:rFonts w:ascii="宋体" w:cs="Times New Roman"/>
                <w:b/>
                <w:bCs/>
              </w:rPr>
            </w:pPr>
          </w:p>
        </w:tc>
        <w:tc>
          <w:tcPr>
            <w:tcW w:w="549" w:type="dxa"/>
            <w:vAlign w:val="center"/>
          </w:tcPr>
          <w:p>
            <w:pPr>
              <w:spacing w:line="560" w:lineRule="exact"/>
              <w:jc w:val="left"/>
              <w:rPr>
                <w:rFonts w:ascii="宋体" w:cs="Times New Roman"/>
                <w:b/>
                <w:bCs/>
              </w:rPr>
            </w:pPr>
            <w:r>
              <w:rPr>
                <w:rFonts w:ascii="宋体" w:cs="宋体"/>
                <w:b/>
                <w:bCs/>
              </w:rPr>
              <w:t>1</w:t>
            </w:r>
          </w:p>
        </w:tc>
        <w:tc>
          <w:tcPr>
            <w:tcW w:w="463" w:type="dxa"/>
            <w:vAlign w:val="center"/>
          </w:tcPr>
          <w:p>
            <w:pPr>
              <w:spacing w:line="560" w:lineRule="exact"/>
              <w:jc w:val="right"/>
              <w:rPr>
                <w:rFonts w:ascii="宋体" w:cs="Times New Roman"/>
                <w:b/>
                <w:bCs/>
              </w:rPr>
            </w:pPr>
            <w:r>
              <w:rPr>
                <w:rFonts w:ascii="宋体" w:cs="宋体"/>
                <w:b/>
                <w:bCs/>
              </w:rPr>
              <w:t>1</w:t>
            </w:r>
          </w:p>
        </w:tc>
        <w:tc>
          <w:tcPr>
            <w:tcW w:w="650" w:type="dxa"/>
            <w:vAlign w:val="center"/>
          </w:tcPr>
          <w:p>
            <w:pPr>
              <w:spacing w:line="560" w:lineRule="exact"/>
              <w:jc w:val="right"/>
              <w:rPr>
                <w:rFonts w:ascii="宋体" w:cs="Times New Roman"/>
                <w:b/>
                <w:bCs/>
              </w:rPr>
            </w:pPr>
            <w:r>
              <w:rPr>
                <w:rFonts w:ascii="宋体" w:cs="宋体"/>
                <w:b/>
                <w:bCs/>
              </w:rPr>
              <w:t>0.15</w:t>
            </w:r>
          </w:p>
        </w:tc>
        <w:tc>
          <w:tcPr>
            <w:tcW w:w="606" w:type="dxa"/>
            <w:vAlign w:val="center"/>
          </w:tcPr>
          <w:p>
            <w:pPr>
              <w:spacing w:line="560" w:lineRule="exact"/>
              <w:jc w:val="right"/>
              <w:rPr>
                <w:rFonts w:ascii="宋体" w:cs="Times New Roman"/>
                <w:b/>
                <w:bCs/>
              </w:rPr>
            </w:pPr>
          </w:p>
        </w:tc>
        <w:tc>
          <w:tcPr>
            <w:tcW w:w="709" w:type="dxa"/>
            <w:vAlign w:val="center"/>
          </w:tcPr>
          <w:p>
            <w:pPr>
              <w:spacing w:line="560" w:lineRule="exact"/>
              <w:jc w:val="right"/>
              <w:rPr>
                <w:rFonts w:ascii="宋体" w:cs="Times New Roman"/>
                <w:b/>
                <w:bCs/>
              </w:rPr>
            </w:pPr>
          </w:p>
        </w:tc>
        <w:tc>
          <w:tcPr>
            <w:tcW w:w="708" w:type="dxa"/>
            <w:vAlign w:val="center"/>
          </w:tcPr>
          <w:p>
            <w:pPr>
              <w:spacing w:line="560" w:lineRule="exact"/>
              <w:jc w:val="right"/>
              <w:rPr>
                <w:rFonts w:ascii="宋体" w:cs="Times New Roman"/>
                <w:b/>
                <w:bCs/>
              </w:rPr>
            </w:pPr>
            <w:r>
              <w:rPr>
                <w:rFonts w:ascii="宋体" w:cs="宋体"/>
                <w:b/>
                <w:bCs/>
              </w:rPr>
              <w:t>0.15</w:t>
            </w:r>
          </w:p>
        </w:tc>
        <w:tc>
          <w:tcPr>
            <w:tcW w:w="709" w:type="dxa"/>
            <w:vAlign w:val="center"/>
          </w:tcPr>
          <w:p>
            <w:pPr>
              <w:spacing w:line="560" w:lineRule="exact"/>
              <w:jc w:val="right"/>
              <w:rPr>
                <w:rFonts w:ascii="宋体" w:cs="Times New Roman"/>
                <w:b/>
                <w:bCs/>
              </w:rPr>
            </w:pPr>
          </w:p>
        </w:tc>
        <w:tc>
          <w:tcPr>
            <w:tcW w:w="709" w:type="dxa"/>
            <w:vAlign w:val="center"/>
          </w:tcPr>
          <w:p>
            <w:pPr>
              <w:spacing w:line="560" w:lineRule="exact"/>
              <w:jc w:val="right"/>
              <w:rPr>
                <w:rFonts w:ascii="宋体" w:cs="Times New Roman"/>
                <w:b/>
                <w:bCs/>
              </w:rPr>
            </w:pPr>
          </w:p>
        </w:tc>
        <w:tc>
          <w:tcPr>
            <w:tcW w:w="709" w:type="dxa"/>
            <w:vAlign w:val="center"/>
          </w:tcPr>
          <w:p>
            <w:pPr>
              <w:spacing w:line="560" w:lineRule="exact"/>
              <w:jc w:val="right"/>
              <w:rPr>
                <w:rFonts w:ascii="宋体" w:cs="Times New Roman"/>
                <w:b/>
                <w:bCs/>
              </w:rPr>
            </w:pPr>
          </w:p>
        </w:tc>
        <w:tc>
          <w:tcPr>
            <w:tcW w:w="833" w:type="dxa"/>
            <w:vAlign w:val="center"/>
          </w:tcPr>
          <w:p>
            <w:pPr>
              <w:spacing w:line="560" w:lineRule="exact"/>
              <w:jc w:val="right"/>
              <w:rPr>
                <w:rFonts w:ascii="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9" w:type="dxa"/>
            <w:vAlign w:val="center"/>
          </w:tcPr>
          <w:p>
            <w:pPr>
              <w:spacing w:line="560" w:lineRule="exact"/>
              <w:jc w:val="left"/>
              <w:rPr>
                <w:rFonts w:ascii="宋体" w:cs="Times New Roman"/>
              </w:rPr>
            </w:pPr>
            <w:r>
              <w:rPr>
                <w:rFonts w:hint="eastAsia" w:ascii="宋体" w:cs="宋体"/>
              </w:rPr>
              <w:t>电脑</w:t>
            </w:r>
          </w:p>
        </w:tc>
        <w:tc>
          <w:tcPr>
            <w:tcW w:w="1134" w:type="dxa"/>
            <w:vAlign w:val="center"/>
          </w:tcPr>
          <w:p>
            <w:pPr>
              <w:spacing w:line="560" w:lineRule="exact"/>
              <w:jc w:val="right"/>
              <w:rPr>
                <w:rFonts w:ascii="宋体" w:cs="Times New Roman"/>
              </w:rPr>
            </w:pPr>
            <w:r>
              <w:rPr>
                <w:rFonts w:ascii="宋体" w:cs="宋体"/>
              </w:rPr>
              <w:t>0.35</w:t>
            </w:r>
          </w:p>
        </w:tc>
        <w:tc>
          <w:tcPr>
            <w:tcW w:w="1701" w:type="dxa"/>
            <w:vAlign w:val="center"/>
          </w:tcPr>
          <w:p>
            <w:pPr>
              <w:spacing w:line="260" w:lineRule="exact"/>
              <w:jc w:val="left"/>
              <w:rPr>
                <w:rFonts w:ascii="宋体" w:cs="Times New Roman"/>
              </w:rPr>
            </w:pPr>
          </w:p>
        </w:tc>
        <w:tc>
          <w:tcPr>
            <w:tcW w:w="851" w:type="dxa"/>
            <w:gridSpan w:val="2"/>
            <w:vAlign w:val="center"/>
          </w:tcPr>
          <w:p>
            <w:pPr>
              <w:spacing w:line="560" w:lineRule="exact"/>
              <w:jc w:val="left"/>
              <w:rPr>
                <w:rFonts w:ascii="宋体" w:cs="Times New Roman"/>
              </w:rPr>
            </w:pPr>
          </w:p>
        </w:tc>
        <w:tc>
          <w:tcPr>
            <w:tcW w:w="549" w:type="dxa"/>
            <w:vAlign w:val="center"/>
          </w:tcPr>
          <w:p>
            <w:pPr>
              <w:spacing w:line="560" w:lineRule="exact"/>
              <w:jc w:val="left"/>
              <w:rPr>
                <w:rFonts w:ascii="宋体" w:cs="Times New Roman"/>
              </w:rPr>
            </w:pPr>
          </w:p>
        </w:tc>
        <w:tc>
          <w:tcPr>
            <w:tcW w:w="463" w:type="dxa"/>
            <w:vAlign w:val="center"/>
          </w:tcPr>
          <w:p>
            <w:pPr>
              <w:spacing w:line="560" w:lineRule="exact"/>
              <w:jc w:val="right"/>
              <w:rPr>
                <w:rFonts w:ascii="宋体" w:cs="Times New Roman"/>
              </w:rPr>
            </w:pPr>
            <w:r>
              <w:rPr>
                <w:rFonts w:ascii="宋体" w:cs="宋体"/>
              </w:rPr>
              <w:t>1</w:t>
            </w:r>
          </w:p>
        </w:tc>
        <w:tc>
          <w:tcPr>
            <w:tcW w:w="650" w:type="dxa"/>
            <w:vAlign w:val="center"/>
          </w:tcPr>
          <w:p>
            <w:pPr>
              <w:spacing w:line="560" w:lineRule="exact"/>
              <w:jc w:val="right"/>
              <w:rPr>
                <w:rFonts w:ascii="宋体" w:cs="Times New Roman"/>
              </w:rPr>
            </w:pPr>
            <w:r>
              <w:rPr>
                <w:rFonts w:ascii="宋体" w:cs="宋体"/>
              </w:rPr>
              <w:t>0.35</w:t>
            </w:r>
          </w:p>
        </w:tc>
        <w:tc>
          <w:tcPr>
            <w:tcW w:w="606" w:type="dxa"/>
            <w:vAlign w:val="center"/>
          </w:tcPr>
          <w:p>
            <w:pPr>
              <w:spacing w:line="560" w:lineRule="exact"/>
              <w:jc w:val="right"/>
              <w:rPr>
                <w:rFonts w:ascii="宋体" w:cs="Times New Roman"/>
              </w:rPr>
            </w:pPr>
          </w:p>
        </w:tc>
        <w:tc>
          <w:tcPr>
            <w:tcW w:w="709" w:type="dxa"/>
            <w:vAlign w:val="center"/>
          </w:tcPr>
          <w:p>
            <w:pPr>
              <w:spacing w:line="560" w:lineRule="exact"/>
              <w:jc w:val="right"/>
              <w:rPr>
                <w:rFonts w:ascii="宋体" w:cs="Times New Roman"/>
              </w:rPr>
            </w:pPr>
          </w:p>
        </w:tc>
        <w:tc>
          <w:tcPr>
            <w:tcW w:w="708" w:type="dxa"/>
            <w:vAlign w:val="center"/>
          </w:tcPr>
          <w:p>
            <w:pPr>
              <w:spacing w:line="560" w:lineRule="exact"/>
              <w:jc w:val="right"/>
              <w:rPr>
                <w:rFonts w:ascii="宋体" w:cs="Times New Roman"/>
              </w:rPr>
            </w:pPr>
            <w:r>
              <w:rPr>
                <w:rFonts w:ascii="宋体" w:cs="宋体"/>
              </w:rPr>
              <w:t>0.35</w:t>
            </w:r>
          </w:p>
        </w:tc>
        <w:tc>
          <w:tcPr>
            <w:tcW w:w="709" w:type="dxa"/>
            <w:vAlign w:val="center"/>
          </w:tcPr>
          <w:p>
            <w:pPr>
              <w:spacing w:line="560" w:lineRule="exact"/>
              <w:jc w:val="right"/>
              <w:rPr>
                <w:rFonts w:ascii="宋体" w:cs="Times New Roman"/>
              </w:rPr>
            </w:pPr>
          </w:p>
        </w:tc>
        <w:tc>
          <w:tcPr>
            <w:tcW w:w="709" w:type="dxa"/>
            <w:vAlign w:val="center"/>
          </w:tcPr>
          <w:p>
            <w:pPr>
              <w:spacing w:line="560" w:lineRule="exact"/>
              <w:jc w:val="right"/>
              <w:rPr>
                <w:rFonts w:ascii="宋体" w:cs="Times New Roman"/>
              </w:rPr>
            </w:pPr>
          </w:p>
        </w:tc>
        <w:tc>
          <w:tcPr>
            <w:tcW w:w="709" w:type="dxa"/>
            <w:vAlign w:val="center"/>
          </w:tcPr>
          <w:p>
            <w:pPr>
              <w:spacing w:line="560" w:lineRule="exact"/>
              <w:jc w:val="right"/>
              <w:rPr>
                <w:rFonts w:ascii="宋体" w:cs="Times New Roman"/>
              </w:rPr>
            </w:pPr>
          </w:p>
        </w:tc>
        <w:tc>
          <w:tcPr>
            <w:tcW w:w="833" w:type="dxa"/>
            <w:vAlign w:val="center"/>
          </w:tcPr>
          <w:p>
            <w:pPr>
              <w:spacing w:line="560" w:lineRule="exact"/>
              <w:jc w:val="right"/>
              <w:rPr>
                <w:rFonts w:ascii="宋体" w:cs="Times New Roman"/>
              </w:rPr>
            </w:pPr>
          </w:p>
        </w:tc>
      </w:tr>
    </w:tbl>
    <w:p>
      <w:pPr>
        <w:widowControl/>
        <w:spacing w:line="360" w:lineRule="auto"/>
        <w:jc w:val="left"/>
        <w:rPr>
          <w:rFonts w:ascii="仿宋" w:hAnsi="仿宋" w:eastAsia="仿宋" w:cs="Times New Roman"/>
          <w:b/>
          <w:bCs/>
          <w:kern w:val="0"/>
          <w:sz w:val="32"/>
          <w:szCs w:val="32"/>
        </w:rPr>
      </w:pPr>
    </w:p>
    <w:p>
      <w:pPr>
        <w:widowControl/>
        <w:spacing w:line="360" w:lineRule="auto"/>
        <w:jc w:val="left"/>
        <w:rPr>
          <w:rFonts w:ascii="仿宋" w:hAnsi="仿宋" w:eastAsia="仿宋" w:cs="Times New Roman"/>
          <w:b/>
          <w:bCs/>
          <w:kern w:val="0"/>
          <w:sz w:val="32"/>
          <w:szCs w:val="32"/>
        </w:rPr>
      </w:pPr>
      <w:r>
        <w:rPr>
          <w:rFonts w:ascii="仿宋" w:hAnsi="仿宋" w:eastAsia="仿宋" w:cs="仿宋"/>
          <w:b/>
          <w:bCs/>
          <w:kern w:val="0"/>
          <w:sz w:val="32"/>
          <w:szCs w:val="32"/>
        </w:rPr>
        <w:t xml:space="preserve">   </w:t>
      </w:r>
      <w:r>
        <w:rPr>
          <w:rFonts w:hint="eastAsia" w:ascii="仿宋" w:hAnsi="仿宋" w:eastAsia="仿宋" w:cs="仿宋"/>
          <w:kern w:val="0"/>
          <w:sz w:val="32"/>
          <w:szCs w:val="32"/>
        </w:rPr>
        <w:t>政府采购指国家机关、事业单位和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 w:hAnsi="仿宋" w:eastAsia="仿宋" w:cs="仿宋"/>
          <w:kern w:val="0"/>
          <w:sz w:val="32"/>
          <w:szCs w:val="32"/>
        </w:rPr>
        <w:t>[2015]11</w:t>
      </w:r>
      <w:r>
        <w:rPr>
          <w:rFonts w:hint="eastAsia" w:ascii="仿宋" w:hAnsi="仿宋" w:eastAsia="仿宋" w:cs="仿宋"/>
          <w:kern w:val="0"/>
          <w:sz w:val="32"/>
          <w:szCs w:val="32"/>
        </w:rPr>
        <w:t>号）要求的货物、工程或服务的项目，采购人均应编入政府采购预算。</w:t>
      </w:r>
      <w:r>
        <w:rPr>
          <w:rFonts w:ascii="仿宋" w:hAnsi="仿宋" w:eastAsia="仿宋" w:cs="仿宋"/>
          <w:kern w:val="0"/>
          <w:sz w:val="32"/>
          <w:szCs w:val="32"/>
        </w:rPr>
        <w:t xml:space="preserve"> </w:t>
      </w:r>
      <w:r>
        <w:rPr>
          <w:rFonts w:hint="eastAsia" w:ascii="仿宋" w:hAnsi="仿宋" w:eastAsia="仿宋" w:cs="仿宋"/>
          <w:kern w:val="0"/>
          <w:sz w:val="32"/>
          <w:szCs w:val="32"/>
        </w:rPr>
        <w:t>按照政府采购相关法律法规要求，结合我办实际，</w:t>
      </w:r>
      <w:r>
        <w:rPr>
          <w:rFonts w:ascii="仿宋" w:hAnsi="仿宋" w:eastAsia="仿宋" w:cs="仿宋"/>
          <w:kern w:val="0"/>
          <w:sz w:val="32"/>
          <w:szCs w:val="32"/>
        </w:rPr>
        <w:t>2018</w:t>
      </w:r>
      <w:r>
        <w:rPr>
          <w:rFonts w:hint="eastAsia" w:ascii="仿宋" w:hAnsi="仿宋" w:eastAsia="仿宋" w:cs="仿宋"/>
          <w:kern w:val="0"/>
          <w:sz w:val="32"/>
          <w:szCs w:val="32"/>
        </w:rPr>
        <w:t>年我办政府采购事项为</w:t>
      </w:r>
      <w:r>
        <w:rPr>
          <w:rFonts w:ascii="仿宋" w:hAnsi="仿宋" w:eastAsia="仿宋" w:cs="仿宋"/>
          <w:kern w:val="0"/>
          <w:sz w:val="32"/>
          <w:szCs w:val="32"/>
        </w:rPr>
        <w:t>0.5</w:t>
      </w:r>
      <w:r>
        <w:rPr>
          <w:rFonts w:hint="eastAsia" w:ascii="仿宋" w:hAnsi="仿宋" w:eastAsia="仿宋" w:cs="仿宋"/>
          <w:kern w:val="0"/>
          <w:sz w:val="32"/>
          <w:szCs w:val="32"/>
        </w:rPr>
        <w:t>万元，本年拟用于政府采购微机</w:t>
      </w:r>
      <w:r>
        <w:rPr>
          <w:rFonts w:ascii="仿宋" w:hAnsi="仿宋" w:eastAsia="仿宋" w:cs="仿宋"/>
          <w:kern w:val="0"/>
          <w:sz w:val="32"/>
          <w:szCs w:val="32"/>
        </w:rPr>
        <w:t>1</w:t>
      </w:r>
      <w:r>
        <w:rPr>
          <w:rFonts w:hint="eastAsia" w:ascii="仿宋" w:hAnsi="仿宋" w:eastAsia="仿宋" w:cs="仿宋"/>
          <w:kern w:val="0"/>
          <w:sz w:val="32"/>
          <w:szCs w:val="32"/>
        </w:rPr>
        <w:t>台每台</w:t>
      </w:r>
      <w:r>
        <w:rPr>
          <w:rFonts w:ascii="仿宋" w:hAnsi="仿宋" w:eastAsia="仿宋" w:cs="仿宋"/>
          <w:kern w:val="0"/>
          <w:sz w:val="32"/>
          <w:szCs w:val="32"/>
        </w:rPr>
        <w:t>0.35</w:t>
      </w:r>
      <w:r>
        <w:rPr>
          <w:rFonts w:hint="eastAsia" w:ascii="仿宋" w:hAnsi="仿宋" w:eastAsia="仿宋" w:cs="仿宋"/>
          <w:kern w:val="0"/>
          <w:sz w:val="32"/>
          <w:szCs w:val="32"/>
        </w:rPr>
        <w:t>万元，凭证装订机一台</w:t>
      </w:r>
      <w:r>
        <w:rPr>
          <w:rFonts w:ascii="仿宋" w:hAnsi="仿宋" w:eastAsia="仿宋" w:cs="仿宋"/>
          <w:kern w:val="0"/>
          <w:sz w:val="32"/>
          <w:szCs w:val="32"/>
        </w:rPr>
        <w:t>0.15</w:t>
      </w:r>
      <w:r>
        <w:rPr>
          <w:rFonts w:hint="eastAsia" w:ascii="仿宋" w:hAnsi="仿宋" w:eastAsia="仿宋" w:cs="仿宋"/>
          <w:kern w:val="0"/>
          <w:sz w:val="32"/>
          <w:szCs w:val="32"/>
        </w:rPr>
        <w:t>万元。</w:t>
      </w:r>
    </w:p>
    <w:p>
      <w:pPr>
        <w:widowControl/>
        <w:spacing w:line="360" w:lineRule="auto"/>
        <w:ind w:left="412" w:leftChars="196" w:firstLine="640"/>
        <w:jc w:val="left"/>
        <w:rPr>
          <w:rFonts w:ascii="黑体" w:hAnsi="黑体" w:eastAsia="黑体" w:cs="Times New Roman"/>
          <w:sz w:val="32"/>
          <w:szCs w:val="32"/>
        </w:rPr>
      </w:pPr>
      <w:r>
        <w:rPr>
          <w:rFonts w:hint="eastAsia" w:ascii="黑体" w:hAnsi="黑体" w:eastAsia="黑体" w:cs="黑体"/>
          <w:sz w:val="32"/>
          <w:szCs w:val="32"/>
        </w:rPr>
        <w:t>七、国有资产情况的说明</w:t>
      </w:r>
    </w:p>
    <w:p>
      <w:pPr>
        <w:widowControl/>
        <w:spacing w:line="360" w:lineRule="auto"/>
        <w:ind w:left="412" w:leftChars="196" w:firstLine="640"/>
        <w:jc w:val="left"/>
        <w:rPr>
          <w:rFonts w:ascii="仿宋" w:hAnsi="仿宋" w:eastAsia="仿宋" w:cs="Times New Roman"/>
          <w:kern w:val="0"/>
          <w:sz w:val="32"/>
          <w:szCs w:val="32"/>
        </w:rPr>
      </w:pPr>
      <w:r>
        <w:rPr>
          <w:rFonts w:hint="eastAsia" w:ascii="仿宋" w:hAnsi="仿宋" w:eastAsia="仿宋" w:cs="仿宋"/>
          <w:color w:val="333333"/>
          <w:kern w:val="0"/>
          <w:sz w:val="32"/>
          <w:szCs w:val="32"/>
        </w:rPr>
        <w:t>截止上年</w:t>
      </w:r>
      <w:r>
        <w:rPr>
          <w:rFonts w:hint="eastAsia" w:ascii="仿宋" w:hAnsi="仿宋" w:eastAsia="仿宋" w:cs="仿宋"/>
          <w:kern w:val="0"/>
          <w:sz w:val="32"/>
          <w:szCs w:val="32"/>
        </w:rPr>
        <w:t>末固定资产帐面结余</w:t>
      </w:r>
      <w:r>
        <w:rPr>
          <w:rFonts w:ascii="仿宋" w:hAnsi="仿宋" w:eastAsia="仿宋" w:cs="仿宋"/>
          <w:kern w:val="0"/>
          <w:sz w:val="32"/>
          <w:szCs w:val="32"/>
        </w:rPr>
        <w:t>0</w:t>
      </w:r>
      <w:r>
        <w:rPr>
          <w:rFonts w:hint="eastAsia" w:ascii="仿宋" w:hAnsi="仿宋" w:eastAsia="仿宋" w:cs="仿宋"/>
          <w:kern w:val="0"/>
          <w:sz w:val="32"/>
          <w:szCs w:val="32"/>
        </w:rPr>
        <w:t>万元。其中：房屋价值</w:t>
      </w:r>
      <w:r>
        <w:rPr>
          <w:rFonts w:ascii="仿宋" w:hAnsi="仿宋" w:eastAsia="仿宋" w:cs="仿宋"/>
          <w:kern w:val="0"/>
          <w:sz w:val="32"/>
          <w:szCs w:val="32"/>
        </w:rPr>
        <w:t>0</w:t>
      </w:r>
      <w:r>
        <w:rPr>
          <w:rFonts w:hint="eastAsia" w:ascii="仿宋" w:hAnsi="仿宋" w:eastAsia="仿宋" w:cs="仿宋"/>
          <w:kern w:val="0"/>
          <w:sz w:val="32"/>
          <w:szCs w:val="32"/>
        </w:rPr>
        <w:t>万元，车辆价值</w:t>
      </w:r>
      <w:r>
        <w:rPr>
          <w:rFonts w:ascii="仿宋" w:hAnsi="仿宋" w:eastAsia="仿宋" w:cs="仿宋"/>
          <w:kern w:val="0"/>
          <w:sz w:val="32"/>
          <w:szCs w:val="32"/>
        </w:rPr>
        <w:t>13</w:t>
      </w:r>
      <w:r>
        <w:rPr>
          <w:rFonts w:hint="eastAsia" w:ascii="仿宋" w:hAnsi="仿宋" w:eastAsia="仿宋" w:cs="仿宋"/>
          <w:kern w:val="0"/>
          <w:sz w:val="32"/>
          <w:szCs w:val="32"/>
        </w:rPr>
        <w:t>万元，其它资产办公用电脑、办公家具、专用设备等价值</w:t>
      </w:r>
      <w:r>
        <w:rPr>
          <w:rFonts w:ascii="仿宋" w:hAnsi="仿宋" w:eastAsia="仿宋" w:cs="仿宋"/>
          <w:kern w:val="0"/>
          <w:sz w:val="32"/>
          <w:szCs w:val="32"/>
        </w:rPr>
        <w:t>7</w:t>
      </w:r>
      <w:r>
        <w:rPr>
          <w:rFonts w:hint="eastAsia" w:ascii="仿宋" w:hAnsi="仿宋" w:eastAsia="仿宋" w:cs="仿宋"/>
          <w:kern w:val="0"/>
          <w:sz w:val="32"/>
          <w:szCs w:val="32"/>
        </w:rPr>
        <w:t>万元。</w:t>
      </w:r>
      <w:r>
        <w:rPr>
          <w:rFonts w:ascii="仿宋" w:hAnsi="仿宋" w:eastAsia="仿宋" w:cs="仿宋"/>
          <w:kern w:val="0"/>
          <w:sz w:val="32"/>
          <w:szCs w:val="32"/>
        </w:rPr>
        <w:t>2018</w:t>
      </w:r>
      <w:r>
        <w:rPr>
          <w:rFonts w:hint="eastAsia" w:ascii="仿宋" w:hAnsi="仿宋" w:eastAsia="仿宋" w:cs="仿宋"/>
          <w:kern w:val="0"/>
          <w:sz w:val="32"/>
          <w:szCs w:val="32"/>
        </w:rPr>
        <w:t>年我单位拟购置</w:t>
      </w:r>
      <w:r>
        <w:rPr>
          <w:rFonts w:ascii="仿宋" w:hAnsi="仿宋" w:eastAsia="仿宋" w:cs="仿宋"/>
          <w:kern w:val="0"/>
          <w:sz w:val="32"/>
          <w:szCs w:val="32"/>
        </w:rPr>
        <w:t>0.5</w:t>
      </w:r>
      <w:r>
        <w:rPr>
          <w:rFonts w:hint="eastAsia" w:ascii="仿宋" w:hAnsi="仿宋" w:eastAsia="仿宋" w:cs="仿宋"/>
          <w:kern w:val="0"/>
          <w:sz w:val="32"/>
          <w:szCs w:val="32"/>
        </w:rPr>
        <w:t>万元。详见下表。</w:t>
      </w:r>
    </w:p>
    <w:tbl>
      <w:tblPr>
        <w:tblStyle w:val="6"/>
        <w:tblW w:w="10898" w:type="dxa"/>
        <w:jc w:val="center"/>
        <w:tblLayout w:type="fixed"/>
        <w:tblCellMar>
          <w:top w:w="0" w:type="dxa"/>
          <w:left w:w="108" w:type="dxa"/>
          <w:bottom w:w="0" w:type="dxa"/>
          <w:right w:w="108" w:type="dxa"/>
        </w:tblCellMar>
      </w:tblPr>
      <w:tblGrid>
        <w:gridCol w:w="5022"/>
        <w:gridCol w:w="1393"/>
        <w:gridCol w:w="4483"/>
      </w:tblGrid>
      <w:tr>
        <w:tblPrEx>
          <w:tblCellMar>
            <w:top w:w="0" w:type="dxa"/>
            <w:left w:w="108" w:type="dxa"/>
            <w:bottom w:w="0" w:type="dxa"/>
            <w:right w:w="108" w:type="dxa"/>
          </w:tblCellMar>
        </w:tblPrEx>
        <w:trPr>
          <w:trHeight w:val="705" w:hRule="atLeast"/>
          <w:jc w:val="center"/>
        </w:trPr>
        <w:tc>
          <w:tcPr>
            <w:tcW w:w="10898" w:type="dxa"/>
            <w:gridSpan w:val="3"/>
            <w:tcBorders>
              <w:top w:val="nil"/>
              <w:left w:val="nil"/>
              <w:bottom w:val="nil"/>
              <w:right w:val="nil"/>
            </w:tcBorders>
            <w:vAlign w:val="center"/>
          </w:tcPr>
          <w:p>
            <w:pPr>
              <w:widowControl/>
              <w:ind w:firstLine="3840" w:firstLineChars="1200"/>
              <w:rPr>
                <w:rFonts w:ascii="宋体" w:cs="Times New Roman"/>
                <w:b/>
                <w:bCs/>
                <w:kern w:val="0"/>
                <w:sz w:val="32"/>
                <w:szCs w:val="32"/>
              </w:rPr>
            </w:pPr>
            <w:r>
              <w:rPr>
                <w:rFonts w:hint="eastAsia" w:ascii="仿宋" w:hAnsi="仿宋" w:eastAsia="仿宋" w:cs="仿宋"/>
                <w:kern w:val="0"/>
                <w:sz w:val="32"/>
                <w:szCs w:val="32"/>
              </w:rPr>
              <w:t>部门固定资产占用情况表</w:t>
            </w:r>
          </w:p>
        </w:tc>
      </w:tr>
      <w:tr>
        <w:tblPrEx>
          <w:tblCellMar>
            <w:top w:w="0" w:type="dxa"/>
            <w:left w:w="108" w:type="dxa"/>
            <w:bottom w:w="0" w:type="dxa"/>
            <w:right w:w="108" w:type="dxa"/>
          </w:tblCellMar>
        </w:tblPrEx>
        <w:trPr>
          <w:trHeight w:val="510" w:hRule="atLeast"/>
          <w:jc w:val="center"/>
        </w:trPr>
        <w:tc>
          <w:tcPr>
            <w:tcW w:w="6415" w:type="dxa"/>
            <w:gridSpan w:val="2"/>
            <w:tcBorders>
              <w:top w:val="nil"/>
              <w:left w:val="nil"/>
              <w:bottom w:val="nil"/>
              <w:right w:val="nil"/>
            </w:tcBorders>
            <w:vAlign w:val="center"/>
          </w:tcPr>
          <w:p>
            <w:pPr>
              <w:widowControl/>
              <w:jc w:val="left"/>
              <w:rPr>
                <w:rFonts w:ascii="宋体" w:cs="Times New Roman"/>
                <w:kern w:val="0"/>
                <w:sz w:val="22"/>
                <w:szCs w:val="22"/>
              </w:rPr>
            </w:pPr>
            <w:r>
              <w:rPr>
                <w:rFonts w:hint="eastAsia" w:ascii="宋体" w:hAnsi="宋体" w:cs="宋体"/>
                <w:kern w:val="0"/>
                <w:sz w:val="22"/>
                <w:szCs w:val="22"/>
              </w:rPr>
              <w:t>编制部门：成安县农业开发办公室</w:t>
            </w:r>
          </w:p>
        </w:tc>
        <w:tc>
          <w:tcPr>
            <w:tcW w:w="4483" w:type="dxa"/>
            <w:tcBorders>
              <w:top w:val="nil"/>
              <w:left w:val="nil"/>
              <w:bottom w:val="nil"/>
              <w:right w:val="nil"/>
            </w:tcBorders>
            <w:vAlign w:val="center"/>
          </w:tcPr>
          <w:p>
            <w:pPr>
              <w:widowControl/>
              <w:ind w:firstLine="550" w:firstLineChars="250"/>
              <w:jc w:val="left"/>
              <w:rPr>
                <w:rFonts w:ascii="宋体" w:cs="Times New Roman"/>
                <w:kern w:val="0"/>
                <w:sz w:val="22"/>
                <w:szCs w:val="22"/>
              </w:rPr>
            </w:pPr>
            <w:r>
              <w:rPr>
                <w:rFonts w:hint="eastAsia" w:ascii="宋体" w:hAnsi="宋体" w:cs="宋体"/>
                <w:kern w:val="0"/>
                <w:sz w:val="22"/>
                <w:szCs w:val="22"/>
              </w:rPr>
              <w:t>截止时间：</w:t>
            </w:r>
            <w:r>
              <w:rPr>
                <w:rFonts w:ascii="宋体" w:hAnsi="宋体" w:cs="宋体"/>
                <w:kern w:val="0"/>
                <w:sz w:val="22"/>
                <w:szCs w:val="22"/>
              </w:rPr>
              <w:t>2017</w:t>
            </w:r>
            <w:r>
              <w:rPr>
                <w:rFonts w:hint="eastAsia" w:ascii="宋体" w:hAnsi="宋体" w:cs="宋体"/>
                <w:kern w:val="0"/>
                <w:sz w:val="22"/>
                <w:szCs w:val="22"/>
              </w:rPr>
              <w:t>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645" w:hRule="atLeast"/>
          <w:jc w:val="center"/>
        </w:trPr>
        <w:tc>
          <w:tcPr>
            <w:tcW w:w="5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139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数量</w:t>
            </w:r>
          </w:p>
        </w:tc>
        <w:tc>
          <w:tcPr>
            <w:tcW w:w="448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szCs w:val="22"/>
              </w:rPr>
            </w:pPr>
            <w:r>
              <w:rPr>
                <w:rFonts w:hint="eastAsia" w:ascii="宋体" w:hAnsi="宋体" w:cs="宋体"/>
                <w:kern w:val="0"/>
                <w:sz w:val="22"/>
                <w:szCs w:val="22"/>
              </w:rPr>
              <w:t>资产总额</w:t>
            </w:r>
          </w:p>
        </w:tc>
        <w:tc>
          <w:tcPr>
            <w:tcW w:w="139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ascii="宋体" w:hAnsi="宋体" w:cs="宋体"/>
                <w:kern w:val="0"/>
                <w:sz w:val="22"/>
                <w:szCs w:val="22"/>
              </w:rPr>
              <w:t>——</w:t>
            </w:r>
          </w:p>
        </w:tc>
        <w:tc>
          <w:tcPr>
            <w:tcW w:w="448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1</w:t>
            </w:r>
            <w:r>
              <w:rPr>
                <w:rFonts w:hint="eastAsia" w:ascii="宋体" w:hAnsi="宋体" w:cs="宋体"/>
                <w:kern w:val="0"/>
                <w:sz w:val="22"/>
                <w:szCs w:val="22"/>
              </w:rPr>
              <w:t>、房屋（平方米）</w:t>
            </w:r>
          </w:p>
        </w:tc>
        <w:tc>
          <w:tcPr>
            <w:tcW w:w="139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p>
        </w:tc>
        <w:tc>
          <w:tcPr>
            <w:tcW w:w="448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139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p>
        </w:tc>
        <w:tc>
          <w:tcPr>
            <w:tcW w:w="448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2</w:t>
            </w:r>
            <w:r>
              <w:rPr>
                <w:rFonts w:hint="eastAsia" w:ascii="宋体" w:hAnsi="宋体" w:cs="宋体"/>
                <w:kern w:val="0"/>
                <w:sz w:val="22"/>
                <w:szCs w:val="22"/>
              </w:rPr>
              <w:t>、车辆（台、辆）</w:t>
            </w:r>
          </w:p>
        </w:tc>
        <w:tc>
          <w:tcPr>
            <w:tcW w:w="139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p>
        </w:tc>
        <w:tc>
          <w:tcPr>
            <w:tcW w:w="448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ascii="宋体" w:hAnsi="宋体" w:cs="宋体"/>
                <w:kern w:val="0"/>
                <w:sz w:val="22"/>
                <w:szCs w:val="22"/>
              </w:rPr>
              <w:t>13</w:t>
            </w: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50</w:t>
            </w:r>
            <w:r>
              <w:rPr>
                <w:rFonts w:hint="eastAsia" w:ascii="宋体" w:hAnsi="宋体" w:cs="宋体"/>
                <w:kern w:val="0"/>
                <w:sz w:val="22"/>
                <w:szCs w:val="22"/>
              </w:rPr>
              <w:t>万元以上的设备</w:t>
            </w:r>
          </w:p>
        </w:tc>
        <w:tc>
          <w:tcPr>
            <w:tcW w:w="139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p>
        </w:tc>
        <w:tc>
          <w:tcPr>
            <w:tcW w:w="448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4</w:t>
            </w:r>
            <w:r>
              <w:rPr>
                <w:rFonts w:hint="eastAsia" w:ascii="宋体" w:hAnsi="宋体" w:cs="宋体"/>
                <w:kern w:val="0"/>
                <w:sz w:val="22"/>
                <w:szCs w:val="22"/>
              </w:rPr>
              <w:t>、其他固定资产</w:t>
            </w:r>
          </w:p>
        </w:tc>
        <w:tc>
          <w:tcPr>
            <w:tcW w:w="139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p>
        </w:tc>
        <w:tc>
          <w:tcPr>
            <w:tcW w:w="4483"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ascii="宋体" w:hAnsi="宋体" w:cs="宋体"/>
                <w:kern w:val="0"/>
                <w:sz w:val="22"/>
                <w:szCs w:val="22"/>
              </w:rPr>
              <w:t>0.5</w:t>
            </w:r>
          </w:p>
        </w:tc>
      </w:tr>
    </w:tbl>
    <w:p>
      <w:pPr>
        <w:widowControl/>
        <w:spacing w:line="360" w:lineRule="auto"/>
        <w:ind w:firstLine="739" w:firstLineChars="231"/>
        <w:jc w:val="left"/>
        <w:rPr>
          <w:rFonts w:ascii="黑体" w:hAnsi="黑体" w:eastAsia="黑体" w:cs="Times New Roman"/>
          <w:sz w:val="32"/>
          <w:szCs w:val="32"/>
        </w:rPr>
      </w:pPr>
      <w:r>
        <w:rPr>
          <w:rFonts w:hint="eastAsia" w:ascii="黑体" w:hAnsi="黑体" w:eastAsia="黑体" w:cs="黑体"/>
          <w:sz w:val="32"/>
          <w:szCs w:val="32"/>
        </w:rPr>
        <w:t>八、名词解释</w:t>
      </w:r>
      <w:r>
        <w:rPr>
          <w:rFonts w:ascii="黑体" w:hAnsi="黑体" w:eastAsia="黑体" w:cs="黑体"/>
          <w:sz w:val="32"/>
          <w:szCs w:val="32"/>
        </w:rPr>
        <w:t xml:space="preserve"> </w:t>
      </w:r>
      <w:r>
        <w:rPr>
          <w:rFonts w:ascii="宋体" w:cs="Times New Roman"/>
          <w:sz w:val="32"/>
          <w:szCs w:val="32"/>
        </w:rPr>
        <w:t> </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、财政拨款收入：指财政当年拨付的资金。</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40" w:firstLineChars="200"/>
        <w:jc w:val="left"/>
        <w:rPr>
          <w:rFonts w:ascii="仿宋" w:hAnsi="仿宋" w:eastAsia="仿宋" w:cs="仿宋"/>
          <w:kern w:val="0"/>
          <w:sz w:val="32"/>
          <w:szCs w:val="32"/>
        </w:rPr>
      </w:pPr>
      <w:r>
        <w:rPr>
          <w:rFonts w:ascii="仿宋" w:hAnsi="仿宋" w:eastAsia="仿宋" w:cs="仿宋"/>
          <w:kern w:val="0"/>
          <w:sz w:val="32"/>
          <w:szCs w:val="32"/>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ascii="仿宋" w:hAnsi="仿宋" w:eastAsia="仿宋" w:cs="仿宋"/>
          <w:kern w:val="0"/>
          <w:sz w:val="32"/>
          <w:szCs w:val="32"/>
        </w:rPr>
        <w:t xml:space="preserve">  </w:t>
      </w:r>
    </w:p>
    <w:p>
      <w:pPr>
        <w:widowControl/>
        <w:spacing w:line="360" w:lineRule="auto"/>
        <w:ind w:firstLine="640" w:firstLineChars="200"/>
        <w:jc w:val="left"/>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、基本支出：指单位为了保障其正常运转、完成日常工作任务而发生的人员支出和公用支出。</w:t>
      </w:r>
      <w:r>
        <w:rPr>
          <w:rFonts w:ascii="仿宋" w:hAnsi="仿宋" w:eastAsia="仿宋" w:cs="仿宋"/>
          <w:kern w:val="0"/>
          <w:sz w:val="32"/>
          <w:szCs w:val="32"/>
        </w:rPr>
        <w:t xml:space="preserve">  </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、项目支出：指单位为了特定的工作任务和事业发展目标，在基本支出之外所发生的支出。</w:t>
      </w:r>
    </w:p>
    <w:p>
      <w:pPr>
        <w:widowControl/>
        <w:spacing w:line="360" w:lineRule="auto"/>
        <w:ind w:firstLine="419" w:firstLineChars="131"/>
        <w:jc w:val="left"/>
        <w:rPr>
          <w:rFonts w:ascii="黑体" w:hAnsi="黑体" w:eastAsia="黑体" w:cs="Times New Roman"/>
          <w:sz w:val="32"/>
          <w:szCs w:val="32"/>
        </w:rPr>
      </w:pPr>
      <w:r>
        <w:rPr>
          <w:rFonts w:hint="eastAsia" w:ascii="黑体" w:hAnsi="黑体" w:eastAsia="黑体" w:cs="黑体"/>
          <w:sz w:val="32"/>
          <w:szCs w:val="32"/>
        </w:rPr>
        <w:t>九、其他需要说明的事项</w:t>
      </w:r>
    </w:p>
    <w:p>
      <w:pPr>
        <w:widowControl/>
        <w:spacing w:line="360" w:lineRule="auto"/>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无其他需要说明的事项。</w:t>
      </w:r>
    </w:p>
    <w:p>
      <w:pPr>
        <w:widowControl/>
        <w:spacing w:line="360" w:lineRule="auto"/>
        <w:ind w:firstLine="420" w:firstLineChars="200"/>
        <w:jc w:val="left"/>
        <w:rPr>
          <w:rFonts w:cs="Times New Roman"/>
        </w:rPr>
      </w:pPr>
    </w:p>
    <w:sectPr>
      <w:pgSz w:w="16839" w:h="11907" w:orient="landscape"/>
      <w:pgMar w:top="1134" w:right="1021" w:bottom="113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微软雅黑"/>
    <w:panose1 w:val="00000000000000000000"/>
    <w:charset w:val="86"/>
    <w:family w:val="auto"/>
    <w:pitch w:val="default"/>
    <w:sig w:usb0="00000000" w:usb1="00000000" w:usb2="00000010" w:usb3="00000000" w:csb0="0004009F" w:csb1="00000000"/>
  </w:font>
  <w:font w:name="方正书宋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66BA9"/>
    <w:multiLevelType w:val="singleLevel"/>
    <w:tmpl w:val="5A066B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JjM2I2YzFkNThkYjJhZTQyNTk0MWE5NDM5YjJiNWIifQ=="/>
  </w:docVars>
  <w:rsids>
    <w:rsidRoot w:val="00E810D6"/>
    <w:rsid w:val="00042E27"/>
    <w:rsid w:val="001916D9"/>
    <w:rsid w:val="001E70B5"/>
    <w:rsid w:val="001F6133"/>
    <w:rsid w:val="00222D6A"/>
    <w:rsid w:val="002238F9"/>
    <w:rsid w:val="002E3A95"/>
    <w:rsid w:val="002F39CD"/>
    <w:rsid w:val="00391A74"/>
    <w:rsid w:val="003D754B"/>
    <w:rsid w:val="00464B59"/>
    <w:rsid w:val="00465985"/>
    <w:rsid w:val="004B7754"/>
    <w:rsid w:val="004D3AEE"/>
    <w:rsid w:val="004E0692"/>
    <w:rsid w:val="004F30EB"/>
    <w:rsid w:val="005C2F20"/>
    <w:rsid w:val="005D136A"/>
    <w:rsid w:val="005E0567"/>
    <w:rsid w:val="006047CF"/>
    <w:rsid w:val="0062621A"/>
    <w:rsid w:val="00685811"/>
    <w:rsid w:val="00686676"/>
    <w:rsid w:val="006D1C5B"/>
    <w:rsid w:val="00712344"/>
    <w:rsid w:val="00774BB0"/>
    <w:rsid w:val="007A507B"/>
    <w:rsid w:val="007D6BF0"/>
    <w:rsid w:val="008058DC"/>
    <w:rsid w:val="00831397"/>
    <w:rsid w:val="008400E4"/>
    <w:rsid w:val="00881491"/>
    <w:rsid w:val="008B2621"/>
    <w:rsid w:val="008C7744"/>
    <w:rsid w:val="008D2B91"/>
    <w:rsid w:val="008E1F6D"/>
    <w:rsid w:val="008F6336"/>
    <w:rsid w:val="00942AA1"/>
    <w:rsid w:val="00943F18"/>
    <w:rsid w:val="009B685C"/>
    <w:rsid w:val="00A07D70"/>
    <w:rsid w:val="00A9335F"/>
    <w:rsid w:val="00B344D4"/>
    <w:rsid w:val="00B645AF"/>
    <w:rsid w:val="00BB3FD4"/>
    <w:rsid w:val="00BD07B6"/>
    <w:rsid w:val="00BE705C"/>
    <w:rsid w:val="00C41A1D"/>
    <w:rsid w:val="00D376C0"/>
    <w:rsid w:val="00E31522"/>
    <w:rsid w:val="00E66D76"/>
    <w:rsid w:val="00E810D6"/>
    <w:rsid w:val="013B67CD"/>
    <w:rsid w:val="01CA412B"/>
    <w:rsid w:val="02E105A4"/>
    <w:rsid w:val="03470FB6"/>
    <w:rsid w:val="037D399A"/>
    <w:rsid w:val="03B213E5"/>
    <w:rsid w:val="05294534"/>
    <w:rsid w:val="05551F42"/>
    <w:rsid w:val="06096D52"/>
    <w:rsid w:val="06550E5D"/>
    <w:rsid w:val="0726741C"/>
    <w:rsid w:val="08184F8E"/>
    <w:rsid w:val="08D34D69"/>
    <w:rsid w:val="09E50DB9"/>
    <w:rsid w:val="0BB759F9"/>
    <w:rsid w:val="0CBF7A43"/>
    <w:rsid w:val="0DD4180B"/>
    <w:rsid w:val="0FAC01D7"/>
    <w:rsid w:val="130B706D"/>
    <w:rsid w:val="139106CF"/>
    <w:rsid w:val="13DE0FA8"/>
    <w:rsid w:val="14435AA4"/>
    <w:rsid w:val="163506CD"/>
    <w:rsid w:val="17252863"/>
    <w:rsid w:val="175940C0"/>
    <w:rsid w:val="17C16AC9"/>
    <w:rsid w:val="180D78B9"/>
    <w:rsid w:val="18714684"/>
    <w:rsid w:val="1AC04A10"/>
    <w:rsid w:val="1AEF7278"/>
    <w:rsid w:val="1B2A5EA4"/>
    <w:rsid w:val="1CC97251"/>
    <w:rsid w:val="1CEB0A1C"/>
    <w:rsid w:val="1E8167C1"/>
    <w:rsid w:val="1E8E5343"/>
    <w:rsid w:val="1EA0654E"/>
    <w:rsid w:val="1EAA0AE1"/>
    <w:rsid w:val="20643E10"/>
    <w:rsid w:val="21B66276"/>
    <w:rsid w:val="223400CB"/>
    <w:rsid w:val="224B772B"/>
    <w:rsid w:val="228819EE"/>
    <w:rsid w:val="23251827"/>
    <w:rsid w:val="2716314B"/>
    <w:rsid w:val="287068C3"/>
    <w:rsid w:val="288A4B30"/>
    <w:rsid w:val="28B0025D"/>
    <w:rsid w:val="28E516DB"/>
    <w:rsid w:val="293F5498"/>
    <w:rsid w:val="299267B6"/>
    <w:rsid w:val="2AD57C75"/>
    <w:rsid w:val="2BAA47A7"/>
    <w:rsid w:val="2D03700E"/>
    <w:rsid w:val="2D177B76"/>
    <w:rsid w:val="2DCE40BA"/>
    <w:rsid w:val="2E066AE5"/>
    <w:rsid w:val="2E2777CE"/>
    <w:rsid w:val="2EE04A84"/>
    <w:rsid w:val="31D059F4"/>
    <w:rsid w:val="327E7E05"/>
    <w:rsid w:val="332A0BBD"/>
    <w:rsid w:val="3387759D"/>
    <w:rsid w:val="33E31C33"/>
    <w:rsid w:val="351C5D1D"/>
    <w:rsid w:val="36DF5EE5"/>
    <w:rsid w:val="38963AA1"/>
    <w:rsid w:val="39461E7C"/>
    <w:rsid w:val="39A75722"/>
    <w:rsid w:val="3B6E7B6E"/>
    <w:rsid w:val="3C712CD5"/>
    <w:rsid w:val="3C803D11"/>
    <w:rsid w:val="3CEC5D53"/>
    <w:rsid w:val="3E8F468B"/>
    <w:rsid w:val="43C23630"/>
    <w:rsid w:val="441C57E9"/>
    <w:rsid w:val="44240E6E"/>
    <w:rsid w:val="44986D47"/>
    <w:rsid w:val="456A5D0D"/>
    <w:rsid w:val="457C0C14"/>
    <w:rsid w:val="45B90BF3"/>
    <w:rsid w:val="460143F1"/>
    <w:rsid w:val="475B18CD"/>
    <w:rsid w:val="4A4F1F05"/>
    <w:rsid w:val="4B7040C7"/>
    <w:rsid w:val="4CA957E7"/>
    <w:rsid w:val="4D9730D4"/>
    <w:rsid w:val="4E4335D2"/>
    <w:rsid w:val="59AF56D7"/>
    <w:rsid w:val="5B2B3FCD"/>
    <w:rsid w:val="5BAE356C"/>
    <w:rsid w:val="5CB07A05"/>
    <w:rsid w:val="5ED17601"/>
    <w:rsid w:val="607E5707"/>
    <w:rsid w:val="612F2391"/>
    <w:rsid w:val="61897173"/>
    <w:rsid w:val="63F21B1B"/>
    <w:rsid w:val="64CD28F8"/>
    <w:rsid w:val="65493192"/>
    <w:rsid w:val="666C26EF"/>
    <w:rsid w:val="68541668"/>
    <w:rsid w:val="68C167A7"/>
    <w:rsid w:val="6B511389"/>
    <w:rsid w:val="6C3F6730"/>
    <w:rsid w:val="6D5763C1"/>
    <w:rsid w:val="6D81148F"/>
    <w:rsid w:val="6E8006EE"/>
    <w:rsid w:val="6ECC4D84"/>
    <w:rsid w:val="705A791D"/>
    <w:rsid w:val="70746973"/>
    <w:rsid w:val="70954FFE"/>
    <w:rsid w:val="70BA2DA1"/>
    <w:rsid w:val="71B87B2B"/>
    <w:rsid w:val="729B4F6A"/>
    <w:rsid w:val="72BB5548"/>
    <w:rsid w:val="731A1B81"/>
    <w:rsid w:val="733E01F4"/>
    <w:rsid w:val="7424079F"/>
    <w:rsid w:val="74D4598A"/>
    <w:rsid w:val="76FD3FC3"/>
    <w:rsid w:val="7803668D"/>
    <w:rsid w:val="7A680102"/>
    <w:rsid w:val="7AA5545A"/>
    <w:rsid w:val="7BAA5900"/>
    <w:rsid w:val="7BC40405"/>
    <w:rsid w:val="7C7F0C36"/>
    <w:rsid w:val="7D9A3104"/>
    <w:rsid w:val="7DB949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iPriority w:val="99"/>
  </w:style>
  <w:style w:type="paragraph" w:styleId="5">
    <w:name w:val="toc 2"/>
    <w:basedOn w:val="1"/>
    <w:next w:val="1"/>
    <w:semiHidden/>
    <w:uiPriority w:val="99"/>
    <w:pPr>
      <w:ind w:left="420" w:leftChars="200"/>
    </w:pPr>
  </w:style>
  <w:style w:type="character" w:customStyle="1" w:styleId="8">
    <w:name w:val="Footer Char"/>
    <w:basedOn w:val="7"/>
    <w:link w:val="2"/>
    <w:semiHidden/>
    <w:locked/>
    <w:uiPriority w:val="99"/>
    <w:rPr>
      <w:sz w:val="18"/>
      <w:szCs w:val="18"/>
    </w:rPr>
  </w:style>
  <w:style w:type="character" w:customStyle="1" w:styleId="9">
    <w:name w:val="Header Char"/>
    <w:basedOn w:val="7"/>
    <w:link w:val="3"/>
    <w:semiHidden/>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3066</Words>
  <Characters>3230</Characters>
  <Lines>0</Lines>
  <Paragraphs>0</Paragraphs>
  <TotalTime>1091</TotalTime>
  <ScaleCrop>false</ScaleCrop>
  <LinksUpToDate>false</LinksUpToDate>
  <CharactersWithSpaces>3273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2017-05-19T01:51:00Z</dcterms:created>
  <dc:creator>lenovo</dc:creator>
  <cp:lastModifiedBy>果子糖</cp:lastModifiedBy>
  <cp:lastPrinted>2016-04-01T02:44:00Z</cp:lastPrinted>
  <dcterms:modified xsi:type="dcterms:W3CDTF">2023-06-08T07:48:56Z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19194A53BC394D42B331AAC2726FE1CA_12</vt:lpwstr>
  </property>
</Properties>
</file>