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成安县乡镇企业局201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/>
          <w:b/>
          <w:sz w:val="44"/>
          <w:szCs w:val="44"/>
        </w:rPr>
        <w:t>年部门预算公开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情况说明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按照</w:t>
      </w:r>
      <w:r>
        <w:rPr>
          <w:rFonts w:hint="eastAsia" w:ascii="仿宋_GB2312" w:hAnsi="黑体" w:eastAsia="仿宋_GB2312" w:cs="仿宋_GB2312"/>
          <w:sz w:val="32"/>
          <w:szCs w:val="32"/>
        </w:rPr>
        <w:t>《预算法》</w:t>
      </w:r>
      <w:r>
        <w:rPr>
          <w:rFonts w:hint="eastAsia" w:ascii="仿宋" w:hAnsi="仿宋" w:eastAsia="仿宋" w:cs="仿宋_GB2312"/>
          <w:sz w:val="32"/>
          <w:szCs w:val="32"/>
        </w:rPr>
        <w:t>有关规定和</w:t>
      </w:r>
      <w:r>
        <w:rPr>
          <w:rFonts w:hint="eastAsia" w:ascii="仿宋" w:hAnsi="仿宋" w:eastAsia="仿宋" w:cs="楷体_GB2312"/>
          <w:sz w:val="32"/>
          <w:szCs w:val="32"/>
        </w:rPr>
        <w:t>财政部关于印发《地方预决算公开操作规程》的通知，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现将成安县乡镇企业局201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年部门预算公开如下：</w:t>
      </w:r>
    </w:p>
    <w:p>
      <w:pPr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一、部门职责及机构设置情况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贯彻落实国家有关发展中小企业（含乡镇企业、民营企业，下同）的法律法规和方针政策，组织起草发展中小企业的地方性法规和规章，研究提出扶持中小企业发展的政策；负责对全县中小企业的综合协调、指导和服务。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2、拟定全县中小企业的反战战略、中长期发展规划并组织实施；指导和推进中小企业产业结构、组织机构和产品结构的调整。</w:t>
      </w:r>
    </w:p>
    <w:p>
      <w:pPr>
        <w:widowControl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3、检测、分析中小企业运行态势，承担中小企业分类、信息收集和发布等工作，拟定并落实中小企业发展调控目标和措施。</w:t>
      </w:r>
    </w:p>
    <w:p>
      <w:pPr>
        <w:widowControl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4、指导和推进中小企业改革与发展；指导中小企业发展科技进步、新产品开发和技术改造工作。</w:t>
      </w:r>
    </w:p>
    <w:p>
      <w:pPr>
        <w:widowControl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5、指导中小企业开展国外经济技术交流与合作；指导中小企业对外贸易工作</w:t>
      </w:r>
    </w:p>
    <w:p>
      <w:pPr>
        <w:widowControl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6、指导中小企业服务体系建设；指导、规范为中小企业提供服务的各类中介组织工作；促进金融机构建立与中小企业的融资渠道。</w:t>
      </w:r>
    </w:p>
    <w:p>
      <w:pPr>
        <w:widowControl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7、承担成安县民营经济领导小组办公室的日常工作。</w:t>
      </w:r>
    </w:p>
    <w:p>
      <w:pPr>
        <w:widowControl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8、承办县政府交办的其他事项。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</w:p>
    <w:p>
      <w:pPr>
        <w:jc w:val="left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1、单位职责及构成情况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人员情况：单位编制数为36个（含工勤编制1个），编制内实有人数为36人、财政统发工资人数为1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人，在编单位参改总人数为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人，其中，正科级2人，副科级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人，科员及以下1人，正式在编在岗工勤人员1人，目前在岗人员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</w:rPr>
        <w:t>部门机构设置情况</w:t>
      </w:r>
    </w:p>
    <w:tbl>
      <w:tblPr>
        <w:tblStyle w:val="4"/>
        <w:tblW w:w="862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0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宋体" w:hAnsi="宋体" w:eastAsia="宋体" w:cs="宋体"/>
              </w:rPr>
              <w:t>乡镇企业局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宋体" w:hAnsi="宋体" w:eastAsia="宋体" w:cs="宋体"/>
              </w:rPr>
              <w:t>行政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宋体" w:hAnsi="宋体" w:eastAsia="宋体" w:cs="宋体"/>
              </w:rPr>
              <w:t>正科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宋体" w:hAnsi="宋体" w:eastAsia="宋体" w:cs="宋体"/>
              </w:rPr>
              <w:t>财政拨款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</w:p>
        </w:tc>
      </w:tr>
    </w:tbl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二、部门预算安排的总体情况</w:t>
      </w:r>
    </w:p>
    <w:p>
      <w:pPr>
        <w:widowControl/>
        <w:spacing w:line="360" w:lineRule="auto"/>
        <w:ind w:firstLine="627" w:firstLineChars="196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年部门收入预算总额为608.27万元，部门支出预算总额为608.27万元（其中人员经费101.27万元，项目经费493万元，公用经费7万元）。</w:t>
      </w:r>
      <w:r>
        <w:rPr>
          <w:rFonts w:ascii="仿宋_GB2312" w:hAnsi="Calibri" w:eastAsia="仿宋_GB2312" w:cs="仿宋_GB2312"/>
          <w:kern w:val="0"/>
          <w:sz w:val="32"/>
          <w:szCs w:val="32"/>
          <w:lang w:bidi="ar"/>
        </w:rPr>
        <w:t>201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7</w:t>
      </w:r>
      <w:r>
        <w:rPr>
          <w:rFonts w:ascii="仿宋_GB2312" w:hAnsi="Calibri" w:eastAsia="仿宋_GB2312" w:cs="仿宋_GB2312"/>
          <w:kern w:val="0"/>
          <w:sz w:val="32"/>
          <w:szCs w:val="32"/>
          <w:lang w:bidi="ar"/>
        </w:rPr>
        <w:t>年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bidi="ar"/>
        </w:rPr>
        <w:t>成安县</w:t>
      </w:r>
      <w:r>
        <w:rPr>
          <w:rFonts w:ascii="仿宋_GB2312" w:hAnsi="Calibri" w:eastAsia="仿宋_GB2312" w:cs="仿宋_GB2312"/>
          <w:kern w:val="0"/>
          <w:sz w:val="32"/>
          <w:szCs w:val="32"/>
          <w:lang w:bidi="ar"/>
        </w:rPr>
        <w:t>财政局财政拨款收入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bidi="ar"/>
        </w:rPr>
        <w:t>617.56</w:t>
      </w:r>
      <w:r>
        <w:rPr>
          <w:rFonts w:ascii="仿宋_GB2312" w:hAnsi="Calibri" w:eastAsia="仿宋_GB2312" w:cs="仿宋_GB2312"/>
          <w:kern w:val="0"/>
          <w:sz w:val="32"/>
          <w:szCs w:val="32"/>
          <w:lang w:bidi="ar"/>
        </w:rPr>
        <w:t>万元，总支出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bidi="ar"/>
        </w:rPr>
        <w:t>617.56</w:t>
      </w:r>
      <w:r>
        <w:rPr>
          <w:rFonts w:ascii="仿宋_GB2312" w:hAnsi="Calibri" w:eastAsia="仿宋_GB2312" w:cs="仿宋_GB2312"/>
          <w:kern w:val="0"/>
          <w:sz w:val="32"/>
          <w:szCs w:val="32"/>
          <w:lang w:bidi="ar"/>
        </w:rPr>
        <w:t>万元。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bidi="ar"/>
        </w:rPr>
        <w:t>与去年相比降低了9.29万元，积极贯彻落实新《预算法》，按照讲求绩效的原则，对于当年未使用的预算，在调整预算中予以调减。</w:t>
      </w:r>
    </w:p>
    <w:p>
      <w:pPr>
        <w:spacing w:line="56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1、收入说明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年预算收入</w:t>
      </w:r>
      <w:r>
        <w:rPr>
          <w:rFonts w:hint="eastAsia" w:ascii="仿宋" w:hAnsi="仿宋" w:eastAsia="仿宋" w:cs="仿宋"/>
          <w:kern w:val="0"/>
          <w:sz w:val="32"/>
          <w:szCs w:val="32"/>
        </w:rPr>
        <w:t>608.27</w:t>
      </w:r>
      <w:r>
        <w:rPr>
          <w:rFonts w:hint="eastAsia" w:ascii="仿宋" w:hAnsi="仿宋" w:eastAsia="仿宋" w:cs="仿宋"/>
          <w:sz w:val="32"/>
          <w:szCs w:val="32"/>
        </w:rPr>
        <w:t>万元，其中：一般公共预算收入</w:t>
      </w:r>
      <w:r>
        <w:rPr>
          <w:rFonts w:hint="eastAsia" w:ascii="仿宋" w:hAnsi="仿宋" w:eastAsia="仿宋" w:cs="仿宋"/>
          <w:kern w:val="0"/>
          <w:sz w:val="32"/>
          <w:szCs w:val="32"/>
        </w:rPr>
        <w:t>608.27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spacing w:line="56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2、支出说明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年支出预算</w:t>
      </w:r>
      <w:r>
        <w:rPr>
          <w:rFonts w:hint="eastAsia" w:ascii="仿宋" w:hAnsi="仿宋" w:eastAsia="仿宋" w:cs="仿宋"/>
          <w:kern w:val="0"/>
          <w:sz w:val="32"/>
          <w:szCs w:val="32"/>
        </w:rPr>
        <w:t>608.27</w:t>
      </w:r>
      <w:r>
        <w:rPr>
          <w:rFonts w:hint="eastAsia" w:ascii="仿宋" w:hAnsi="仿宋" w:eastAsia="仿宋" w:cs="仿宋"/>
          <w:sz w:val="32"/>
          <w:szCs w:val="32"/>
        </w:rPr>
        <w:t>万元，其中基本支出</w:t>
      </w:r>
      <w:r>
        <w:rPr>
          <w:rFonts w:hint="eastAsia" w:ascii="仿宋" w:hAnsi="仿宋" w:eastAsia="仿宋" w:cs="仿宋"/>
          <w:kern w:val="0"/>
          <w:sz w:val="32"/>
          <w:szCs w:val="32"/>
        </w:rPr>
        <w:t>108.27</w:t>
      </w:r>
      <w:r>
        <w:rPr>
          <w:rFonts w:hint="eastAsia" w:ascii="仿宋" w:hAnsi="仿宋" w:eastAsia="仿宋" w:cs="仿宋"/>
          <w:sz w:val="32"/>
          <w:szCs w:val="32"/>
        </w:rPr>
        <w:t>万元，包括人员经费和日常公用经费；项目支出493万元。</w:t>
      </w:r>
    </w:p>
    <w:p>
      <w:pPr>
        <w:spacing w:line="56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3、比上年增减变化情况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年预算收支安排608.27万元，较201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年预算增加30万元，其中：基本支出增加30万元，主要为增加人员经费支出。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三、机关运行经费安排情况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机关运行经费共计安排7万元，主要用于办公区的日常维修、办公用房水电费、邮电费、办公用房取暖费、办公用房物业管理费等日常运行支出。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四、财政拨款“三公”经费预算情况及增减变化原因</w:t>
      </w:r>
    </w:p>
    <w:p>
      <w:pPr>
        <w:widowControl/>
        <w:spacing w:line="360" w:lineRule="auto"/>
        <w:ind w:left="420" w:left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年度“三公”预算支出0万元，其中，因公出国（境）费0元，安排公务用车维护费0万元，（其中公务用车购置费0元，公务用车运行维护费0万元），公务接等费0万元，201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年“三公”经费预算减少了20%。由于2016年公车拍卖，2017年实行车补，油修费用预算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eastAsia="zh-CN"/>
        </w:rPr>
        <w:t>安</w:t>
      </w:r>
      <w:bookmarkStart w:id="2" w:name="_GoBack"/>
      <w:bookmarkEnd w:id="2"/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排减少。</w:t>
      </w:r>
    </w:p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五、绩效预算信息</w:t>
      </w:r>
    </w:p>
    <w:p>
      <w:pPr>
        <w:spacing w:line="560" w:lineRule="exact"/>
        <w:ind w:firstLine="643" w:firstLineChars="200"/>
        <w:jc w:val="left"/>
        <w:rPr>
          <w:rFonts w:ascii="宋体" w:hAnsi="宋体" w:eastAsia="宋体" w:cs="Times New Roman"/>
          <w:b/>
          <w:bCs/>
          <w:sz w:val="32"/>
          <w:szCs w:val="32"/>
        </w:rPr>
      </w:pPr>
      <w:bookmarkStart w:id="0" w:name="_Toc471398463"/>
      <w:r>
        <w:rPr>
          <w:rFonts w:hint="eastAsia" w:ascii="宋体" w:hAnsi="宋体" w:eastAsia="宋体" w:cs="方正仿宋_GBK"/>
          <w:b/>
          <w:bCs/>
          <w:sz w:val="32"/>
          <w:szCs w:val="32"/>
        </w:rPr>
        <w:t>总体绩效目标：</w:t>
      </w:r>
    </w:p>
    <w:bookmarkEnd w:id="0"/>
    <w:tbl>
      <w:tblPr>
        <w:tblStyle w:val="4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创新技术改造项目支撑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ascii="宋体" w:hAnsi="宋体" w:eastAsia="宋体" w:cs="Calibri"/>
                <w:kern w:val="0"/>
              </w:rPr>
              <w:t>500.00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健全技术创新市场导向机制，创新政府投入方式，组织实施自然科学基金和重点基础研究；以促进产业转型升级、治理生态环境、改善民生等重大科技需求为重点，在高新技术、现代农业发展、生态环境治理与科技惠民等领域，实施关键共性技术研究；围绕京津冀科技协同创新实施科技合作项目；支持重大科技成果转化和产业化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获得一批重要原始创新成果，培养一批高层次科技人才和创新团队，提升基础研究能力。为产业转型升级、现代农业建设、和谐宜居环境创建和民生改善提供创新支撑；提升科技开放与合作的水平，提高科技成果转化和产业化能力，促进京津冀科技协同创新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Calibri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促进京津冀科技协同创新。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产业结构调整与升级改造技术研究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ascii="宋体" w:hAnsi="宋体" w:eastAsia="宋体" w:cs="Calibri"/>
                <w:kern w:val="0"/>
              </w:rPr>
              <w:t>500.00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面向工业转型升级重大科技需求，实施高新技术产业倍增计划，培育壮大战略性新兴产业，重点支持产业关键共性技术研究、集成与重大产品的开发、应用示范；围绕传统产业升级，重点实施钢铁产业技术升级、制造业信息化等科技专项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研发一批产业发展急需的新技术、新工艺、新产品，高新技术应用示范及成果产业化能力不断增强，科技支撑高新技术产业倍增、改造提升传统产业能力增强。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开发改造新产品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ascii="宋体" w:hAnsi="宋体" w:eastAsia="宋体" w:cs="Calibri"/>
                <w:kern w:val="0"/>
              </w:rPr>
              <w:t>10</w:t>
            </w:r>
            <w:r>
              <w:rPr>
                <w:rFonts w:hint="eastAsia" w:ascii="宋体" w:hAnsi="宋体" w:eastAsia="宋体" w:cs="Calibri"/>
                <w:kern w:val="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ascii="宋体" w:hAnsi="宋体" w:eastAsia="宋体" w:cs="Calibri"/>
                <w:kern w:val="0"/>
              </w:rPr>
              <w:t>9</w:t>
            </w:r>
            <w:r>
              <w:rPr>
                <w:rFonts w:hint="eastAsia" w:ascii="宋体" w:hAnsi="宋体" w:eastAsia="宋体" w:cs="Calibri"/>
                <w:kern w:val="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ascii="宋体" w:hAnsi="宋体" w:eastAsia="宋体" w:cs="Calibri"/>
                <w:kern w:val="0"/>
              </w:rPr>
              <w:t>8</w:t>
            </w:r>
            <w:r>
              <w:rPr>
                <w:rFonts w:hint="eastAsia" w:ascii="宋体" w:hAnsi="宋体" w:eastAsia="宋体" w:cs="Calibri"/>
                <w:kern w:val="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Calibri"/>
                <w:kern w:val="0"/>
              </w:rPr>
            </w:pPr>
            <w:r>
              <w:rPr>
                <w:rFonts w:ascii="宋体" w:hAnsi="宋体" w:eastAsia="宋体" w:cs="Calibri"/>
                <w:kern w:val="0"/>
              </w:rPr>
              <w:t>5</w:t>
            </w:r>
            <w:r>
              <w:rPr>
                <w:rFonts w:hint="eastAsia" w:ascii="宋体" w:hAnsi="宋体" w:eastAsia="宋体" w:cs="Calibri"/>
                <w:kern w:val="0"/>
              </w:rPr>
              <w:t>0</w:t>
            </w:r>
          </w:p>
        </w:tc>
      </w:tr>
    </w:tbl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  <w:sectPr>
          <w:pgSz w:w="16839" w:h="11907" w:orient="landscape"/>
          <w:pgMar w:top="1134" w:right="1020" w:bottom="1134" w:left="1020" w:header="851" w:footer="992" w:gutter="0"/>
          <w:cols w:space="0" w:num="1"/>
          <w:docGrid w:type="lines" w:linePitch="321" w:charSpace="0"/>
        </w:sect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六、政府采购预算情况</w:t>
      </w:r>
    </w:p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  <w:bookmarkStart w:id="1" w:name="_Toc471398468"/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按照政府采购相关法律法规要求，结合我局实际，201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年我局政府采购事项为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2万元，电脑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台，单价0.4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/>
        </w:rPr>
        <w:t>一体打印机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1台，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单价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0.65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万元，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本年拟用于政府采购微机等办公设备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2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万元。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电脑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台，单价0.4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/>
        </w:rPr>
        <w:t>，一体打印机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1台，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单价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0.65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万元。</w:t>
      </w:r>
    </w:p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</w:p>
    <w:p>
      <w:pPr>
        <w:spacing w:line="560" w:lineRule="exact"/>
        <w:outlineLvl w:val="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方正小标宋_GBK"/>
          <w:sz w:val="32"/>
          <w:szCs w:val="32"/>
        </w:rPr>
        <w:t>部门政府采购预算</w:t>
      </w:r>
      <w:bookmarkEnd w:id="1"/>
    </w:p>
    <w:tbl>
      <w:tblPr>
        <w:tblStyle w:val="4"/>
        <w:tblW w:w="90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572"/>
        <w:gridCol w:w="914"/>
        <w:gridCol w:w="982"/>
        <w:gridCol w:w="668"/>
        <w:gridCol w:w="491"/>
        <w:gridCol w:w="723"/>
        <w:gridCol w:w="450"/>
        <w:gridCol w:w="818"/>
        <w:gridCol w:w="504"/>
        <w:gridCol w:w="409"/>
        <w:gridCol w:w="396"/>
        <w:gridCol w:w="423"/>
        <w:gridCol w:w="4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46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小标宋_GBK"/>
                <w:sz w:val="24"/>
                <w:szCs w:val="24"/>
              </w:rPr>
              <w:t>部门（单位）名称：乡镇企业局</w:t>
            </w:r>
          </w:p>
        </w:tc>
        <w:tc>
          <w:tcPr>
            <w:tcW w:w="3414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政府采购项目来源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采购物品名称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政府采购目录序号</w:t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</w:t>
            </w:r>
            <w:r>
              <w:rPr>
                <w:rFonts w:ascii="宋体" w:hAnsi="宋体" w:eastAsia="宋体" w:cs="方正书宋_GBK"/>
                <w:b/>
                <w:bCs/>
              </w:rPr>
              <w:t xml:space="preserve">  </w:t>
            </w:r>
            <w:r>
              <w:rPr>
                <w:rFonts w:hint="eastAsia" w:ascii="宋体" w:hAnsi="宋体" w:eastAsia="宋体" w:cs="方正书宋_GBK"/>
                <w:b/>
                <w:bCs/>
              </w:rPr>
              <w:t>单位</w:t>
            </w:r>
          </w:p>
        </w:tc>
        <w:tc>
          <w:tcPr>
            <w:tcW w:w="49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单价</w:t>
            </w:r>
          </w:p>
        </w:tc>
        <w:tc>
          <w:tcPr>
            <w:tcW w:w="341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9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项目名称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预算资金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491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4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总计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当年部门预算安排资金</w:t>
            </w:r>
          </w:p>
        </w:tc>
        <w:tc>
          <w:tcPr>
            <w:tcW w:w="41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491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合计</w:t>
            </w:r>
          </w:p>
        </w:tc>
        <w:tc>
          <w:tcPr>
            <w:tcW w:w="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一般公共预算拨款</w:t>
            </w:r>
          </w:p>
        </w:tc>
        <w:tc>
          <w:tcPr>
            <w:tcW w:w="4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基金预算拨款</w:t>
            </w:r>
          </w:p>
        </w:tc>
        <w:tc>
          <w:tcPr>
            <w:tcW w:w="39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财政专户核拨</w:t>
            </w:r>
          </w:p>
        </w:tc>
        <w:tc>
          <w:tcPr>
            <w:tcW w:w="42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其他来源收入</w:t>
            </w:r>
          </w:p>
        </w:tc>
        <w:tc>
          <w:tcPr>
            <w:tcW w:w="41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　计</w:t>
            </w: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2</w:t>
            </w:r>
          </w:p>
        </w:tc>
        <w:tc>
          <w:tcPr>
            <w:tcW w:w="9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2</w:t>
            </w:r>
          </w:p>
        </w:tc>
        <w:tc>
          <w:tcPr>
            <w:tcW w:w="50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1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电脑</w:t>
            </w: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Times New Roman"/>
                <w:bCs/>
                <w:lang w:val="en-US"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电脑</w:t>
            </w:r>
          </w:p>
        </w:tc>
        <w:tc>
          <w:tcPr>
            <w:tcW w:w="982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台</w:t>
            </w:r>
          </w:p>
        </w:tc>
        <w:tc>
          <w:tcPr>
            <w:tcW w:w="491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Times New Roman"/>
                <w:bCs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lang w:val="en-US" w:eastAsia="zh-CN"/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0.</w:t>
            </w:r>
            <w:r>
              <w:rPr>
                <w:rFonts w:hint="eastAsia" w:ascii="宋体" w:hAnsi="宋体" w:eastAsia="宋体" w:cs="Times New Roman"/>
                <w:bCs/>
                <w:lang w:val="en-US" w:eastAsia="zh-CN"/>
              </w:rPr>
              <w:t>45</w:t>
            </w: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1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一体打印机</w:t>
            </w:r>
          </w:p>
        </w:tc>
        <w:tc>
          <w:tcPr>
            <w:tcW w:w="572" w:type="dxa"/>
            <w:vAlign w:val="center"/>
          </w:tcPr>
          <w:p>
            <w:pPr>
              <w:tabs>
                <w:tab w:val="center" w:pos="144"/>
                <w:tab w:val="right" w:pos="408"/>
              </w:tabs>
              <w:spacing w:line="560" w:lineRule="exact"/>
              <w:jc w:val="left"/>
              <w:rPr>
                <w:rFonts w:hint="eastAsia" w:ascii="宋体" w:hAnsi="宋体" w:eastAsia="宋体" w:cs="Times New Roman"/>
                <w:lang w:val="en-US"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一体打印机</w:t>
            </w:r>
          </w:p>
        </w:tc>
        <w:tc>
          <w:tcPr>
            <w:tcW w:w="982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Cs/>
              </w:rPr>
              <w:t>台</w:t>
            </w:r>
          </w:p>
        </w:tc>
        <w:tc>
          <w:tcPr>
            <w:tcW w:w="491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0.65</w:t>
            </w: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41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41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宋体" w:hAnsi="宋体" w:eastAsia="宋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七、国有资产信息</w:t>
      </w:r>
    </w:p>
    <w:p>
      <w:pPr>
        <w:widowControl/>
        <w:spacing w:line="360" w:lineRule="auto"/>
        <w:ind w:left="412" w:leftChars="196" w:firstLine="64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办公地点在政府综合大楼，固定资产所属成安县政府所有。</w:t>
      </w:r>
    </w:p>
    <w:tbl>
      <w:tblPr>
        <w:tblStyle w:val="4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855"/>
        <w:gridCol w:w="4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编制部门：乡镇企业局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截止时间：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目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、房屋（平方米）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其中：办公用房（平方米）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、车辆（台、辆）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、单价在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万元以上的设备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、其他固定资产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</w:tbl>
    <w:p>
      <w:pPr>
        <w:autoSpaceDE w:val="0"/>
        <w:autoSpaceDN w:val="0"/>
        <w:adjustRightInd w:val="0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八、名词解释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1、财政拨款收入：指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tabs>
          <w:tab w:val="left" w:pos="11490"/>
        </w:tabs>
        <w:ind w:firstLine="640" w:firstLineChars="200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</w:p>
    <w:p>
      <w:pPr>
        <w:tabs>
          <w:tab w:val="left" w:pos="11490"/>
        </w:tabs>
        <w:ind w:firstLine="480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、年初结转和结余：指以前年度尚未完成，结转到本年仍按照原规定用途继续使用的资金，或项目已完成等产生的结余资金。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4、基本支出：指单位为了保障其正常运转、完成日常工作任务而发生的人员支出和公用支出。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>
      <w:pPr>
        <w:tabs>
          <w:tab w:val="left" w:pos="11490"/>
        </w:tabs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九、其它需要说明的事项</w:t>
      </w:r>
    </w:p>
    <w:p>
      <w:pPr>
        <w:tabs>
          <w:tab w:val="left" w:pos="11490"/>
        </w:tabs>
        <w:ind w:firstLine="640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方正仿宋_GBK"/>
          <w:bCs/>
          <w:sz w:val="32"/>
          <w:szCs w:val="32"/>
        </w:rPr>
        <w:t>无其它需要说明的事项。</w:t>
      </w:r>
    </w:p>
    <w:p>
      <w:pPr>
        <w:spacing w:line="560" w:lineRule="exact"/>
        <w:ind w:firstLine="645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 w:cs="Times New Roman"/>
        <w:sz w:val="32"/>
        <w:szCs w:val="32"/>
      </w:rPr>
    </w:pPr>
    <w:r>
      <w:rPr>
        <w:rFonts w:ascii="仿宋" w:hAnsi="仿宋" w:eastAsia="仿宋" w:cs="仿宋"/>
        <w:sz w:val="32"/>
        <w:szCs w:val="32"/>
      </w:rPr>
      <w:fldChar w:fldCharType="begin"/>
    </w:r>
    <w:r>
      <w:rPr>
        <w:rFonts w:ascii="仿宋" w:hAnsi="仿宋" w:eastAsia="仿宋" w:cs="仿宋"/>
        <w:sz w:val="32"/>
        <w:szCs w:val="32"/>
      </w:rPr>
      <w:instrText xml:space="preserve">PAGE   \* MERGEFORMAT</w:instrText>
    </w:r>
    <w:r>
      <w:rPr>
        <w:rFonts w:ascii="仿宋" w:hAnsi="仿宋" w:eastAsia="仿宋" w:cs="仿宋"/>
        <w:sz w:val="32"/>
        <w:szCs w:val="32"/>
      </w:rPr>
      <w:fldChar w:fldCharType="separate"/>
    </w:r>
    <w:r>
      <w:rPr>
        <w:rFonts w:ascii="仿宋" w:hAnsi="仿宋" w:eastAsia="仿宋" w:cs="仿宋"/>
        <w:sz w:val="32"/>
        <w:szCs w:val="32"/>
        <w:lang w:val="zh-CN"/>
      </w:rPr>
      <w:t>9</w:t>
    </w:r>
    <w:r>
      <w:rPr>
        <w:rFonts w:ascii="仿宋" w:hAnsi="仿宋" w:eastAsia="仿宋" w:cs="仿宋"/>
        <w:sz w:val="32"/>
        <w:szCs w:val="32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ZjFmZDMxNjViZWRkNDU0NGQ4OTc5ZjIwZGVhZjQifQ=="/>
  </w:docVars>
  <w:rsids>
    <w:rsidRoot w:val="00524AAA"/>
    <w:rsid w:val="000A796E"/>
    <w:rsid w:val="000D2767"/>
    <w:rsid w:val="00101C7A"/>
    <w:rsid w:val="00131928"/>
    <w:rsid w:val="001A3CB4"/>
    <w:rsid w:val="001E0232"/>
    <w:rsid w:val="00205DB4"/>
    <w:rsid w:val="00206B22"/>
    <w:rsid w:val="0022129C"/>
    <w:rsid w:val="002307B5"/>
    <w:rsid w:val="0024103C"/>
    <w:rsid w:val="002474A2"/>
    <w:rsid w:val="002C0317"/>
    <w:rsid w:val="002D2ED1"/>
    <w:rsid w:val="00325594"/>
    <w:rsid w:val="0037750D"/>
    <w:rsid w:val="003C4C5D"/>
    <w:rsid w:val="003D1126"/>
    <w:rsid w:val="003D1369"/>
    <w:rsid w:val="003D22B1"/>
    <w:rsid w:val="004159F8"/>
    <w:rsid w:val="00453A06"/>
    <w:rsid w:val="004C3CD6"/>
    <w:rsid w:val="00524AAA"/>
    <w:rsid w:val="005412A2"/>
    <w:rsid w:val="005730D6"/>
    <w:rsid w:val="00594091"/>
    <w:rsid w:val="005F4345"/>
    <w:rsid w:val="00634EFD"/>
    <w:rsid w:val="0064078B"/>
    <w:rsid w:val="00680485"/>
    <w:rsid w:val="0068144F"/>
    <w:rsid w:val="006F1D76"/>
    <w:rsid w:val="006F2C57"/>
    <w:rsid w:val="00747D9E"/>
    <w:rsid w:val="007775CB"/>
    <w:rsid w:val="007B4EB3"/>
    <w:rsid w:val="007C1DEB"/>
    <w:rsid w:val="007C484E"/>
    <w:rsid w:val="007F0D2E"/>
    <w:rsid w:val="00825F97"/>
    <w:rsid w:val="008327A0"/>
    <w:rsid w:val="00881FCA"/>
    <w:rsid w:val="00933068"/>
    <w:rsid w:val="00973104"/>
    <w:rsid w:val="00990CB9"/>
    <w:rsid w:val="009B2D48"/>
    <w:rsid w:val="009C264C"/>
    <w:rsid w:val="009C6B03"/>
    <w:rsid w:val="009F0612"/>
    <w:rsid w:val="00A12AE7"/>
    <w:rsid w:val="00A15ADE"/>
    <w:rsid w:val="00A6455D"/>
    <w:rsid w:val="00A95F51"/>
    <w:rsid w:val="00AC6968"/>
    <w:rsid w:val="00B13EFE"/>
    <w:rsid w:val="00B50088"/>
    <w:rsid w:val="00B500A4"/>
    <w:rsid w:val="00B52395"/>
    <w:rsid w:val="00B667BB"/>
    <w:rsid w:val="00BA40C6"/>
    <w:rsid w:val="00BA6B82"/>
    <w:rsid w:val="00CD0F72"/>
    <w:rsid w:val="00D10EC5"/>
    <w:rsid w:val="00D27A25"/>
    <w:rsid w:val="00D312BA"/>
    <w:rsid w:val="00D73351"/>
    <w:rsid w:val="00D74B39"/>
    <w:rsid w:val="00D900E5"/>
    <w:rsid w:val="00E000C9"/>
    <w:rsid w:val="00E24B37"/>
    <w:rsid w:val="00E474B2"/>
    <w:rsid w:val="00E87B0C"/>
    <w:rsid w:val="00E91C36"/>
    <w:rsid w:val="00EA1B01"/>
    <w:rsid w:val="00F06B14"/>
    <w:rsid w:val="00F14752"/>
    <w:rsid w:val="00F31021"/>
    <w:rsid w:val="00F311AF"/>
    <w:rsid w:val="00F359FD"/>
    <w:rsid w:val="00F66032"/>
    <w:rsid w:val="00FB5EA2"/>
    <w:rsid w:val="1A177886"/>
    <w:rsid w:val="36156C89"/>
    <w:rsid w:val="40277858"/>
    <w:rsid w:val="67B402B0"/>
    <w:rsid w:val="7153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D07F-427F-4072-8828-9745EA0B5D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2618</Words>
  <Characters>2772</Characters>
  <Lines>21</Lines>
  <Paragraphs>6</Paragraphs>
  <TotalTime>0</TotalTime>
  <ScaleCrop>false</ScaleCrop>
  <LinksUpToDate>false</LinksUpToDate>
  <CharactersWithSpaces>2824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2017-11-10T09:22:00Z</dcterms:created>
  <dc:creator>旭东</dc:creator>
  <cp:lastModifiedBy>Administrator</cp:lastModifiedBy>
  <dcterms:modified xsi:type="dcterms:W3CDTF">2023-06-13T01:42:46Z</dcterms:modified>
  <dc:title>2017年部门预算公开督导整改要求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6693283F5CE54DD89F9835A851A99ED2_12</vt:lpwstr>
  </property>
</Properties>
</file>