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rPr>
      </w:pPr>
      <w:r>
        <w:rPr>
          <w:rFonts w:ascii="方正小标宋_GBK" w:eastAsia="方正小标宋_GBK"/>
          <w:sz w:val="52"/>
        </w:rPr>
        <w:t xml:space="preserve"> </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成安县商务局对外贸易促进会201</w:t>
      </w:r>
      <w:r>
        <w:rPr>
          <w:rFonts w:hint="eastAsia" w:asciiTheme="majorEastAsia" w:hAnsiTheme="majorEastAsia" w:eastAsiaTheme="majorEastAsia"/>
          <w:b/>
          <w:sz w:val="44"/>
          <w:szCs w:val="44"/>
          <w:lang w:val="en-US" w:eastAsia="zh-CN"/>
        </w:rPr>
        <w:t>8</w:t>
      </w:r>
      <w:r>
        <w:rPr>
          <w:rFonts w:hint="eastAsia" w:asciiTheme="majorEastAsia" w:hAnsiTheme="majorEastAsia" w:eastAsiaTheme="majorEastAsia"/>
          <w:b/>
          <w:sz w:val="44"/>
          <w:szCs w:val="44"/>
        </w:rPr>
        <w:t>年部门预算公开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情况说明</w:t>
      </w:r>
    </w:p>
    <w:p>
      <w:pPr>
        <w:jc w:val="center"/>
      </w:pPr>
      <w:r>
        <w:rPr>
          <w:rFonts w:ascii="宋体" w:hAnsi="宋体" w:eastAsia="宋体"/>
        </w:rPr>
        <w:t xml:space="preserve"> </w:t>
      </w:r>
    </w:p>
    <w:p>
      <w:pPr>
        <w:widowControl/>
        <w:ind w:firstLine="800" w:firstLineChars="250"/>
        <w:jc w:val="left"/>
        <w:rPr>
          <w:rFonts w:ascii="仿宋_GB2312" w:hAnsi="Calibri" w:eastAsia="仿宋_GB2312" w:cs="仿宋_GB2312"/>
          <w:kern w:val="0"/>
          <w:sz w:val="32"/>
          <w:szCs w:val="32"/>
        </w:rPr>
      </w:pPr>
      <w:r>
        <w:rPr>
          <w:rFonts w:hint="eastAsia"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w:t>
      </w:r>
      <w:bookmarkStart w:id="3" w:name="_GoBack"/>
      <w:bookmarkEnd w:id="3"/>
      <w:r>
        <w:rPr>
          <w:rFonts w:hint="eastAsia" w:ascii="仿宋_GB2312" w:hAnsi="Calibri" w:eastAsia="仿宋_GB2312" w:cs="仿宋_GB2312"/>
          <w:sz w:val="32"/>
          <w:szCs w:val="32"/>
        </w:rPr>
        <w:t>预算法》有关规定和</w:t>
      </w:r>
      <w:r>
        <w:rPr>
          <w:rFonts w:hint="eastAsia" w:ascii="仿宋_GB2312" w:hAnsi="宋体" w:eastAsia="仿宋_GB2312" w:cs="楷体_GB2312"/>
          <w:sz w:val="32"/>
          <w:szCs w:val="32"/>
        </w:rPr>
        <w:t>财政部关于印发《地方预决算公开操作规程》的通知，</w:t>
      </w:r>
      <w:r>
        <w:rPr>
          <w:rFonts w:hint="eastAsia" w:ascii="仿宋_GB2312" w:hAnsi="Calibri" w:eastAsia="仿宋_GB2312" w:cs="仿宋_GB2312"/>
          <w:kern w:val="0"/>
          <w:sz w:val="32"/>
          <w:szCs w:val="32"/>
        </w:rPr>
        <w:t>现将贸促会201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年部门预算公开如下：</w:t>
      </w:r>
    </w:p>
    <w:p>
      <w:pPr>
        <w:pStyle w:val="13"/>
        <w:widowControl/>
        <w:spacing w:line="360" w:lineRule="auto"/>
        <w:ind w:firstLine="0"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 xml:space="preserve">    一、部门职责及机构设置情况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、负责全县对外贸易运行状况的监测、分析、统计、指导，协调全县商品进出口工作；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、负责承办企业外贸经营权及进出口商品经营范围的审核、登记工作；参与拟订全县进出口商品中长期规划和相关政策；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、负责编制并组织实施全县一般货物的进出口年度计划和重要工业品、原材料和农产品的进出口计划；</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、负责进出口商品配额及许可证管理；指导境内外业务对口的交易会、洽谈会等贸易促进活动及外贸促进体系工作；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、负责承办全县驻境外贸易企业（机构）设立的审批和管理；负责外国和香港特别行政区及台湾常驻我县商务代表机构的设立和管理工作；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、负责外贸货运代理企业的审核、申报工作；研究提出促进农产品进出口工作的措施。</w:t>
      </w:r>
    </w:p>
    <w:p>
      <w:pPr>
        <w:widowControl/>
        <w:spacing w:line="360" w:lineRule="auto"/>
        <w:ind w:firstLine="960" w:firstLineChars="300"/>
        <w:jc w:val="left"/>
        <w:rPr>
          <w:rFonts w:ascii="Calibri" w:hAnsi="Calibri" w:eastAsia="仿宋_GB2312" w:cs="Calibri"/>
          <w:b/>
          <w:kern w:val="0"/>
          <w:sz w:val="32"/>
          <w:szCs w:val="32"/>
        </w:rPr>
      </w:pPr>
      <w:r>
        <w:rPr>
          <w:rFonts w:ascii="Calibri" w:hAnsi="Calibri" w:eastAsia="仿宋_GB2312" w:cs="Calibri"/>
          <w:b/>
          <w:kern w:val="0"/>
          <w:sz w:val="32"/>
          <w:szCs w:val="32"/>
        </w:rPr>
        <w:t>机构</w:t>
      </w:r>
      <w:r>
        <w:rPr>
          <w:rFonts w:hint="eastAsia" w:ascii="Calibri" w:hAnsi="Calibri" w:eastAsia="仿宋_GB2312" w:cs="Calibri"/>
          <w:b/>
          <w:kern w:val="0"/>
          <w:sz w:val="32"/>
          <w:szCs w:val="32"/>
        </w:rPr>
        <w:t>设置：</w:t>
      </w:r>
    </w:p>
    <w:p>
      <w:pPr>
        <w:widowControl/>
        <w:spacing w:line="360" w:lineRule="auto"/>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安县对外贸易促进会是管理全县对外贸易和经济合作事务的政府职能部门。该会一套人马两个牌子，对口市商务局和贸促会（国际商会）两个部门，中国国际商会成安县商会挂靠该会。机关下设办公室、对外贸易科、对外经济合作科、人事保障科和商会贸展科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个职能科室。</w:t>
      </w:r>
    </w:p>
    <w:p>
      <w:pPr>
        <w:widowControl/>
        <w:spacing w:line="360" w:lineRule="auto"/>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pPr>
        <w:widowControl/>
        <w:spacing w:line="360" w:lineRule="auto"/>
        <w:ind w:firstLine="645"/>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、负责全县对外贸易运行状况的监测、分析、统计、指导，协调全县商品进出口工作；</w:t>
      </w:r>
    </w:p>
    <w:p>
      <w:pPr>
        <w:widowControl/>
        <w:spacing w:line="360" w:lineRule="auto"/>
        <w:ind w:firstLine="645"/>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、负责承办企业外贸经营权及进出口商品经营范围的审核、登记工作；参与拟订全县进出口商品中长期规划和相关政策；</w:t>
      </w:r>
    </w:p>
    <w:p>
      <w:pPr>
        <w:widowControl/>
        <w:spacing w:line="360" w:lineRule="auto"/>
        <w:ind w:firstLine="645"/>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、负责编制并组织实施全县一般货物的进出口年度计划和重要工业品、原材料和农产品的进出口计划；</w:t>
      </w:r>
    </w:p>
    <w:p>
      <w:pPr>
        <w:widowControl/>
        <w:spacing w:line="360" w:lineRule="auto"/>
        <w:ind w:firstLine="645"/>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、负责进出口商品配额及许可证管理；指导境内外业务对口的交易会、洽谈会等贸易促进活动及外贸促进体系工作；</w:t>
      </w:r>
    </w:p>
    <w:p>
      <w:pPr>
        <w:widowControl/>
        <w:spacing w:line="360" w:lineRule="auto"/>
        <w:ind w:firstLine="645"/>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、负责承办全县驻境外贸易企业（机构）设立的审批和管理；负责外国和香港特别行政区及台湾常驻我县商务代表机构的设立和管理工作；</w:t>
      </w:r>
    </w:p>
    <w:p>
      <w:pPr>
        <w:widowControl/>
        <w:spacing w:line="360" w:lineRule="auto"/>
        <w:ind w:firstLine="645"/>
        <w:jc w:val="left"/>
        <w:rPr>
          <w:rFonts w:ascii="仿宋_GB2312" w:hAnsi="Calibri" w:eastAsia="仿宋_GB2312" w:cs="仿宋_GB2312"/>
          <w:b/>
          <w:bCs/>
          <w:kern w:val="0"/>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、负责外贸货运代理企业的审核、申报工作；研究提出促进农产品进出口工作的措施。</w:t>
      </w:r>
    </w:p>
    <w:p>
      <w:pPr>
        <w:widowControl/>
        <w:spacing w:line="360" w:lineRule="auto"/>
        <w:ind w:firstLine="800" w:firstLineChars="250"/>
        <w:jc w:val="center"/>
        <w:rPr>
          <w:rFonts w:ascii="Calibri" w:hAnsi="Calibri" w:eastAsia="仿宋_GB2312" w:cs="Calibri"/>
          <w:b/>
          <w:kern w:val="0"/>
          <w:sz w:val="32"/>
          <w:szCs w:val="32"/>
        </w:rPr>
      </w:pPr>
      <w:r>
        <w:rPr>
          <w:rFonts w:hint="eastAsia" w:ascii="Calibri" w:hAnsi="Calibri" w:eastAsia="仿宋_GB2312" w:cs="Calibri"/>
          <w:b/>
          <w:kern w:val="0"/>
          <w:sz w:val="32"/>
          <w:szCs w:val="32"/>
        </w:rPr>
        <w:t>部门机构设置情况</w:t>
      </w:r>
    </w:p>
    <w:tbl>
      <w:tblPr>
        <w:tblStyle w:val="8"/>
        <w:tblW w:w="10132" w:type="dxa"/>
        <w:tblInd w:w="2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1859"/>
        <w:gridCol w:w="170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54"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单位名称</w:t>
            </w:r>
          </w:p>
        </w:tc>
        <w:tc>
          <w:tcPr>
            <w:tcW w:w="1859"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单位性质</w:t>
            </w:r>
          </w:p>
        </w:tc>
        <w:tc>
          <w:tcPr>
            <w:tcW w:w="1701"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单位规格</w:t>
            </w:r>
          </w:p>
        </w:tc>
        <w:tc>
          <w:tcPr>
            <w:tcW w:w="2618"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54" w:type="dxa"/>
          </w:tcPr>
          <w:p>
            <w:pPr>
              <w:jc w:val="center"/>
              <w:rPr>
                <w:rFonts w:ascii="Calibri" w:hAnsi="Calibri" w:eastAsia="仿宋_GB2312" w:cs="Calibri"/>
                <w:b/>
                <w:kern w:val="0"/>
                <w:sz w:val="28"/>
                <w:szCs w:val="28"/>
              </w:rPr>
            </w:pPr>
            <w:r>
              <w:rPr>
                <w:rFonts w:hint="eastAsia" w:asciiTheme="majorEastAsia" w:hAnsiTheme="majorEastAsia" w:eastAsiaTheme="majorEastAsia"/>
                <w:b/>
                <w:sz w:val="28"/>
                <w:szCs w:val="28"/>
              </w:rPr>
              <w:t>成安县商务局对外贸易促进会</w:t>
            </w:r>
          </w:p>
        </w:tc>
        <w:tc>
          <w:tcPr>
            <w:tcW w:w="1859"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直属事业</w:t>
            </w:r>
          </w:p>
        </w:tc>
        <w:tc>
          <w:tcPr>
            <w:tcW w:w="1701"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副科级</w:t>
            </w:r>
          </w:p>
        </w:tc>
        <w:tc>
          <w:tcPr>
            <w:tcW w:w="2618"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财政拨款</w:t>
            </w:r>
          </w:p>
        </w:tc>
      </w:tr>
    </w:tbl>
    <w:p>
      <w:pPr>
        <w:widowControl/>
        <w:spacing w:line="360" w:lineRule="auto"/>
        <w:jc w:val="left"/>
        <w:rPr>
          <w:rFonts w:ascii="仿宋" w:hAnsi="仿宋" w:eastAsia="仿宋" w:cs="仿宋"/>
          <w:bCs/>
          <w:kern w:val="0"/>
          <w:sz w:val="32"/>
          <w:szCs w:val="32"/>
        </w:rPr>
      </w:pPr>
    </w:p>
    <w:p>
      <w:pPr>
        <w:widowControl/>
        <w:spacing w:line="360" w:lineRule="auto"/>
        <w:ind w:firstLine="977"/>
        <w:jc w:val="left"/>
        <w:rPr>
          <w:rFonts w:ascii="黑体" w:hAnsi="黑体" w:eastAsia="黑体" w:cs="仿宋_GB2312"/>
          <w:bCs/>
          <w:kern w:val="0"/>
          <w:sz w:val="32"/>
          <w:szCs w:val="32"/>
        </w:rPr>
      </w:pPr>
      <w:r>
        <w:rPr>
          <w:rFonts w:hint="eastAsia" w:ascii="黑体" w:hAnsi="黑体" w:eastAsia="黑体" w:cs="仿宋_GB2312"/>
          <w:bCs/>
          <w:kern w:val="0"/>
          <w:sz w:val="32"/>
          <w:szCs w:val="32"/>
        </w:rPr>
        <w:t>二、部门预算安排的总体情况。</w:t>
      </w:r>
    </w:p>
    <w:p>
      <w:pPr>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按照预算管理有关规定，目前我部门预算的编制实行综合预算制度，即全部收入和支出都反映在预算中。</w:t>
      </w:r>
    </w:p>
    <w:p>
      <w:pPr>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 xml:space="preserve">     1、收入说明</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2017年部门收入预算总额为</w:t>
      </w:r>
      <w:r>
        <w:rPr>
          <w:rFonts w:hint="eastAsia" w:ascii="仿宋_GB2312" w:hAnsi="Calibri" w:eastAsia="仿宋_GB2312" w:cs="仿宋_GB2312"/>
          <w:kern w:val="0"/>
          <w:sz w:val="32"/>
          <w:szCs w:val="32"/>
          <w:lang w:val="en-US" w:eastAsia="zh-CN"/>
        </w:rPr>
        <w:t>44.13</w:t>
      </w:r>
      <w:r>
        <w:rPr>
          <w:rFonts w:hint="eastAsia" w:ascii="仿宋_GB2312" w:hAnsi="Calibri" w:eastAsia="仿宋_GB2312" w:cs="仿宋_GB2312"/>
          <w:kern w:val="0"/>
          <w:sz w:val="32"/>
          <w:szCs w:val="32"/>
        </w:rPr>
        <w:t>万元，其中一般公共预算收</w:t>
      </w:r>
      <w:r>
        <w:rPr>
          <w:rFonts w:hint="eastAsia" w:ascii="仿宋_GB2312" w:hAnsi="Calibri" w:eastAsia="仿宋_GB2312" w:cs="仿宋_GB2312"/>
          <w:kern w:val="0"/>
          <w:sz w:val="32"/>
          <w:szCs w:val="32"/>
          <w:lang w:val="en-US" w:eastAsia="zh-CN"/>
        </w:rPr>
        <w:t>44.13</w:t>
      </w:r>
      <w:r>
        <w:rPr>
          <w:rFonts w:hint="eastAsia" w:ascii="仿宋_GB2312" w:hAnsi="Calibri" w:eastAsia="仿宋_GB2312" w:cs="仿宋_GB2312"/>
          <w:kern w:val="0"/>
          <w:sz w:val="32"/>
          <w:szCs w:val="32"/>
        </w:rPr>
        <w:t xml:space="preserve">万元，政府性基金收入 </w:t>
      </w:r>
      <w:r>
        <w:rPr>
          <w:rFonts w:hint="eastAsia" w:ascii="仿宋_GB2312" w:hAnsi="Calibri" w:eastAsia="仿宋_GB2312" w:cs="仿宋_GB2312"/>
          <w:kern w:val="0"/>
          <w:sz w:val="32"/>
          <w:szCs w:val="32"/>
          <w:lang w:val="en-US" w:eastAsia="zh-CN"/>
        </w:rPr>
        <w:t>0</w:t>
      </w:r>
      <w:r>
        <w:rPr>
          <w:rFonts w:hint="eastAsia" w:ascii="仿宋_GB2312" w:hAnsi="Calibri" w:eastAsia="仿宋_GB2312" w:cs="仿宋_GB2312"/>
          <w:kern w:val="0"/>
          <w:sz w:val="32"/>
          <w:szCs w:val="32"/>
        </w:rPr>
        <w:t>万元，国有资本经营收入0万元，事业收入0万元。</w:t>
      </w:r>
    </w:p>
    <w:p>
      <w:pPr>
        <w:widowControl/>
        <w:spacing w:line="360" w:lineRule="auto"/>
        <w:ind w:firstLine="947" w:firstLineChars="296"/>
        <w:jc w:val="left"/>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2、支出说明</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部门支出预算总额为</w:t>
      </w:r>
      <w:r>
        <w:rPr>
          <w:rFonts w:hint="eastAsia" w:ascii="仿宋_GB2312" w:hAnsi="Calibri" w:eastAsia="仿宋_GB2312" w:cs="仿宋_GB2312"/>
          <w:kern w:val="0"/>
          <w:sz w:val="32"/>
          <w:szCs w:val="32"/>
          <w:lang w:val="en-US" w:eastAsia="zh-CN"/>
        </w:rPr>
        <w:t>44.13</w:t>
      </w:r>
      <w:r>
        <w:rPr>
          <w:rFonts w:hint="eastAsia" w:ascii="仿宋_GB2312" w:hAnsi="Calibri" w:eastAsia="仿宋_GB2312" w:cs="仿宋_GB2312"/>
          <w:kern w:val="0"/>
          <w:sz w:val="32"/>
          <w:szCs w:val="32"/>
        </w:rPr>
        <w:t>万元。201</w:t>
      </w:r>
      <w:r>
        <w:rPr>
          <w:rFonts w:hint="eastAsia" w:ascii="仿宋_GB2312" w:hAnsi="Calibri" w:eastAsia="仿宋_GB2312" w:cs="仿宋_GB2312"/>
          <w:kern w:val="0"/>
          <w:sz w:val="32"/>
          <w:szCs w:val="32"/>
          <w:lang w:val="en-US" w:eastAsia="zh-CN"/>
        </w:rPr>
        <w:t>8</w:t>
      </w:r>
      <w:r>
        <w:rPr>
          <w:rFonts w:ascii="仿宋_GB2312" w:hAnsi="Calibri" w:eastAsia="仿宋_GB2312" w:cs="仿宋_GB2312"/>
          <w:kern w:val="0"/>
          <w:sz w:val="32"/>
          <w:szCs w:val="32"/>
        </w:rPr>
        <w:t>年</w:t>
      </w:r>
      <w:r>
        <w:rPr>
          <w:rFonts w:hint="eastAsia" w:ascii="仿宋_GB2312" w:hAnsi="Calibri" w:eastAsia="仿宋_GB2312" w:cs="仿宋_GB2312"/>
          <w:kern w:val="0"/>
          <w:sz w:val="32"/>
          <w:szCs w:val="32"/>
        </w:rPr>
        <w:t>成安县贸促会</w:t>
      </w:r>
      <w:r>
        <w:rPr>
          <w:rFonts w:ascii="仿宋_GB2312" w:hAnsi="Calibri" w:eastAsia="仿宋_GB2312" w:cs="仿宋_GB2312"/>
          <w:kern w:val="0"/>
          <w:sz w:val="32"/>
          <w:szCs w:val="32"/>
        </w:rPr>
        <w:t>财政拨款收入</w:t>
      </w:r>
      <w:r>
        <w:rPr>
          <w:rFonts w:hint="eastAsia" w:ascii="仿宋_GB2312" w:hAnsi="Calibri" w:eastAsia="仿宋_GB2312" w:cs="仿宋_GB2312"/>
          <w:kern w:val="0"/>
          <w:sz w:val="32"/>
          <w:szCs w:val="32"/>
          <w:lang w:val="en-US" w:eastAsia="zh-CN"/>
        </w:rPr>
        <w:t>44.13</w:t>
      </w:r>
      <w:r>
        <w:rPr>
          <w:rFonts w:ascii="仿宋_GB2312" w:hAnsi="Calibri" w:eastAsia="仿宋_GB2312" w:cs="仿宋_GB2312"/>
          <w:kern w:val="0"/>
          <w:sz w:val="32"/>
          <w:szCs w:val="32"/>
        </w:rPr>
        <w:t>万元，总支出</w:t>
      </w:r>
      <w:r>
        <w:rPr>
          <w:rFonts w:hint="eastAsia" w:ascii="仿宋_GB2312" w:hAnsi="Calibri" w:eastAsia="仿宋_GB2312" w:cs="仿宋_GB2312"/>
          <w:kern w:val="0"/>
          <w:sz w:val="32"/>
          <w:szCs w:val="32"/>
          <w:lang w:val="en-US" w:eastAsia="zh-CN"/>
        </w:rPr>
        <w:t>44.13</w:t>
      </w:r>
      <w:r>
        <w:rPr>
          <w:rFonts w:ascii="仿宋_GB2312" w:hAnsi="Calibri" w:eastAsia="仿宋_GB2312" w:cs="仿宋_GB2312"/>
          <w:kern w:val="0"/>
          <w:sz w:val="32"/>
          <w:szCs w:val="32"/>
        </w:rPr>
        <w:t>万元。</w:t>
      </w:r>
    </w:p>
    <w:p>
      <w:pPr>
        <w:widowControl/>
        <w:spacing w:line="360" w:lineRule="auto"/>
        <w:ind w:firstLine="640" w:firstLineChars="200"/>
        <w:jc w:val="left"/>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3、比去年增减变化情况</w:t>
      </w:r>
    </w:p>
    <w:p>
      <w:pPr>
        <w:widowControl/>
        <w:spacing w:line="360" w:lineRule="auto"/>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年部门收入预算总额为</w:t>
      </w:r>
      <w:r>
        <w:rPr>
          <w:rFonts w:hint="eastAsia" w:ascii="仿宋_GB2312" w:hAnsi="Calibri" w:eastAsia="仿宋_GB2312" w:cs="仿宋_GB2312"/>
          <w:kern w:val="0"/>
          <w:sz w:val="32"/>
          <w:szCs w:val="32"/>
          <w:lang w:val="en-US" w:eastAsia="zh-CN"/>
        </w:rPr>
        <w:t>44.13</w:t>
      </w:r>
      <w:r>
        <w:rPr>
          <w:rFonts w:hint="eastAsia" w:ascii="仿宋_GB2312" w:hAnsi="Calibri" w:eastAsia="仿宋_GB2312" w:cs="仿宋_GB2312"/>
          <w:kern w:val="0"/>
          <w:sz w:val="32"/>
          <w:szCs w:val="32"/>
        </w:rPr>
        <w:t>万元，与去年相比</w:t>
      </w:r>
      <w:r>
        <w:rPr>
          <w:rFonts w:hint="eastAsia" w:ascii="仿宋_GB2312" w:hAnsi="Calibri" w:eastAsia="仿宋_GB2312" w:cs="仿宋_GB2312"/>
          <w:kern w:val="0"/>
          <w:sz w:val="32"/>
          <w:szCs w:val="32"/>
          <w:lang w:val="en-US" w:eastAsia="zh-CN"/>
        </w:rPr>
        <w:t>减少</w:t>
      </w:r>
      <w:r>
        <w:rPr>
          <w:rFonts w:hint="eastAsia" w:ascii="仿宋_GB2312" w:hAnsi="Calibri" w:eastAsia="仿宋_GB2312" w:cs="仿宋_GB2312"/>
          <w:kern w:val="0"/>
          <w:sz w:val="32"/>
          <w:szCs w:val="32"/>
        </w:rPr>
        <w:t>了</w:t>
      </w:r>
      <w:r>
        <w:rPr>
          <w:rFonts w:hint="eastAsia" w:ascii="仿宋_GB2312" w:hAnsi="Calibri" w:eastAsia="仿宋_GB2312" w:cs="仿宋_GB2312"/>
          <w:kern w:val="0"/>
          <w:sz w:val="32"/>
          <w:szCs w:val="32"/>
          <w:lang w:val="en-US" w:eastAsia="zh-CN"/>
        </w:rPr>
        <w:t>22</w:t>
      </w:r>
      <w:r>
        <w:rPr>
          <w:rFonts w:hint="eastAsia" w:ascii="仿宋_GB2312" w:hAnsi="Calibri" w:eastAsia="仿宋_GB2312" w:cs="仿宋_GB2312"/>
          <w:kern w:val="0"/>
          <w:sz w:val="32"/>
          <w:szCs w:val="32"/>
        </w:rPr>
        <w:t>万元，主要原因</w:t>
      </w:r>
      <w:r>
        <w:rPr>
          <w:rFonts w:hint="eastAsia" w:ascii="仿宋_GB2312" w:hAnsi="Calibri" w:eastAsia="仿宋_GB2312" w:cs="仿宋_GB2312"/>
          <w:kern w:val="0"/>
          <w:sz w:val="32"/>
          <w:szCs w:val="32"/>
          <w:lang w:val="en-US" w:eastAsia="zh-CN"/>
        </w:rPr>
        <w:t>退休人员工资从社保支出。</w:t>
      </w:r>
    </w:p>
    <w:p>
      <w:pPr>
        <w:widowControl/>
        <w:spacing w:line="360" w:lineRule="auto"/>
        <w:jc w:val="left"/>
        <w:rPr>
          <w:rFonts w:ascii="黑体" w:hAnsi="黑体" w:eastAsia="黑体" w:cs="仿宋_GB2312"/>
          <w:bCs/>
          <w:kern w:val="0"/>
          <w:sz w:val="32"/>
          <w:szCs w:val="32"/>
        </w:rPr>
      </w:pPr>
      <w:r>
        <w:rPr>
          <w:rFonts w:hint="eastAsia" w:ascii="黑体" w:hAnsi="黑体" w:eastAsia="黑体" w:cs="仿宋_GB2312"/>
          <w:bCs/>
          <w:kern w:val="0"/>
          <w:sz w:val="32"/>
          <w:szCs w:val="32"/>
        </w:rPr>
        <w:t>　　三、机关运行经费安排情况</w:t>
      </w:r>
    </w:p>
    <w:p>
      <w:pPr>
        <w:widowControl/>
        <w:spacing w:line="360" w:lineRule="auto"/>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日常公用经费安排</w:t>
      </w:r>
      <w:r>
        <w:rPr>
          <w:rFonts w:hint="eastAsia" w:ascii="仿宋_GB2312" w:hAnsi="Calibri" w:eastAsia="仿宋_GB2312" w:cs="仿宋_GB2312"/>
          <w:kern w:val="0"/>
          <w:sz w:val="32"/>
          <w:szCs w:val="32"/>
          <w:lang w:val="en-US" w:eastAsia="zh-CN"/>
        </w:rPr>
        <w:t>5.5</w:t>
      </w:r>
      <w:r>
        <w:rPr>
          <w:rFonts w:hint="eastAsia" w:ascii="仿宋_GB2312" w:hAnsi="Calibri" w:eastAsia="仿宋_GB2312" w:cs="仿宋_GB2312"/>
          <w:kern w:val="0"/>
          <w:sz w:val="32"/>
          <w:szCs w:val="32"/>
        </w:rPr>
        <w:t>万元，包括：办公费、差旅费、水费、电费、会议费、招待费、转移支付，其他支出等。</w:t>
      </w:r>
      <w:r>
        <w:rPr>
          <w:rFonts w:ascii="Calibri" w:hAnsi="Calibri" w:eastAsia="仿宋_GB2312" w:cs="Calibri"/>
          <w:kern w:val="0"/>
          <w:sz w:val="32"/>
          <w:szCs w:val="32"/>
        </w:rPr>
        <w:t>人员经费支出</w:t>
      </w:r>
      <w:r>
        <w:rPr>
          <w:rFonts w:hint="eastAsia" w:ascii="Calibri" w:hAnsi="Calibri" w:eastAsia="仿宋_GB2312" w:cs="Calibri"/>
          <w:kern w:val="0"/>
          <w:sz w:val="32"/>
          <w:szCs w:val="32"/>
          <w:lang w:val="en-US" w:eastAsia="zh-CN"/>
        </w:rPr>
        <w:t>44.13</w:t>
      </w:r>
      <w:r>
        <w:rPr>
          <w:rFonts w:ascii="Calibri" w:hAnsi="Calibri" w:eastAsia="仿宋_GB2312" w:cs="Calibri"/>
          <w:kern w:val="0"/>
          <w:sz w:val="32"/>
          <w:szCs w:val="32"/>
        </w:rPr>
        <w:t>万元</w:t>
      </w:r>
      <w:r>
        <w:rPr>
          <w:rFonts w:hint="eastAsia" w:ascii="Calibri" w:hAnsi="Calibri" w:eastAsia="仿宋_GB2312" w:cs="Calibri"/>
          <w:kern w:val="0"/>
          <w:sz w:val="32"/>
          <w:szCs w:val="32"/>
        </w:rPr>
        <w:t>，</w:t>
      </w:r>
      <w:r>
        <w:rPr>
          <w:rFonts w:ascii="Calibri" w:hAnsi="Calibri" w:eastAsia="仿宋_GB2312" w:cs="Calibri"/>
          <w:kern w:val="0"/>
          <w:sz w:val="32"/>
          <w:szCs w:val="32"/>
        </w:rPr>
        <w:t>同比去年</w:t>
      </w:r>
      <w:r>
        <w:rPr>
          <w:rFonts w:hint="eastAsia" w:ascii="Calibri" w:hAnsi="Calibri" w:eastAsia="仿宋_GB2312" w:cs="Calibri"/>
          <w:kern w:val="0"/>
          <w:sz w:val="32"/>
          <w:szCs w:val="32"/>
          <w:lang w:val="en-US" w:eastAsia="zh-CN"/>
        </w:rPr>
        <w:t>减少20</w:t>
      </w:r>
      <w:r>
        <w:rPr>
          <w:rFonts w:ascii="Calibri" w:hAnsi="Calibri" w:eastAsia="仿宋_GB2312" w:cs="Calibri"/>
          <w:kern w:val="0"/>
          <w:sz w:val="32"/>
          <w:szCs w:val="32"/>
        </w:rPr>
        <w:t>%。</w:t>
      </w:r>
      <w:r>
        <w:rPr>
          <w:rFonts w:hint="eastAsia" w:ascii="Calibri" w:hAnsi="Calibri" w:eastAsia="仿宋_GB2312" w:cs="Calibri"/>
          <w:kern w:val="0"/>
          <w:sz w:val="32"/>
          <w:szCs w:val="32"/>
          <w:lang w:val="en-US" w:eastAsia="zh-CN"/>
        </w:rPr>
        <w:t>减少</w:t>
      </w:r>
      <w:r>
        <w:rPr>
          <w:rFonts w:ascii="Calibri" w:hAnsi="Calibri" w:eastAsia="仿宋_GB2312" w:cs="Calibri"/>
          <w:kern w:val="0"/>
          <w:sz w:val="32"/>
          <w:szCs w:val="32"/>
        </w:rPr>
        <w:t>原因是</w:t>
      </w:r>
      <w:r>
        <w:rPr>
          <w:rFonts w:hint="eastAsia" w:ascii="仿宋_GB2312" w:hAnsi="Calibri" w:eastAsia="仿宋_GB2312" w:cs="仿宋_GB2312"/>
          <w:kern w:val="0"/>
          <w:sz w:val="32"/>
          <w:szCs w:val="32"/>
          <w:lang w:val="en-US" w:eastAsia="zh-CN"/>
        </w:rPr>
        <w:t>退休人员工资从社保支出。</w:t>
      </w:r>
    </w:p>
    <w:p>
      <w:pPr>
        <w:widowControl/>
        <w:spacing w:line="360" w:lineRule="auto"/>
        <w:jc w:val="left"/>
        <w:rPr>
          <w:rFonts w:ascii="Calibri" w:hAnsi="Calibri" w:eastAsia="仿宋_GB2312" w:cs="Calibri"/>
          <w:kern w:val="0"/>
          <w:sz w:val="32"/>
          <w:szCs w:val="32"/>
        </w:rPr>
      </w:pPr>
    </w:p>
    <w:p>
      <w:pPr>
        <w:pStyle w:val="12"/>
        <w:widowControl/>
        <w:numPr>
          <w:ilvl w:val="0"/>
          <w:numId w:val="1"/>
        </w:numPr>
        <w:spacing w:line="360" w:lineRule="auto"/>
        <w:ind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财政拨款“三公”经费预算情况及增减变化原因</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年度“三公”预算支出</w:t>
      </w:r>
      <w:r>
        <w:rPr>
          <w:rFonts w:hint="eastAsia" w:ascii="仿宋_GB2312" w:hAnsi="Calibri" w:eastAsia="仿宋_GB2312" w:cs="仿宋_GB2312"/>
          <w:kern w:val="0"/>
          <w:sz w:val="32"/>
          <w:szCs w:val="32"/>
          <w:lang w:val="en-US" w:eastAsia="zh-CN"/>
        </w:rPr>
        <w:t>2</w:t>
      </w:r>
      <w:r>
        <w:rPr>
          <w:rFonts w:hint="eastAsia" w:ascii="仿宋_GB2312" w:hAnsi="Calibri" w:eastAsia="仿宋_GB2312" w:cs="仿宋_GB2312"/>
          <w:kern w:val="0"/>
          <w:sz w:val="32"/>
          <w:szCs w:val="32"/>
        </w:rPr>
        <w:t>万元，其中，因公出国（境）费0元，安排公务用车维护</w:t>
      </w:r>
      <w:r>
        <w:rPr>
          <w:rFonts w:hint="eastAsia" w:ascii="仿宋_GB2312" w:hAnsi="Calibri" w:eastAsia="仿宋_GB2312" w:cs="仿宋_GB2312"/>
          <w:kern w:val="0"/>
          <w:sz w:val="32"/>
          <w:szCs w:val="32"/>
          <w:lang w:val="en-US" w:eastAsia="zh-CN"/>
        </w:rPr>
        <w:t>2万</w:t>
      </w:r>
      <w:r>
        <w:rPr>
          <w:rFonts w:hint="eastAsia" w:ascii="仿宋_GB2312" w:hAnsi="Calibri" w:eastAsia="仿宋_GB2312" w:cs="仿宋_GB2312"/>
          <w:kern w:val="0"/>
          <w:sz w:val="32"/>
          <w:szCs w:val="32"/>
        </w:rPr>
        <w:t>元，（其中公务用车购置费0元，公务用车运行维护费</w:t>
      </w:r>
      <w:r>
        <w:rPr>
          <w:rFonts w:hint="eastAsia" w:ascii="仿宋_GB2312" w:hAnsi="Calibri" w:eastAsia="仿宋_GB2312" w:cs="仿宋_GB2312"/>
          <w:kern w:val="0"/>
          <w:sz w:val="32"/>
          <w:szCs w:val="32"/>
          <w:lang w:val="en-US" w:eastAsia="zh-CN"/>
        </w:rPr>
        <w:t>2</w:t>
      </w:r>
      <w:r>
        <w:rPr>
          <w:rFonts w:hint="eastAsia" w:ascii="仿宋_GB2312" w:hAnsi="Calibri" w:eastAsia="仿宋_GB2312" w:cs="仿宋_GB2312"/>
          <w:kern w:val="0"/>
          <w:sz w:val="32"/>
          <w:szCs w:val="32"/>
        </w:rPr>
        <w:t>万元），公务接等费0万元，2017年“三公”经费预算减少了12%。由于2016年公车拍卖，2017年实行车补，油修费用预算</w:t>
      </w:r>
      <w:r>
        <w:rPr>
          <w:rFonts w:hint="eastAsia" w:ascii="仿宋_GB2312" w:hAnsi="Calibri" w:eastAsia="仿宋_GB2312" w:cs="仿宋_GB2312"/>
          <w:kern w:val="0"/>
          <w:sz w:val="32"/>
          <w:szCs w:val="32"/>
          <w:lang w:eastAsia="zh-CN"/>
        </w:rPr>
        <w:t>安</w:t>
      </w:r>
      <w:r>
        <w:rPr>
          <w:rFonts w:hint="eastAsia" w:ascii="仿宋_GB2312" w:hAnsi="Calibri" w:eastAsia="仿宋_GB2312" w:cs="仿宋_GB2312"/>
          <w:kern w:val="0"/>
          <w:sz w:val="32"/>
          <w:szCs w:val="32"/>
        </w:rPr>
        <w:t>排减少。</w:t>
      </w:r>
    </w:p>
    <w:p>
      <w:pPr>
        <w:pStyle w:val="13"/>
        <w:widowControl/>
        <w:numPr>
          <w:ilvl w:val="0"/>
          <w:numId w:val="1"/>
        </w:numPr>
        <w:spacing w:line="360" w:lineRule="auto"/>
        <w:ind w:firstLineChars="0"/>
        <w:jc w:val="left"/>
        <w:rPr>
          <w:rFonts w:ascii="黑体" w:hAnsi="黑体" w:eastAsia="黑体" w:cs="Calibri"/>
          <w:kern w:val="0"/>
          <w:sz w:val="32"/>
          <w:szCs w:val="32"/>
        </w:rPr>
      </w:pPr>
      <w:r>
        <w:rPr>
          <w:rFonts w:hint="eastAsia" w:ascii="黑体" w:hAnsi="黑体" w:eastAsia="黑体" w:cs="Calibri"/>
          <w:kern w:val="0"/>
          <w:sz w:val="32"/>
          <w:szCs w:val="32"/>
        </w:rPr>
        <w:t>绩效预算情况</w:t>
      </w:r>
    </w:p>
    <w:p>
      <w:pPr>
        <w:ind w:firstLine="600"/>
        <w:jc w:val="left"/>
        <w:rPr>
          <w:rFonts w:ascii="仿宋" w:hAnsi="仿宋" w:eastAsia="仿宋" w:cs="仿宋"/>
          <w:sz w:val="30"/>
          <w:szCs w:val="30"/>
        </w:rPr>
      </w:pPr>
      <w:r>
        <w:rPr>
          <w:rFonts w:hint="eastAsia" w:ascii="Calibri" w:hAnsi="Calibri" w:eastAsia="仿宋_GB2312" w:cs="Calibri"/>
          <w:b/>
          <w:kern w:val="0"/>
          <w:sz w:val="32"/>
          <w:szCs w:val="32"/>
        </w:rPr>
        <w:t>总体绩效目标：</w:t>
      </w:r>
      <w:r>
        <w:rPr>
          <w:rFonts w:hint="eastAsia" w:ascii="仿宋" w:hAnsi="仿宋" w:eastAsia="仿宋" w:cs="仿宋"/>
          <w:kern w:val="0"/>
          <w:sz w:val="30"/>
          <w:szCs w:val="30"/>
        </w:rPr>
        <w:t>我单位在县委的坚强领导下，深入贯彻</w:t>
      </w:r>
      <w:r>
        <w:rPr>
          <w:rFonts w:hint="eastAsia" w:ascii="仿宋" w:hAnsi="仿宋" w:eastAsia="仿宋" w:cs="仿宋"/>
          <w:kern w:val="0"/>
          <w:sz w:val="30"/>
          <w:szCs w:val="30"/>
          <w:lang w:eastAsia="zh-CN"/>
        </w:rPr>
        <w:t>党的十八大</w:t>
      </w:r>
      <w:r>
        <w:rPr>
          <w:rFonts w:hint="eastAsia" w:ascii="仿宋" w:hAnsi="仿宋" w:eastAsia="仿宋" w:cs="仿宋"/>
          <w:kern w:val="0"/>
          <w:sz w:val="30"/>
          <w:szCs w:val="30"/>
        </w:rPr>
        <w:t>和十八届三中、四中、五中、六中全会精神，紧扣县委、县政府确定的目标任务，凝神聚力，开拓创新，攻</w:t>
      </w:r>
      <w:r>
        <w:rPr>
          <w:rFonts w:hint="eastAsia" w:ascii="仿宋" w:hAnsi="仿宋" w:eastAsia="仿宋" w:cs="仿宋"/>
          <w:kern w:val="0"/>
          <w:sz w:val="30"/>
          <w:szCs w:val="30"/>
          <w:lang w:eastAsia="zh-CN"/>
        </w:rPr>
        <w:t>坚</w:t>
      </w:r>
      <w:r>
        <w:rPr>
          <w:rFonts w:hint="eastAsia" w:ascii="仿宋" w:hAnsi="仿宋" w:eastAsia="仿宋" w:cs="仿宋"/>
          <w:kern w:val="0"/>
          <w:sz w:val="30"/>
          <w:szCs w:val="30"/>
        </w:rPr>
        <w:t>克难，砥砺奋进，以更加高昴的激情，更加有力的措施，更加务实的作风，全面开创工作新局面。</w:t>
      </w:r>
      <w:r>
        <w:rPr>
          <w:rFonts w:hint="eastAsia" w:ascii="仿宋" w:hAnsi="仿宋" w:eastAsia="仿宋" w:cs="仿宋"/>
          <w:sz w:val="30"/>
          <w:szCs w:val="30"/>
        </w:rPr>
        <w:t>通过实地调研、分析研讨等多种方式，帮助有关人员提高理论认识，熟练掌握业务操作流程，提升整体工作的层次与水平。</w:t>
      </w:r>
    </w:p>
    <w:p>
      <w:pPr>
        <w:ind w:firstLine="640" w:firstLineChars="200"/>
        <w:jc w:val="center"/>
        <w:rPr>
          <w:rFonts w:ascii="方正小标宋_GBK" w:eastAsia="方正小标宋_GBK"/>
          <w:sz w:val="32"/>
        </w:rPr>
      </w:pPr>
      <w:bookmarkStart w:id="0" w:name="_Toc482003504"/>
      <w:r>
        <w:rPr>
          <w:rFonts w:hint="eastAsia" w:ascii="方正小标宋_GBK" w:eastAsia="方正小标宋_GBK"/>
          <w:sz w:val="32"/>
        </w:rPr>
        <w:t>部门职责-工作活动绩效目标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负责全县对外贸易运行状况的监测、分析、统计、指导，协调全县商品进出口工作；</w:t>
            </w:r>
          </w:p>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rPr>
            </w:pPr>
            <w:r>
              <w:rPr>
                <w:rFonts w:hint="eastAsia" w:ascii="方正书宋_GBK"/>
              </w:rPr>
              <w:t>15</w:t>
            </w:r>
          </w:p>
        </w:tc>
        <w:tc>
          <w:tcPr>
            <w:tcW w:w="2976" w:type="dxa"/>
            <w:shd w:val="clear" w:color="auto" w:fill="auto"/>
            <w:vAlign w:val="center"/>
          </w:tcPr>
          <w:p>
            <w:pPr>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承办全县驻境外贸易企业（机构）设立的审批和管理；负责外国和香港特别行政区及台湾常驻我县商务代表机构的设立和管理工作；</w:t>
            </w:r>
          </w:p>
          <w:p>
            <w:pPr>
              <w:spacing w:line="300" w:lineRule="exact"/>
              <w:jc w:val="left"/>
              <w:rPr>
                <w:rFonts w:ascii="方正书宋_GBK" w:eastAsia="方正书宋_GBK"/>
              </w:rPr>
            </w:pPr>
          </w:p>
        </w:tc>
        <w:tc>
          <w:tcPr>
            <w:tcW w:w="2976" w:type="dxa"/>
            <w:shd w:val="clear" w:color="auto" w:fill="auto"/>
            <w:vAlign w:val="center"/>
          </w:tcPr>
          <w:p>
            <w:pPr>
              <w:ind w:firstLine="600"/>
              <w:jc w:val="left"/>
              <w:rPr>
                <w:rFonts w:ascii="仿宋" w:hAnsi="仿宋" w:eastAsia="仿宋" w:cs="仿宋"/>
                <w:b/>
                <w:sz w:val="24"/>
                <w:szCs w:val="24"/>
              </w:rPr>
            </w:pPr>
            <w:r>
              <w:rPr>
                <w:rFonts w:hint="eastAsia" w:ascii="仿宋" w:hAnsi="仿宋" w:eastAsia="仿宋" w:cs="仿宋"/>
                <w:b/>
                <w:sz w:val="24"/>
                <w:szCs w:val="24"/>
              </w:rPr>
              <w:t>人员提高理论认识，熟练掌握业务操作流程，提升整体工作的层次与水平。</w:t>
            </w:r>
          </w:p>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0" w:firstLineChars="200"/>
              <w:rPr>
                <w:rFonts w:ascii="仿宋_GB2312" w:hAnsi="仿宋_GB2312" w:eastAsia="仿宋_GB2312" w:cs="仿宋_GB2312"/>
                <w:b/>
                <w:sz w:val="24"/>
                <w:szCs w:val="24"/>
              </w:rPr>
            </w:pPr>
            <w:r>
              <w:rPr>
                <w:rFonts w:hint="eastAsia" w:ascii="方正书宋_GBK" w:eastAsia="方正书宋_GBK"/>
                <w:b/>
              </w:rPr>
              <w:t>　</w:t>
            </w:r>
            <w:r>
              <w:rPr>
                <w:rFonts w:hint="eastAsia" w:ascii="方正书宋_GBK" w:eastAsia="方正书宋_GBK"/>
                <w:b/>
                <w:sz w:val="24"/>
                <w:szCs w:val="24"/>
              </w:rPr>
              <w:t>　</w:t>
            </w:r>
            <w:r>
              <w:rPr>
                <w:rFonts w:hint="eastAsia" w:ascii="仿宋_GB2312" w:hAnsi="仿宋_GB2312" w:eastAsia="仿宋_GB2312" w:cs="仿宋_GB2312"/>
                <w:b/>
                <w:sz w:val="24"/>
                <w:szCs w:val="24"/>
              </w:rPr>
              <w:t>负责外贸货运代理企业的审核、申报工作；研究提出促进农产品进出口工作的措施。</w:t>
            </w:r>
          </w:p>
          <w:p>
            <w:pPr>
              <w:spacing w:line="300" w:lineRule="exact"/>
              <w:jc w:val="left"/>
              <w:rPr>
                <w:rFonts w:ascii="方正书宋_GBK" w:eastAsia="方正书宋_GBK"/>
                <w:sz w:val="24"/>
                <w:szCs w:val="24"/>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w:t>
            </w:r>
            <w:r>
              <w:rPr>
                <w:rFonts w:ascii="方正书宋_GBK" w:eastAsia="方正书宋_GBK"/>
              </w:rPr>
              <w:t>.00</w:t>
            </w:r>
          </w:p>
        </w:tc>
        <w:tc>
          <w:tcPr>
            <w:tcW w:w="2976" w:type="dxa"/>
            <w:shd w:val="clear" w:color="auto" w:fill="auto"/>
            <w:vAlign w:val="center"/>
          </w:tcPr>
          <w:p>
            <w:pPr>
              <w:spacing w:line="300" w:lineRule="exact"/>
              <w:jc w:val="left"/>
              <w:rPr>
                <w:rFonts w:asciiTheme="minorEastAsia" w:hAnsiTheme="minorEastAsia"/>
                <w:b/>
                <w:sz w:val="24"/>
                <w:szCs w:val="24"/>
              </w:rPr>
            </w:pPr>
            <w:r>
              <w:rPr>
                <w:rFonts w:hint="eastAsia" w:ascii="仿宋" w:hAnsi="仿宋" w:eastAsia="仿宋"/>
                <w:b/>
                <w:sz w:val="24"/>
                <w:szCs w:val="24"/>
              </w:rPr>
              <w:t>负责企业项目申报工作，检查审核企业出口创汇奖励情况的工作</w:t>
            </w:r>
            <w:r>
              <w:rPr>
                <w:rFonts w:hint="eastAsia" w:asciiTheme="minorEastAsia" w:hAnsiTheme="minorEastAsia"/>
                <w:b/>
                <w:sz w:val="24"/>
                <w:szCs w:val="24"/>
              </w:rPr>
              <w:t>。</w:t>
            </w:r>
          </w:p>
        </w:tc>
        <w:tc>
          <w:tcPr>
            <w:tcW w:w="2976" w:type="dxa"/>
            <w:shd w:val="clear" w:color="auto" w:fill="auto"/>
            <w:vAlign w:val="center"/>
          </w:tcPr>
          <w:p>
            <w:pPr>
              <w:spacing w:line="300" w:lineRule="exact"/>
              <w:jc w:val="left"/>
              <w:rPr>
                <w:rFonts w:ascii="方正书宋_GBK" w:eastAsia="方正书宋_GBK"/>
                <w:b/>
                <w:sz w:val="24"/>
                <w:szCs w:val="24"/>
              </w:rPr>
            </w:pPr>
            <w:r>
              <w:rPr>
                <w:rFonts w:hint="eastAsia" w:ascii="仿宋" w:hAnsi="仿宋" w:eastAsia="仿宋" w:cs="仿宋"/>
                <w:b/>
                <w:kern w:val="0"/>
                <w:sz w:val="24"/>
                <w:szCs w:val="24"/>
              </w:rPr>
              <w:t>以更加高昴的激情，更加有力的措施，更加务实的作风，全面开创工作新局面。</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负责全县对外贸易运行状况的监测、分析、统计、指导，协调全县商品进出口工作；</w:t>
            </w:r>
          </w:p>
          <w:p>
            <w:pPr>
              <w:spacing w:line="300" w:lineRule="exact"/>
              <w:jc w:val="left"/>
              <w:rPr>
                <w:rFonts w:ascii="方正书宋_GBK" w:eastAsia="方正书宋_GBK"/>
                <w:b/>
              </w:rPr>
            </w:pPr>
          </w:p>
        </w:tc>
        <w:tc>
          <w:tcPr>
            <w:tcW w:w="1276" w:type="dxa"/>
            <w:vMerge w:val="restart"/>
            <w:shd w:val="clear" w:color="auto" w:fill="auto"/>
            <w:vAlign w:val="center"/>
          </w:tcPr>
          <w:p>
            <w:pPr>
              <w:spacing w:line="300" w:lineRule="exact"/>
              <w:jc w:val="left"/>
              <w:rPr>
                <w:rFonts w:ascii="方正书宋_GBK"/>
              </w:rPr>
            </w:pPr>
            <w:r>
              <w:rPr>
                <w:rFonts w:hint="eastAsia" w:ascii="方正书宋_GBK"/>
              </w:rPr>
              <w:t>15</w:t>
            </w:r>
          </w:p>
        </w:tc>
        <w:tc>
          <w:tcPr>
            <w:tcW w:w="2976" w:type="dxa"/>
            <w:vMerge w:val="restart"/>
            <w:shd w:val="clear" w:color="auto" w:fill="auto"/>
            <w:vAlign w:val="center"/>
          </w:tcPr>
          <w:p>
            <w:pPr>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承办全县驻境外贸易企业（机构）设立的审批和管理；负责外国和香港特别行政区及台湾常驻我县商务代表机构的设立和管理工作；</w:t>
            </w:r>
          </w:p>
          <w:p>
            <w:pPr>
              <w:spacing w:line="300" w:lineRule="exact"/>
              <w:jc w:val="left"/>
              <w:rPr>
                <w:rFonts w:ascii="方正书宋_GBK" w:eastAsia="方正书宋_GBK"/>
              </w:rPr>
            </w:pPr>
          </w:p>
        </w:tc>
        <w:tc>
          <w:tcPr>
            <w:tcW w:w="2976" w:type="dxa"/>
            <w:vMerge w:val="restart"/>
            <w:shd w:val="clear" w:color="auto" w:fill="auto"/>
            <w:vAlign w:val="center"/>
          </w:tcPr>
          <w:p>
            <w:pPr>
              <w:ind w:firstLine="600"/>
              <w:jc w:val="left"/>
              <w:rPr>
                <w:rFonts w:ascii="仿宋" w:hAnsi="仿宋" w:eastAsia="仿宋" w:cs="仿宋"/>
                <w:b/>
                <w:sz w:val="24"/>
                <w:szCs w:val="24"/>
              </w:rPr>
            </w:pPr>
            <w:r>
              <w:rPr>
                <w:rFonts w:hint="eastAsia" w:ascii="仿宋" w:hAnsi="仿宋" w:eastAsia="仿宋" w:cs="仿宋"/>
                <w:b/>
                <w:sz w:val="24"/>
                <w:szCs w:val="24"/>
              </w:rPr>
              <w:t>人员提高理论认识，熟练掌握业务操作流程，提升整体工作的层次与水平。</w:t>
            </w:r>
          </w:p>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诚信等级评定覆盖率</w:t>
            </w:r>
          </w:p>
        </w:tc>
        <w:tc>
          <w:tcPr>
            <w:tcW w:w="737" w:type="dxa"/>
            <w:shd w:val="clear" w:color="auto" w:fill="auto"/>
            <w:vAlign w:val="center"/>
          </w:tcPr>
          <w:p>
            <w:pPr>
              <w:spacing w:line="300" w:lineRule="exac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信息平台功能实现率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目标考核次数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安全生产标准化达标率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专项抽查覆盖率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59</w:t>
            </w:r>
          </w:p>
        </w:tc>
      </w:tr>
    </w:tbl>
    <w:p>
      <w:pPr>
        <w:spacing w:line="300" w:lineRule="exact"/>
        <w:jc w:val="left"/>
        <w:outlineLvl w:val="0"/>
        <w:sectPr>
          <w:pgSz w:w="16839" w:h="11907" w:orient="landscape"/>
          <w:pgMar w:top="1134" w:right="1021" w:bottom="1134" w:left="1021" w:header="851" w:footer="992" w:gutter="0"/>
          <w:cols w:space="425" w:num="1"/>
          <w:docGrid w:type="linesAndChars" w:linePitch="312" w:charSpace="0"/>
        </w:sectPr>
      </w:pPr>
    </w:p>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widowControl/>
        <w:spacing w:line="360" w:lineRule="auto"/>
        <w:jc w:val="left"/>
        <w:rPr>
          <w:rFonts w:ascii="仿宋_GB2312" w:hAnsi="Calibri" w:eastAsia="仿宋_GB2312" w:cs="仿宋_GB2312"/>
          <w:kern w:val="0"/>
          <w:sz w:val="32"/>
          <w:szCs w:val="32"/>
        </w:rPr>
      </w:pPr>
      <w:r>
        <w:rPr>
          <w:rFonts w:hint="eastAsia" w:ascii="Calibri" w:hAnsi="Calibri" w:eastAsia="仿宋_GB2312" w:cs="Calibri"/>
          <w:b/>
          <w:kern w:val="0"/>
          <w:sz w:val="32"/>
          <w:szCs w:val="32"/>
        </w:rPr>
        <w:t xml:space="preserve">   </w:t>
      </w: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微软雅黑" w:hAnsi="微软雅黑" w:eastAsia="微软雅黑" w:cs="微软雅黑"/>
          <w:kern w:val="0"/>
          <w:sz w:val="24"/>
          <w:szCs w:val="24"/>
        </w:rPr>
        <w:t xml:space="preserve"> </w:t>
      </w:r>
      <w:r>
        <w:rPr>
          <w:rFonts w:ascii="仿宋_GB2312" w:hAnsi="微软雅黑" w:eastAsia="仿宋_GB2312" w:cs="仿宋_GB2312"/>
          <w:kern w:val="0"/>
          <w:sz w:val="32"/>
          <w:szCs w:val="32"/>
        </w:rPr>
        <w:t>按照政府采购相关法律法规要求，结合我局实际，201</w:t>
      </w:r>
      <w:r>
        <w:rPr>
          <w:rFonts w:hint="eastAsia" w:ascii="仿宋_GB2312" w:hAnsi="微软雅黑" w:eastAsia="仿宋_GB2312" w:cs="仿宋_GB2312"/>
          <w:kern w:val="0"/>
          <w:sz w:val="32"/>
          <w:szCs w:val="32"/>
          <w:lang w:val="en-US" w:eastAsia="zh-CN"/>
        </w:rPr>
        <w:t>8</w:t>
      </w:r>
      <w:r>
        <w:rPr>
          <w:rFonts w:ascii="仿宋_GB2312" w:hAnsi="微软雅黑" w:eastAsia="仿宋_GB2312" w:cs="仿宋_GB2312"/>
          <w:kern w:val="0"/>
          <w:sz w:val="32"/>
          <w:szCs w:val="32"/>
        </w:rPr>
        <w:t>年我局政府采购事项为</w:t>
      </w:r>
      <w:r>
        <w:rPr>
          <w:rFonts w:hint="eastAsia" w:ascii="仿宋_GB2312" w:hAnsi="微软雅黑" w:eastAsia="仿宋_GB2312" w:cs="仿宋_GB2312"/>
          <w:kern w:val="0"/>
          <w:sz w:val="32"/>
          <w:szCs w:val="32"/>
        </w:rPr>
        <w:t>10万元。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，其中：打印机10台，每台2000元，合计：2万元；电脑6台，每台3500，合计：2.1万元；办公桌椅20套，每套950元，合计：1.9万元。其他4万元，其中：文件柜40个，每个1000元，合计：4万元。具体内容见下表。</w:t>
      </w:r>
    </w:p>
    <w:p>
      <w:pPr>
        <w:pStyle w:val="12"/>
        <w:widowControl/>
        <w:spacing w:line="360" w:lineRule="auto"/>
        <w:ind w:firstLine="0" w:firstLineChars="0"/>
        <w:jc w:val="left"/>
        <w:rPr>
          <w:rFonts w:ascii="Calibri" w:hAnsi="Calibri" w:eastAsia="仿宋_GB2312" w:cs="Calibri"/>
          <w:b/>
          <w:kern w:val="0"/>
          <w:sz w:val="32"/>
          <w:szCs w:val="32"/>
        </w:rPr>
      </w:pPr>
    </w:p>
    <w:p>
      <w:pPr>
        <w:pStyle w:val="12"/>
        <w:widowControl/>
        <w:spacing w:line="360" w:lineRule="auto"/>
        <w:ind w:firstLine="0" w:firstLineChars="0"/>
        <w:jc w:val="left"/>
        <w:rPr>
          <w:rFonts w:ascii="Calibri" w:hAnsi="Calibri" w:eastAsia="仿宋_GB2312" w:cs="Calibri"/>
          <w:b/>
          <w:kern w:val="0"/>
          <w:sz w:val="32"/>
          <w:szCs w:val="32"/>
        </w:rPr>
      </w:pPr>
    </w:p>
    <w:p>
      <w:pPr>
        <w:pStyle w:val="12"/>
        <w:widowControl/>
        <w:spacing w:line="360" w:lineRule="auto"/>
        <w:ind w:firstLine="0" w:firstLineChars="0"/>
        <w:jc w:val="left"/>
        <w:rPr>
          <w:rFonts w:ascii="Calibri" w:hAnsi="Calibri" w:eastAsia="仿宋_GB2312" w:cs="Calibri"/>
          <w:b/>
          <w:kern w:val="0"/>
          <w:sz w:val="32"/>
          <w:szCs w:val="32"/>
        </w:rPr>
      </w:pPr>
    </w:p>
    <w:p>
      <w:pPr>
        <w:pStyle w:val="12"/>
        <w:widowControl/>
        <w:spacing w:line="360" w:lineRule="auto"/>
        <w:ind w:firstLine="0" w:firstLineChars="0"/>
        <w:jc w:val="left"/>
        <w:rPr>
          <w:rFonts w:ascii="Calibri" w:hAnsi="Calibri" w:eastAsia="仿宋_GB2312" w:cs="Calibri"/>
          <w:b/>
          <w:kern w:val="0"/>
          <w:sz w:val="32"/>
          <w:szCs w:val="32"/>
        </w:rPr>
      </w:pPr>
    </w:p>
    <w:p>
      <w:pPr>
        <w:pStyle w:val="12"/>
        <w:widowControl/>
        <w:spacing w:line="360" w:lineRule="auto"/>
        <w:ind w:firstLine="0" w:firstLineChars="0"/>
        <w:jc w:val="left"/>
        <w:rPr>
          <w:rFonts w:ascii="Calibri" w:hAnsi="Calibri" w:eastAsia="仿宋_GB2312" w:cs="Calibri"/>
          <w:b/>
          <w:kern w:val="0"/>
          <w:sz w:val="32"/>
          <w:szCs w:val="32"/>
        </w:rPr>
      </w:pPr>
    </w:p>
    <w:p>
      <w:pPr>
        <w:pStyle w:val="12"/>
        <w:widowControl/>
        <w:spacing w:line="360" w:lineRule="auto"/>
        <w:ind w:firstLine="0" w:firstLineChars="0"/>
        <w:jc w:val="left"/>
        <w:rPr>
          <w:rFonts w:ascii="Calibri" w:hAnsi="Calibri" w:eastAsia="仿宋_GB2312" w:cs="Calibri"/>
          <w:b/>
          <w:kern w:val="0"/>
          <w:sz w:val="32"/>
          <w:szCs w:val="32"/>
        </w:rPr>
      </w:pPr>
    </w:p>
    <w:p>
      <w:pPr>
        <w:pStyle w:val="12"/>
        <w:widowControl/>
        <w:spacing w:line="360" w:lineRule="auto"/>
        <w:ind w:firstLine="0" w:firstLineChars="0"/>
        <w:jc w:val="left"/>
        <w:rPr>
          <w:rFonts w:ascii="Calibri" w:hAnsi="Calibri" w:eastAsia="仿宋_GB2312" w:cs="Calibri"/>
          <w:b/>
          <w:kern w:val="0"/>
          <w:sz w:val="32"/>
          <w:szCs w:val="32"/>
        </w:rPr>
      </w:pPr>
    </w:p>
    <w:p>
      <w:pPr>
        <w:spacing w:line="560" w:lineRule="exact"/>
        <w:outlineLvl w:val="0"/>
        <w:rPr>
          <w:rFonts w:ascii="方正小标宋_GBK" w:eastAsia="方正小标宋_GBK"/>
          <w:sz w:val="32"/>
        </w:rPr>
      </w:pPr>
      <w:bookmarkStart w:id="1" w:name="_Toc477338848"/>
      <w:bookmarkStart w:id="2" w:name="_Toc471398468"/>
    </w:p>
    <w:p>
      <w:pPr>
        <w:jc w:val="center"/>
        <w:outlineLvl w:val="0"/>
        <w:rPr>
          <w:rFonts w:ascii="方正小标宋_GBK" w:eastAsia="方正小标宋_GBK"/>
          <w:sz w:val="32"/>
        </w:rPr>
      </w:pPr>
      <w:r>
        <w:rPr>
          <w:rFonts w:hint="eastAsia" w:ascii="方正小标宋_GBK" w:eastAsia="方正小标宋_GBK"/>
          <w:sz w:val="32"/>
        </w:rPr>
        <w:t>部门政府采购预算</w:t>
      </w:r>
      <w:bookmarkEnd w:id="1"/>
    </w:p>
    <w:tbl>
      <w:tblPr>
        <w:tblStyle w:val="7"/>
        <w:tblW w:w="15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4"/>
        <w:gridCol w:w="850"/>
        <w:gridCol w:w="2110"/>
        <w:gridCol w:w="1588"/>
        <w:gridCol w:w="820"/>
        <w:gridCol w:w="826"/>
        <w:gridCol w:w="848"/>
        <w:gridCol w:w="863"/>
        <w:gridCol w:w="863"/>
        <w:gridCol w:w="863"/>
        <w:gridCol w:w="716"/>
        <w:gridCol w:w="826"/>
        <w:gridCol w:w="826"/>
        <w:gridCol w:w="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63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007成安县商务局对外贸易促进会</w:t>
            </w:r>
          </w:p>
        </w:tc>
        <w:tc>
          <w:tcPr>
            <w:tcW w:w="571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44"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211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88"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82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26"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71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9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2110" w:type="dxa"/>
            <w:vMerge w:val="continue"/>
            <w:vAlign w:val="center"/>
          </w:tcPr>
          <w:p>
            <w:pPr>
              <w:spacing w:line="300" w:lineRule="exact"/>
              <w:jc w:val="left"/>
              <w:outlineLvl w:val="0"/>
            </w:pPr>
          </w:p>
        </w:tc>
        <w:tc>
          <w:tcPr>
            <w:tcW w:w="1588" w:type="dxa"/>
            <w:vMerge w:val="continue"/>
            <w:vAlign w:val="center"/>
          </w:tcPr>
          <w:p>
            <w:pPr>
              <w:spacing w:line="300" w:lineRule="exact"/>
              <w:jc w:val="left"/>
              <w:outlineLvl w:val="0"/>
            </w:pPr>
          </w:p>
        </w:tc>
        <w:tc>
          <w:tcPr>
            <w:tcW w:w="820" w:type="dxa"/>
            <w:vMerge w:val="continue"/>
            <w:vAlign w:val="center"/>
          </w:tcPr>
          <w:p>
            <w:pPr>
              <w:spacing w:line="300" w:lineRule="exact"/>
              <w:jc w:val="left"/>
              <w:outlineLvl w:val="0"/>
            </w:pPr>
          </w:p>
        </w:tc>
        <w:tc>
          <w:tcPr>
            <w:tcW w:w="826"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86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094"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762"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594" w:type="dxa"/>
            <w:vMerge w:val="continue"/>
            <w:vAlign w:val="center"/>
          </w:tcPr>
          <w:p>
            <w:pPr>
              <w:spacing w:line="300" w:lineRule="exact"/>
              <w:jc w:val="left"/>
              <w:outlineLvl w:val="0"/>
            </w:pPr>
          </w:p>
        </w:tc>
        <w:tc>
          <w:tcPr>
            <w:tcW w:w="850" w:type="dxa"/>
            <w:vMerge w:val="continue"/>
            <w:vAlign w:val="center"/>
          </w:tcPr>
          <w:p>
            <w:pPr>
              <w:spacing w:line="300" w:lineRule="exact"/>
              <w:jc w:val="left"/>
              <w:outlineLvl w:val="0"/>
            </w:pPr>
          </w:p>
        </w:tc>
        <w:tc>
          <w:tcPr>
            <w:tcW w:w="2110" w:type="dxa"/>
            <w:vMerge w:val="continue"/>
            <w:vAlign w:val="center"/>
          </w:tcPr>
          <w:p>
            <w:pPr>
              <w:spacing w:line="300" w:lineRule="exact"/>
              <w:jc w:val="left"/>
              <w:outlineLvl w:val="0"/>
            </w:pPr>
          </w:p>
        </w:tc>
        <w:tc>
          <w:tcPr>
            <w:tcW w:w="1588" w:type="dxa"/>
            <w:vMerge w:val="continue"/>
            <w:vAlign w:val="center"/>
          </w:tcPr>
          <w:p>
            <w:pPr>
              <w:spacing w:line="300" w:lineRule="exact"/>
              <w:jc w:val="left"/>
              <w:outlineLvl w:val="0"/>
            </w:pPr>
          </w:p>
        </w:tc>
        <w:tc>
          <w:tcPr>
            <w:tcW w:w="820" w:type="dxa"/>
            <w:vMerge w:val="continue"/>
            <w:vAlign w:val="center"/>
          </w:tcPr>
          <w:p>
            <w:pPr>
              <w:spacing w:line="300" w:lineRule="exact"/>
              <w:jc w:val="left"/>
              <w:outlineLvl w:val="0"/>
            </w:pPr>
          </w:p>
        </w:tc>
        <w:tc>
          <w:tcPr>
            <w:tcW w:w="826"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863" w:type="dxa"/>
            <w:vMerge w:val="continue"/>
            <w:vAlign w:val="center"/>
          </w:tcPr>
          <w:p>
            <w:pPr>
              <w:spacing w:line="300" w:lineRule="exact"/>
              <w:jc w:val="left"/>
              <w:outlineLvl w:val="0"/>
            </w:pPr>
          </w:p>
        </w:tc>
        <w:tc>
          <w:tcPr>
            <w:tcW w:w="86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63"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2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26"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7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94" w:type="dxa"/>
            <w:vAlign w:val="center"/>
          </w:tcPr>
          <w:p>
            <w:pPr>
              <w:spacing w:line="300" w:lineRule="exact"/>
              <w:jc w:val="center"/>
              <w:rPr>
                <w:rFonts w:ascii="方正书宋_GBK" w:eastAsia="方正书宋_GBK"/>
                <w:b/>
              </w:rPr>
            </w:pPr>
          </w:p>
        </w:tc>
        <w:tc>
          <w:tcPr>
            <w:tcW w:w="850"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2110" w:type="dxa"/>
            <w:vAlign w:val="center"/>
          </w:tcPr>
          <w:p>
            <w:pPr>
              <w:spacing w:line="300" w:lineRule="exact"/>
              <w:jc w:val="left"/>
              <w:rPr>
                <w:rFonts w:ascii="方正书宋_GBK" w:eastAsia="方正书宋_GBK"/>
                <w:b/>
              </w:rPr>
            </w:pPr>
          </w:p>
        </w:tc>
        <w:tc>
          <w:tcPr>
            <w:tcW w:w="1588" w:type="dxa"/>
            <w:vAlign w:val="center"/>
          </w:tcPr>
          <w:p>
            <w:pPr>
              <w:spacing w:line="300" w:lineRule="exact"/>
              <w:jc w:val="left"/>
              <w:rPr>
                <w:rFonts w:ascii="方正书宋_GBK" w:eastAsia="方正书宋_GBK"/>
                <w:b/>
              </w:rPr>
            </w:pPr>
          </w:p>
        </w:tc>
        <w:tc>
          <w:tcPr>
            <w:tcW w:w="820" w:type="dxa"/>
            <w:vAlign w:val="center"/>
          </w:tcPr>
          <w:p>
            <w:pPr>
              <w:spacing w:line="300" w:lineRule="exact"/>
              <w:jc w:val="left"/>
              <w:rPr>
                <w:rFonts w:ascii="方正书宋_GBK" w:eastAsia="方正书宋_GBK"/>
                <w:b/>
              </w:rPr>
            </w:pPr>
          </w:p>
        </w:tc>
        <w:tc>
          <w:tcPr>
            <w:tcW w:w="826"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863"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863"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863"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716" w:type="dxa"/>
            <w:vAlign w:val="center"/>
          </w:tcPr>
          <w:p>
            <w:pPr>
              <w:spacing w:line="300" w:lineRule="exact"/>
              <w:jc w:val="right"/>
              <w:rPr>
                <w:rFonts w:ascii="方正书宋_GBK" w:eastAsia="方正书宋_GBK"/>
                <w:b/>
              </w:rPr>
            </w:pPr>
          </w:p>
        </w:tc>
        <w:tc>
          <w:tcPr>
            <w:tcW w:w="826" w:type="dxa"/>
            <w:vAlign w:val="center"/>
          </w:tcPr>
          <w:p>
            <w:pPr>
              <w:spacing w:line="300" w:lineRule="exact"/>
              <w:jc w:val="right"/>
              <w:rPr>
                <w:rFonts w:ascii="方正书宋_GBK" w:eastAsia="方正书宋_GBK"/>
                <w:b/>
              </w:rPr>
            </w:pPr>
          </w:p>
        </w:tc>
        <w:tc>
          <w:tcPr>
            <w:tcW w:w="826" w:type="dxa"/>
            <w:vAlign w:val="center"/>
          </w:tcPr>
          <w:p>
            <w:pPr>
              <w:spacing w:line="300" w:lineRule="exact"/>
              <w:jc w:val="right"/>
              <w:rPr>
                <w:rFonts w:ascii="方正书宋_GBK" w:eastAsia="方正书宋_GBK"/>
                <w:b/>
              </w:rPr>
            </w:pPr>
          </w:p>
        </w:tc>
        <w:tc>
          <w:tcPr>
            <w:tcW w:w="76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w:t>
            </w:r>
            <w:r>
              <w:rPr>
                <w:rFonts w:ascii="方正书宋_GBK" w:eastAsia="方正书宋_GBK"/>
              </w:rPr>
              <w:t>0</w:t>
            </w:r>
          </w:p>
        </w:tc>
        <w:tc>
          <w:tcPr>
            <w:tcW w:w="2110"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588" w:type="dxa"/>
            <w:vAlign w:val="center"/>
          </w:tcPr>
          <w:p>
            <w:pPr>
              <w:spacing w:line="300" w:lineRule="exact"/>
              <w:jc w:val="left"/>
              <w:rPr>
                <w:rFonts w:ascii="方正书宋_GBK" w:eastAsia="方正书宋_GBK"/>
              </w:rPr>
            </w:pPr>
            <w:r>
              <w:rPr>
                <w:rFonts w:ascii="方正书宋_GBK" w:eastAsia="方正书宋_GBK"/>
              </w:rPr>
              <w:t>A020101</w:t>
            </w:r>
          </w:p>
        </w:tc>
        <w:tc>
          <w:tcPr>
            <w:tcW w:w="820"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26" w:type="dxa"/>
            <w:vAlign w:val="center"/>
          </w:tcPr>
          <w:p>
            <w:pPr>
              <w:spacing w:line="300" w:lineRule="exact"/>
              <w:jc w:val="right"/>
              <w:rPr>
                <w:rFonts w:ascii="方正书宋_GBK" w:eastAsia="方正书宋_GBK"/>
              </w:rPr>
            </w:pPr>
            <w:r>
              <w:rPr>
                <w:rFonts w:hint="eastAsia" w:ascii="方正书宋_GBK" w:eastAsia="方正书宋_GBK"/>
              </w:rPr>
              <w:t>6</w:t>
            </w:r>
          </w:p>
        </w:tc>
        <w:tc>
          <w:tcPr>
            <w:tcW w:w="848" w:type="dxa"/>
            <w:vAlign w:val="center"/>
          </w:tcPr>
          <w:p>
            <w:pPr>
              <w:spacing w:line="300" w:lineRule="exact"/>
              <w:jc w:val="right"/>
              <w:rPr>
                <w:rFonts w:ascii="方正书宋_GBK" w:eastAsia="方正书宋_GBK"/>
              </w:rPr>
            </w:pPr>
            <w:r>
              <w:rPr>
                <w:rFonts w:hint="eastAsia" w:ascii="方正书宋_GBK" w:eastAsia="方正书宋_GBK"/>
              </w:rPr>
              <w:t>0.35</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71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7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1.90</w:t>
            </w:r>
          </w:p>
        </w:tc>
        <w:tc>
          <w:tcPr>
            <w:tcW w:w="2110" w:type="dxa"/>
            <w:vAlign w:val="center"/>
          </w:tcPr>
          <w:p>
            <w:pPr>
              <w:spacing w:line="300" w:lineRule="exact"/>
              <w:jc w:val="left"/>
              <w:rPr>
                <w:rFonts w:ascii="方正书宋_GBK" w:eastAsia="方正书宋_GBK"/>
              </w:rPr>
            </w:pPr>
            <w:r>
              <w:rPr>
                <w:rFonts w:hint="eastAsia" w:ascii="方正书宋_GBK" w:eastAsia="方正书宋_GBK"/>
              </w:rPr>
              <w:t>办公桌椅</w:t>
            </w:r>
          </w:p>
        </w:tc>
        <w:tc>
          <w:tcPr>
            <w:tcW w:w="1588" w:type="dxa"/>
            <w:vAlign w:val="center"/>
          </w:tcPr>
          <w:p>
            <w:pPr>
              <w:spacing w:line="300" w:lineRule="exact"/>
              <w:jc w:val="left"/>
              <w:rPr>
                <w:rFonts w:ascii="方正书宋_GBK" w:eastAsia="方正书宋_GBK"/>
              </w:rPr>
            </w:pPr>
          </w:p>
        </w:tc>
        <w:tc>
          <w:tcPr>
            <w:tcW w:w="820" w:type="dxa"/>
            <w:vAlign w:val="center"/>
          </w:tcPr>
          <w:p>
            <w:pPr>
              <w:spacing w:line="300" w:lineRule="exact"/>
              <w:jc w:val="left"/>
              <w:rPr>
                <w:rFonts w:ascii="方正书宋_GBK" w:eastAsia="方正书宋_GBK"/>
              </w:rPr>
            </w:pPr>
          </w:p>
        </w:tc>
        <w:tc>
          <w:tcPr>
            <w:tcW w:w="826" w:type="dxa"/>
            <w:vAlign w:val="center"/>
          </w:tcPr>
          <w:p>
            <w:pPr>
              <w:spacing w:line="300" w:lineRule="exact"/>
              <w:jc w:val="right"/>
              <w:rPr>
                <w:rFonts w:ascii="方正书宋_GBK" w:eastAsia="方正书宋_GBK"/>
              </w:rPr>
            </w:pPr>
            <w:r>
              <w:rPr>
                <w:rFonts w:ascii="方正书宋_GBK" w:eastAsia="方正书宋_GBK"/>
              </w:rPr>
              <w:t>200</w:t>
            </w:r>
          </w:p>
        </w:tc>
        <w:tc>
          <w:tcPr>
            <w:tcW w:w="848" w:type="dxa"/>
            <w:vAlign w:val="center"/>
          </w:tcPr>
          <w:p>
            <w:pPr>
              <w:spacing w:line="300" w:lineRule="exact"/>
              <w:jc w:val="right"/>
              <w:rPr>
                <w:rFonts w:ascii="方正书宋_GBK" w:eastAsia="方正书宋_GBK"/>
              </w:rPr>
            </w:pPr>
            <w:r>
              <w:rPr>
                <w:rFonts w:ascii="方正书宋_GBK" w:eastAsia="方正书宋_GBK"/>
              </w:rPr>
              <w:t>0.01</w:t>
            </w:r>
          </w:p>
        </w:tc>
        <w:tc>
          <w:tcPr>
            <w:tcW w:w="863" w:type="dxa"/>
            <w:vAlign w:val="center"/>
          </w:tcPr>
          <w:p>
            <w:pPr>
              <w:spacing w:line="300" w:lineRule="exact"/>
              <w:jc w:val="right"/>
              <w:rPr>
                <w:rFonts w:ascii="方正书宋_GBK" w:eastAsia="方正书宋_GBK"/>
              </w:rPr>
            </w:pPr>
            <w:r>
              <w:rPr>
                <w:rFonts w:ascii="方正书宋_GBK" w:eastAsia="方正书宋_GBK"/>
              </w:rPr>
              <w:t>2.00</w:t>
            </w:r>
          </w:p>
        </w:tc>
        <w:tc>
          <w:tcPr>
            <w:tcW w:w="863" w:type="dxa"/>
            <w:vAlign w:val="center"/>
          </w:tcPr>
          <w:p>
            <w:pPr>
              <w:spacing w:line="300" w:lineRule="exact"/>
              <w:jc w:val="right"/>
              <w:rPr>
                <w:rFonts w:ascii="方正书宋_GBK" w:eastAsia="方正书宋_GBK"/>
              </w:rPr>
            </w:pPr>
            <w:r>
              <w:rPr>
                <w:rFonts w:ascii="方正书宋_GBK" w:eastAsia="方正书宋_GBK"/>
              </w:rPr>
              <w:t>2.00</w:t>
            </w:r>
          </w:p>
        </w:tc>
        <w:tc>
          <w:tcPr>
            <w:tcW w:w="863" w:type="dxa"/>
            <w:vAlign w:val="center"/>
          </w:tcPr>
          <w:p>
            <w:pPr>
              <w:spacing w:line="300" w:lineRule="exact"/>
              <w:jc w:val="right"/>
              <w:rPr>
                <w:rFonts w:ascii="方正书宋_GBK" w:eastAsia="方正书宋_GBK"/>
              </w:rPr>
            </w:pPr>
            <w:r>
              <w:rPr>
                <w:rFonts w:ascii="方正书宋_GBK" w:eastAsia="方正书宋_GBK"/>
              </w:rPr>
              <w:t>2.00</w:t>
            </w:r>
          </w:p>
        </w:tc>
        <w:tc>
          <w:tcPr>
            <w:tcW w:w="71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7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5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2110"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88" w:type="dxa"/>
            <w:vAlign w:val="center"/>
          </w:tcPr>
          <w:p>
            <w:pPr>
              <w:spacing w:line="300" w:lineRule="exact"/>
              <w:jc w:val="left"/>
              <w:rPr>
                <w:rFonts w:ascii="方正书宋_GBK" w:eastAsia="方正书宋_GBK"/>
              </w:rPr>
            </w:pPr>
            <w:r>
              <w:rPr>
                <w:rFonts w:ascii="方正书宋_GBK" w:eastAsia="方正书宋_GBK"/>
              </w:rPr>
              <w:t>A02010601</w:t>
            </w:r>
          </w:p>
        </w:tc>
        <w:tc>
          <w:tcPr>
            <w:tcW w:w="820"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26" w:type="dxa"/>
            <w:vAlign w:val="center"/>
          </w:tcPr>
          <w:p>
            <w:pPr>
              <w:spacing w:line="300" w:lineRule="exact"/>
              <w:jc w:val="right"/>
              <w:rPr>
                <w:rFonts w:ascii="方正书宋_GBK" w:eastAsia="方正书宋_GBK"/>
              </w:rPr>
            </w:pPr>
            <w:r>
              <w:rPr>
                <w:rFonts w:hint="eastAsia" w:ascii="方正书宋_GBK" w:eastAsia="方正书宋_GBK"/>
              </w:rPr>
              <w:t>10</w:t>
            </w:r>
          </w:p>
        </w:tc>
        <w:tc>
          <w:tcPr>
            <w:tcW w:w="848" w:type="dxa"/>
            <w:vAlign w:val="center"/>
          </w:tcPr>
          <w:p>
            <w:pPr>
              <w:spacing w:line="300" w:lineRule="exact"/>
              <w:jc w:val="right"/>
              <w:rPr>
                <w:rFonts w:ascii="方正书宋_GBK" w:eastAsia="方正书宋_GBK"/>
              </w:rPr>
            </w:pPr>
            <w:r>
              <w:rPr>
                <w:rFonts w:ascii="方正书宋_GBK" w:eastAsia="方正书宋_GBK"/>
              </w:rPr>
              <w:t>0.2</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71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7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2110" w:type="dxa"/>
            <w:vAlign w:val="center"/>
          </w:tcPr>
          <w:p>
            <w:pPr>
              <w:spacing w:line="300" w:lineRule="exact"/>
              <w:jc w:val="left"/>
              <w:rPr>
                <w:rFonts w:ascii="方正书宋_GBK" w:eastAsia="方正书宋_GBK"/>
              </w:rPr>
            </w:pPr>
            <w:r>
              <w:rPr>
                <w:rFonts w:hint="eastAsia" w:ascii="方正书宋_GBK" w:eastAsia="方正书宋_GBK"/>
              </w:rPr>
              <w:t>文件柜</w:t>
            </w:r>
          </w:p>
        </w:tc>
        <w:tc>
          <w:tcPr>
            <w:tcW w:w="1588" w:type="dxa"/>
            <w:vAlign w:val="center"/>
          </w:tcPr>
          <w:p>
            <w:pPr>
              <w:spacing w:line="300" w:lineRule="exact"/>
              <w:jc w:val="left"/>
              <w:rPr>
                <w:rFonts w:ascii="方正书宋_GBK" w:eastAsia="方正书宋_GBK"/>
              </w:rPr>
            </w:pPr>
            <w:r>
              <w:rPr>
                <w:rFonts w:ascii="方正书宋_GBK" w:eastAsia="方正书宋_GBK"/>
              </w:rPr>
              <w:t>A020204</w:t>
            </w:r>
          </w:p>
        </w:tc>
        <w:tc>
          <w:tcPr>
            <w:tcW w:w="820"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26" w:type="dxa"/>
            <w:vAlign w:val="center"/>
          </w:tcPr>
          <w:p>
            <w:pPr>
              <w:spacing w:line="300" w:lineRule="exact"/>
              <w:jc w:val="right"/>
              <w:rPr>
                <w:rFonts w:ascii="方正书宋_GBK" w:eastAsia="方正书宋_GBK"/>
              </w:rPr>
            </w:pPr>
            <w:r>
              <w:rPr>
                <w:rFonts w:hint="eastAsia" w:ascii="方正书宋_GBK" w:eastAsia="方正书宋_GBK"/>
              </w:rPr>
              <w:t>40</w:t>
            </w:r>
          </w:p>
        </w:tc>
        <w:tc>
          <w:tcPr>
            <w:tcW w:w="848" w:type="dxa"/>
            <w:vAlign w:val="center"/>
          </w:tcPr>
          <w:p>
            <w:pPr>
              <w:spacing w:line="300" w:lineRule="exact"/>
              <w:jc w:val="right"/>
              <w:rPr>
                <w:rFonts w:ascii="方正书宋_GBK" w:eastAsia="方正书宋_GBK"/>
              </w:rPr>
            </w:pPr>
            <w:r>
              <w:rPr>
                <w:rFonts w:hint="eastAsia" w:ascii="方正书宋_GBK" w:eastAsia="方正书宋_GBK"/>
              </w:rPr>
              <w:t>0.10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863"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71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826" w:type="dxa"/>
            <w:vAlign w:val="center"/>
          </w:tcPr>
          <w:p>
            <w:pPr>
              <w:spacing w:line="300" w:lineRule="exact"/>
              <w:jc w:val="right"/>
              <w:rPr>
                <w:rFonts w:ascii="方正书宋_GBK" w:eastAsia="方正书宋_GBK"/>
              </w:rPr>
            </w:pPr>
          </w:p>
        </w:tc>
        <w:tc>
          <w:tcPr>
            <w:tcW w:w="762" w:type="dxa"/>
            <w:vAlign w:val="center"/>
          </w:tcPr>
          <w:p>
            <w:pPr>
              <w:spacing w:line="300" w:lineRule="exact"/>
              <w:jc w:val="right"/>
              <w:rPr>
                <w:rFonts w:ascii="方正书宋_GBK" w:eastAsia="方正书宋_GBK"/>
              </w:rPr>
            </w:pPr>
          </w:p>
        </w:tc>
      </w:tr>
      <w:bookmarkEnd w:id="2"/>
    </w:tbl>
    <w:p>
      <w:pPr>
        <w:autoSpaceDE w:val="0"/>
        <w:autoSpaceDN w:val="0"/>
        <w:adjustRightInd w:val="0"/>
        <w:spacing w:line="560" w:lineRule="exact"/>
        <w:ind w:firstLine="640" w:firstLineChars="200"/>
        <w:jc w:val="left"/>
        <w:rPr>
          <w:rFonts w:ascii="黑体" w:hAnsi="黑体" w:eastAsia="黑体"/>
          <w:sz w:val="32"/>
          <w:szCs w:val="32"/>
        </w:rPr>
      </w:pPr>
    </w:p>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ascii="仿宋" w:hAnsi="仿宋" w:eastAsia="仿宋"/>
          <w:sz w:val="32"/>
          <w:szCs w:val="32"/>
        </w:rPr>
      </w:pPr>
      <w:r>
        <w:rPr>
          <w:rFonts w:hint="eastAsia" w:ascii="仿宋" w:hAnsi="仿宋" w:eastAsia="仿宋"/>
          <w:sz w:val="32"/>
          <w:szCs w:val="32"/>
        </w:rPr>
        <w:t>成安县商业局贸促会</w:t>
      </w:r>
      <w:r>
        <w:rPr>
          <w:rFonts w:ascii="仿宋_GB2312" w:hAnsi="宋体" w:eastAsia="仿宋_GB2312" w:cs="宋体"/>
          <w:color w:val="333333"/>
          <w:kern w:val="0"/>
          <w:sz w:val="32"/>
          <w:szCs w:val="32"/>
        </w:rPr>
        <w:t>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lang w:val="en-US" w:eastAsia="zh-CN"/>
        </w:rPr>
        <w:t>4</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其中：其它资产办公用电脑、办公家具、专用设备等价值</w:t>
      </w:r>
      <w:r>
        <w:rPr>
          <w:rFonts w:hint="eastAsia" w:ascii="仿宋_GB2312" w:hAnsi="Calibri" w:eastAsia="仿宋_GB2312" w:cs="仿宋_GB2312"/>
          <w:kern w:val="0"/>
          <w:sz w:val="32"/>
          <w:szCs w:val="32"/>
          <w:lang w:val="en-US" w:eastAsia="zh-CN"/>
        </w:rPr>
        <w:t>4</w:t>
      </w:r>
      <w:r>
        <w:rPr>
          <w:rFonts w:hint="eastAsia" w:ascii="仿宋_GB2312" w:hAnsi="Calibri" w:eastAsia="仿宋_GB2312" w:cs="仿宋_GB2312"/>
          <w:kern w:val="0"/>
          <w:sz w:val="32"/>
          <w:szCs w:val="32"/>
        </w:rPr>
        <w:t>万元。2017年我单位拟购置10万元。</w:t>
      </w:r>
      <w:r>
        <w:rPr>
          <w:rFonts w:hint="eastAsia" w:ascii="仿宋" w:hAnsi="仿宋" w:eastAsia="仿宋"/>
          <w:sz w:val="32"/>
          <w:szCs w:val="32"/>
        </w:rPr>
        <w:t>主要为计算机设备、打印设备、办公桌椅等，已列入政府采购预算。详见下表。</w:t>
      </w:r>
    </w:p>
    <w:p>
      <w:pPr>
        <w:spacing w:line="560" w:lineRule="exact"/>
        <w:ind w:firstLine="640"/>
        <w:rPr>
          <w:rFonts w:ascii="仿宋" w:hAnsi="仿宋" w:eastAsia="仿宋"/>
          <w:sz w:val="32"/>
          <w:szCs w:val="32"/>
        </w:rPr>
      </w:pPr>
    </w:p>
    <w:p>
      <w:pPr>
        <w:spacing w:line="560" w:lineRule="exact"/>
        <w:ind w:firstLine="640"/>
        <w:rPr>
          <w:rFonts w:ascii="仿宋" w:hAnsi="仿宋" w:eastAsia="仿宋"/>
          <w:sz w:val="32"/>
          <w:szCs w:val="32"/>
        </w:rPr>
      </w:pPr>
    </w:p>
    <w:p>
      <w:pPr>
        <w:spacing w:line="560" w:lineRule="exact"/>
        <w:ind w:firstLine="640"/>
        <w:rPr>
          <w:rFonts w:ascii="仿宋" w:hAnsi="仿宋" w:eastAsia="仿宋"/>
          <w:sz w:val="32"/>
          <w:szCs w:val="32"/>
        </w:rPr>
      </w:pPr>
    </w:p>
    <w:tbl>
      <w:tblPr>
        <w:tblStyle w:val="7"/>
        <w:tblW w:w="11340" w:type="dxa"/>
        <w:tblInd w:w="1526" w:type="dxa"/>
        <w:tblLayout w:type="fixed"/>
        <w:tblCellMar>
          <w:top w:w="0" w:type="dxa"/>
          <w:left w:w="108" w:type="dxa"/>
          <w:bottom w:w="0" w:type="dxa"/>
          <w:right w:w="108" w:type="dxa"/>
        </w:tblCellMar>
      </w:tblPr>
      <w:tblGrid>
        <w:gridCol w:w="5332"/>
        <w:gridCol w:w="1417"/>
        <w:gridCol w:w="4591"/>
      </w:tblGrid>
      <w:tr>
        <w:tblPrEx>
          <w:tblCellMar>
            <w:top w:w="0" w:type="dxa"/>
            <w:left w:w="108" w:type="dxa"/>
            <w:bottom w:w="0" w:type="dxa"/>
            <w:right w:w="108" w:type="dxa"/>
          </w:tblCellMar>
        </w:tblPrEx>
        <w:trPr>
          <w:trHeight w:val="705" w:hRule="atLeast"/>
        </w:trPr>
        <w:tc>
          <w:tcPr>
            <w:tcW w:w="11340" w:type="dxa"/>
            <w:gridSpan w:val="3"/>
            <w:tcBorders>
              <w:top w:val="nil"/>
              <w:left w:val="nil"/>
              <w:bottom w:val="nil"/>
              <w:right w:val="nil"/>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749" w:type="dxa"/>
            <w:gridSpan w:val="2"/>
            <w:tcBorders>
              <w:top w:val="nil"/>
              <w:left w:val="nil"/>
              <w:bottom w:val="nil"/>
              <w:right w:val="nil"/>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编制部门：</w:t>
            </w:r>
            <w:r>
              <w:rPr>
                <w:rFonts w:hint="eastAsia" w:ascii="仿宋_GB2312" w:eastAsia="仿宋_GB2312"/>
                <w:sz w:val="28"/>
                <w:szCs w:val="28"/>
              </w:rPr>
              <w:t>成安县商业局贸促会</w:t>
            </w:r>
          </w:p>
        </w:tc>
        <w:tc>
          <w:tcPr>
            <w:tcW w:w="4591" w:type="dxa"/>
            <w:tcBorders>
              <w:top w:val="nil"/>
              <w:left w:val="nil"/>
              <w:bottom w:val="nil"/>
              <w:right w:val="nil"/>
            </w:tcBorders>
            <w:vAlign w:val="center"/>
          </w:tcPr>
          <w:p>
            <w:pPr>
              <w:widowControl/>
              <w:ind w:firstLine="700" w:firstLineChars="250"/>
              <w:jc w:val="left"/>
              <w:rPr>
                <w:rFonts w:ascii="仿宋" w:hAnsi="仿宋" w:eastAsia="仿宋" w:cs="宋体"/>
                <w:kern w:val="0"/>
                <w:sz w:val="28"/>
                <w:szCs w:val="28"/>
              </w:rPr>
            </w:pPr>
            <w:r>
              <w:rPr>
                <w:rFonts w:hint="eastAsia" w:ascii="仿宋" w:hAnsi="仿宋" w:eastAsia="仿宋" w:cs="宋体"/>
                <w:kern w:val="0"/>
                <w:sz w:val="28"/>
                <w:szCs w:val="28"/>
              </w:rPr>
              <w:t>截止时间：</w:t>
            </w:r>
            <w:r>
              <w:rPr>
                <w:rFonts w:ascii="仿宋" w:hAnsi="仿宋" w:eastAsia="仿宋" w:cs="宋体"/>
                <w:kern w:val="0"/>
                <w:sz w:val="28"/>
                <w:szCs w:val="28"/>
              </w:rPr>
              <w:t>2016</w:t>
            </w:r>
            <w:r>
              <w:rPr>
                <w:rFonts w:hint="eastAsia" w:ascii="仿宋" w:hAnsi="仿宋" w:eastAsia="仿宋" w:cs="宋体"/>
                <w:kern w:val="0"/>
                <w:sz w:val="28"/>
                <w:szCs w:val="28"/>
              </w:rPr>
              <w:t>年</w:t>
            </w:r>
            <w:r>
              <w:rPr>
                <w:rFonts w:ascii="仿宋" w:hAnsi="仿宋" w:eastAsia="仿宋" w:cs="宋体"/>
                <w:kern w:val="0"/>
                <w:sz w:val="28"/>
                <w:szCs w:val="28"/>
              </w:rPr>
              <w:t>12</w:t>
            </w:r>
            <w:r>
              <w:rPr>
                <w:rFonts w:hint="eastAsia" w:ascii="仿宋" w:hAnsi="仿宋" w:eastAsia="仿宋" w:cs="宋体"/>
                <w:kern w:val="0"/>
                <w:sz w:val="28"/>
                <w:szCs w:val="28"/>
              </w:rPr>
              <w:t>月</w:t>
            </w:r>
            <w:r>
              <w:rPr>
                <w:rFonts w:ascii="仿宋" w:hAnsi="仿宋" w:eastAsia="仿宋" w:cs="宋体"/>
                <w:kern w:val="0"/>
                <w:sz w:val="28"/>
                <w:szCs w:val="28"/>
              </w:rPr>
              <w:t>31</w:t>
            </w:r>
            <w:r>
              <w:rPr>
                <w:rFonts w:hint="eastAsia" w:ascii="仿宋" w:hAnsi="仿宋" w:eastAsia="仿宋" w:cs="宋体"/>
                <w:kern w:val="0"/>
                <w:sz w:val="28"/>
                <w:szCs w:val="28"/>
              </w:rPr>
              <w:t>日</w:t>
            </w:r>
            <w:r>
              <w:rPr>
                <w:rFonts w:ascii="仿宋" w:hAnsi="仿宋" w:eastAsia="仿宋" w:cs="宋体"/>
                <w:kern w:val="0"/>
                <w:sz w:val="28"/>
                <w:szCs w:val="28"/>
              </w:rPr>
              <w:t xml:space="preserve">  </w:t>
            </w:r>
          </w:p>
        </w:tc>
      </w:tr>
      <w:tr>
        <w:tblPrEx>
          <w:tblCellMar>
            <w:top w:w="0" w:type="dxa"/>
            <w:left w:w="108" w:type="dxa"/>
            <w:bottom w:w="0" w:type="dxa"/>
            <w:right w:w="108" w:type="dxa"/>
          </w:tblCellMar>
        </w:tblPrEx>
        <w:trPr>
          <w:trHeight w:val="645" w:hRule="atLeast"/>
        </w:trPr>
        <w:tc>
          <w:tcPr>
            <w:tcW w:w="5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项</w:t>
            </w:r>
            <w:r>
              <w:rPr>
                <w:rFonts w:ascii="仿宋" w:hAnsi="仿宋" w:eastAsia="仿宋" w:cs="宋体"/>
                <w:bCs/>
                <w:kern w:val="0"/>
                <w:sz w:val="32"/>
                <w:szCs w:val="32"/>
              </w:rPr>
              <w:t xml:space="preserve">   </w:t>
            </w:r>
            <w:r>
              <w:rPr>
                <w:rFonts w:hint="eastAsia" w:ascii="仿宋" w:hAnsi="仿宋" w:eastAsia="仿宋" w:cs="宋体"/>
                <w:bCs/>
                <w:kern w:val="0"/>
                <w:sz w:val="32"/>
                <w:szCs w:val="32"/>
              </w:rPr>
              <w:t>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数量</w:t>
            </w:r>
          </w:p>
        </w:tc>
        <w:tc>
          <w:tcPr>
            <w:tcW w:w="45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33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资产总额</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4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15</w:t>
            </w:r>
          </w:p>
        </w:tc>
      </w:tr>
      <w:tr>
        <w:tblPrEx>
          <w:tblCellMar>
            <w:top w:w="0" w:type="dxa"/>
            <w:left w:w="108" w:type="dxa"/>
            <w:bottom w:w="0" w:type="dxa"/>
            <w:right w:w="108" w:type="dxa"/>
          </w:tblCellMar>
        </w:tblPrEx>
        <w:trPr>
          <w:trHeight w:val="645" w:hRule="atLeast"/>
        </w:trPr>
        <w:tc>
          <w:tcPr>
            <w:tcW w:w="533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4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533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其中：办公用房（平方米）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4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533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4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533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4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533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7"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10</w:t>
            </w:r>
          </w:p>
        </w:tc>
        <w:tc>
          <w:tcPr>
            <w:tcW w:w="45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w:t>
            </w:r>
          </w:p>
        </w:tc>
      </w:tr>
    </w:tbl>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黑体" w:hAnsi="黑体" w:eastAsia="黑体" w:cs="微软雅黑"/>
          <w:kern w:val="0"/>
          <w:sz w:val="24"/>
          <w:szCs w:val="24"/>
        </w:rPr>
        <w:t xml:space="preserve"> </w:t>
      </w:r>
      <w:r>
        <w:rPr>
          <w:rFonts w:hint="eastAsia" w:ascii="宋体" w:hAnsi="宋体" w:eastAsia="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hint="eastAsia" w:ascii="微软雅黑" w:hAnsi="微软雅黑" w:eastAsia="微软雅黑" w:cs="微软雅黑"/>
          <w:kern w:val="0"/>
          <w:sz w:val="24"/>
          <w:szCs w:val="24"/>
        </w:rPr>
        <w:t xml:space="preserve"> </w:t>
      </w:r>
    </w:p>
    <w:p>
      <w:pPr>
        <w:widowControl/>
        <w:spacing w:line="360" w:lineRule="auto"/>
        <w:ind w:firstLine="480" w:firstLineChars="2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p>
      <w:pPr>
        <w:widowControl/>
        <w:spacing w:line="360" w:lineRule="auto"/>
        <w:ind w:firstLine="420" w:firstLineChars="200"/>
        <w:jc w:val="left"/>
      </w:pPr>
    </w:p>
    <w:sectPr>
      <w:pgSz w:w="16839" w:h="11907" w:orient="landscape"/>
      <w:pgMar w:top="1134" w:right="1021" w:bottom="1134" w:left="102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decorative"/>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书宋_GBK">
    <w:altName w:val="宋体"/>
    <w:panose1 w:val="00000000000000000000"/>
    <w:charset w:val="86"/>
    <w:family w:val="decorative"/>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A657B"/>
    <w:multiLevelType w:val="multilevel"/>
    <w:tmpl w:val="0C2A657B"/>
    <w:lvl w:ilvl="0" w:tentative="0">
      <w:start w:val="4"/>
      <w:numFmt w:val="japaneseCounting"/>
      <w:lvlText w:val="%1、"/>
      <w:lvlJc w:val="left"/>
      <w:pPr>
        <w:ind w:left="1523" w:hanging="7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GUzMjAxZWIzZjVlYjgwMjNlYjVhMGQwNmU0NjEifQ=="/>
  </w:docVars>
  <w:rsids>
    <w:rsidRoot w:val="00E810D6"/>
    <w:rsid w:val="00022EE2"/>
    <w:rsid w:val="002E3A95"/>
    <w:rsid w:val="00334240"/>
    <w:rsid w:val="003F0FB0"/>
    <w:rsid w:val="004916FA"/>
    <w:rsid w:val="004A5303"/>
    <w:rsid w:val="0055387B"/>
    <w:rsid w:val="005D136A"/>
    <w:rsid w:val="00623037"/>
    <w:rsid w:val="00625463"/>
    <w:rsid w:val="0062621A"/>
    <w:rsid w:val="00685811"/>
    <w:rsid w:val="006D1C5B"/>
    <w:rsid w:val="00713E01"/>
    <w:rsid w:val="007516BC"/>
    <w:rsid w:val="007A507B"/>
    <w:rsid w:val="007D6BF0"/>
    <w:rsid w:val="007E2269"/>
    <w:rsid w:val="0080486E"/>
    <w:rsid w:val="008058DC"/>
    <w:rsid w:val="008164E9"/>
    <w:rsid w:val="00832BE4"/>
    <w:rsid w:val="00867D10"/>
    <w:rsid w:val="008C7744"/>
    <w:rsid w:val="008D12B2"/>
    <w:rsid w:val="00922239"/>
    <w:rsid w:val="009816A8"/>
    <w:rsid w:val="009A2D48"/>
    <w:rsid w:val="009B001C"/>
    <w:rsid w:val="00A07D70"/>
    <w:rsid w:val="00A70FC0"/>
    <w:rsid w:val="00AB3C63"/>
    <w:rsid w:val="00AE1DBB"/>
    <w:rsid w:val="00B1126C"/>
    <w:rsid w:val="00B247C8"/>
    <w:rsid w:val="00B42F07"/>
    <w:rsid w:val="00BB5950"/>
    <w:rsid w:val="00BC2272"/>
    <w:rsid w:val="00C05E5B"/>
    <w:rsid w:val="00C40B35"/>
    <w:rsid w:val="00C60A65"/>
    <w:rsid w:val="00D346D5"/>
    <w:rsid w:val="00D53512"/>
    <w:rsid w:val="00D96CC2"/>
    <w:rsid w:val="00DE5574"/>
    <w:rsid w:val="00E20D34"/>
    <w:rsid w:val="00E23ABF"/>
    <w:rsid w:val="00E31FCC"/>
    <w:rsid w:val="00E42745"/>
    <w:rsid w:val="00E70669"/>
    <w:rsid w:val="00E810D6"/>
    <w:rsid w:val="00E86FCD"/>
    <w:rsid w:val="00EB63E1"/>
    <w:rsid w:val="00FE531C"/>
    <w:rsid w:val="013B67CD"/>
    <w:rsid w:val="01CA412B"/>
    <w:rsid w:val="037D3281"/>
    <w:rsid w:val="037D399A"/>
    <w:rsid w:val="03B213E5"/>
    <w:rsid w:val="05F83A01"/>
    <w:rsid w:val="06096D52"/>
    <w:rsid w:val="06550E5D"/>
    <w:rsid w:val="06616BDD"/>
    <w:rsid w:val="06D362B3"/>
    <w:rsid w:val="0726741C"/>
    <w:rsid w:val="08B07B1F"/>
    <w:rsid w:val="08D34D69"/>
    <w:rsid w:val="09E50DB9"/>
    <w:rsid w:val="0A365E9E"/>
    <w:rsid w:val="0BB759F9"/>
    <w:rsid w:val="0BF41E7F"/>
    <w:rsid w:val="0CBF7A43"/>
    <w:rsid w:val="0D567C03"/>
    <w:rsid w:val="0DD4180B"/>
    <w:rsid w:val="0E8C3D26"/>
    <w:rsid w:val="0EB87EC2"/>
    <w:rsid w:val="130B706D"/>
    <w:rsid w:val="13617533"/>
    <w:rsid w:val="139106CF"/>
    <w:rsid w:val="13A12522"/>
    <w:rsid w:val="13DE0FA8"/>
    <w:rsid w:val="163506CD"/>
    <w:rsid w:val="17252863"/>
    <w:rsid w:val="175940C0"/>
    <w:rsid w:val="17C16AC9"/>
    <w:rsid w:val="180D78B9"/>
    <w:rsid w:val="1868399F"/>
    <w:rsid w:val="19F02EA6"/>
    <w:rsid w:val="19F3005A"/>
    <w:rsid w:val="1AEF7278"/>
    <w:rsid w:val="1B2A5EA4"/>
    <w:rsid w:val="1C0D0DA4"/>
    <w:rsid w:val="1CC97251"/>
    <w:rsid w:val="1CEB0A1C"/>
    <w:rsid w:val="1D430EC5"/>
    <w:rsid w:val="1D4E50CC"/>
    <w:rsid w:val="1D8D712F"/>
    <w:rsid w:val="1E005185"/>
    <w:rsid w:val="1E8167C1"/>
    <w:rsid w:val="1EAA0AE1"/>
    <w:rsid w:val="20A51812"/>
    <w:rsid w:val="21B66276"/>
    <w:rsid w:val="21BD14FC"/>
    <w:rsid w:val="228819EE"/>
    <w:rsid w:val="22A568F1"/>
    <w:rsid w:val="239A78C3"/>
    <w:rsid w:val="264E15DE"/>
    <w:rsid w:val="267B23D6"/>
    <w:rsid w:val="2716314B"/>
    <w:rsid w:val="2828180A"/>
    <w:rsid w:val="285222A8"/>
    <w:rsid w:val="288A4B30"/>
    <w:rsid w:val="28E516DB"/>
    <w:rsid w:val="299267B6"/>
    <w:rsid w:val="2AD57C75"/>
    <w:rsid w:val="2BAA47A7"/>
    <w:rsid w:val="2DCE40BA"/>
    <w:rsid w:val="2E066AE5"/>
    <w:rsid w:val="2E2777CE"/>
    <w:rsid w:val="2EC853A3"/>
    <w:rsid w:val="2EE04A84"/>
    <w:rsid w:val="30B41A68"/>
    <w:rsid w:val="312F543B"/>
    <w:rsid w:val="31D059F4"/>
    <w:rsid w:val="321F67D1"/>
    <w:rsid w:val="32D45244"/>
    <w:rsid w:val="332A0BBD"/>
    <w:rsid w:val="3387759D"/>
    <w:rsid w:val="33FA5420"/>
    <w:rsid w:val="34B0070F"/>
    <w:rsid w:val="351C5D1D"/>
    <w:rsid w:val="36DF5EE5"/>
    <w:rsid w:val="372D0BBC"/>
    <w:rsid w:val="385749E7"/>
    <w:rsid w:val="38963AA1"/>
    <w:rsid w:val="39461E7C"/>
    <w:rsid w:val="39A75722"/>
    <w:rsid w:val="3B2D1E80"/>
    <w:rsid w:val="3B6E7B6E"/>
    <w:rsid w:val="3C712CD5"/>
    <w:rsid w:val="3CEC5D53"/>
    <w:rsid w:val="3D453332"/>
    <w:rsid w:val="417B37FD"/>
    <w:rsid w:val="4311232D"/>
    <w:rsid w:val="441C57E9"/>
    <w:rsid w:val="44240E6E"/>
    <w:rsid w:val="44986D47"/>
    <w:rsid w:val="45185251"/>
    <w:rsid w:val="456A5D0D"/>
    <w:rsid w:val="457C0C14"/>
    <w:rsid w:val="45B90BF3"/>
    <w:rsid w:val="460143F1"/>
    <w:rsid w:val="475B18CD"/>
    <w:rsid w:val="498634E1"/>
    <w:rsid w:val="4A4F1F05"/>
    <w:rsid w:val="4B7040C7"/>
    <w:rsid w:val="4CA957E7"/>
    <w:rsid w:val="4D9730D4"/>
    <w:rsid w:val="4E4335D2"/>
    <w:rsid w:val="5284615E"/>
    <w:rsid w:val="52AB63BE"/>
    <w:rsid w:val="535E33E8"/>
    <w:rsid w:val="56047A8C"/>
    <w:rsid w:val="59AF56D7"/>
    <w:rsid w:val="5A43186E"/>
    <w:rsid w:val="5AF556D9"/>
    <w:rsid w:val="5B2B3FCD"/>
    <w:rsid w:val="5BAE356C"/>
    <w:rsid w:val="5CB07A05"/>
    <w:rsid w:val="5ED17601"/>
    <w:rsid w:val="5FA34814"/>
    <w:rsid w:val="612F2391"/>
    <w:rsid w:val="61897173"/>
    <w:rsid w:val="61E34898"/>
    <w:rsid w:val="62EA79E7"/>
    <w:rsid w:val="63F21B1B"/>
    <w:rsid w:val="647567A8"/>
    <w:rsid w:val="65493192"/>
    <w:rsid w:val="666C26EF"/>
    <w:rsid w:val="67DD0D9A"/>
    <w:rsid w:val="69696E33"/>
    <w:rsid w:val="6B304A7A"/>
    <w:rsid w:val="6B511389"/>
    <w:rsid w:val="6D5763C1"/>
    <w:rsid w:val="6D81148F"/>
    <w:rsid w:val="6E8006EE"/>
    <w:rsid w:val="6ECC4D84"/>
    <w:rsid w:val="70942A71"/>
    <w:rsid w:val="70BA2DA1"/>
    <w:rsid w:val="71B87B2B"/>
    <w:rsid w:val="726F0014"/>
    <w:rsid w:val="729B4F6A"/>
    <w:rsid w:val="733E01F4"/>
    <w:rsid w:val="73746DB7"/>
    <w:rsid w:val="737C0229"/>
    <w:rsid w:val="7424079F"/>
    <w:rsid w:val="74D4598A"/>
    <w:rsid w:val="76FD3FC3"/>
    <w:rsid w:val="77440D01"/>
    <w:rsid w:val="783300AC"/>
    <w:rsid w:val="7AA5545A"/>
    <w:rsid w:val="7BAA5900"/>
    <w:rsid w:val="7C0B49FE"/>
    <w:rsid w:val="7D9A3104"/>
    <w:rsid w:val="7DB9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paragraph" w:styleId="6">
    <w:name w:val="Normal (Web)"/>
    <w:basedOn w:val="1"/>
    <w:qFormat/>
    <w:uiPriority w:val="0"/>
    <w:rPr>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3"/>
    <w:semiHidden/>
    <w:qFormat/>
    <w:uiPriority w:val="99"/>
    <w:rPr>
      <w:sz w:val="18"/>
      <w:szCs w:val="18"/>
    </w:rPr>
  </w:style>
  <w:style w:type="character" w:customStyle="1" w:styleId="11">
    <w:name w:val="页脚 Char"/>
    <w:basedOn w:val="9"/>
    <w:link w:val="2"/>
    <w:semiHidden/>
    <w:qFormat/>
    <w:uiPriority w:val="99"/>
    <w:rPr>
      <w:sz w:val="18"/>
      <w:szCs w:val="18"/>
    </w:rPr>
  </w:style>
  <w:style w:type="paragraph" w:customStyle="1" w:styleId="12">
    <w:name w:val="列出段落1"/>
    <w:basedOn w:val="1"/>
    <w:unhideWhenUsed/>
    <w:qFormat/>
    <w:uiPriority w:val="99"/>
    <w:pPr>
      <w:ind w:firstLine="420" w:firstLineChars="200"/>
    </w:p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3105</Words>
  <Characters>3335</Characters>
  <Lines>27</Lines>
  <Paragraphs>7</Paragraphs>
  <TotalTime>3</TotalTime>
  <ScaleCrop>false</ScaleCrop>
  <LinksUpToDate>false</LinksUpToDate>
  <CharactersWithSpaces>3389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2016-04-01T02:44:00Z</cp:lastPrinted>
  <dcterms:modified xsi:type="dcterms:W3CDTF">2024-05-22T08:28:29Z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4979302B6FC3462C9519995C6D305EDC</vt:lpwstr>
  </property>
</Properties>
</file>