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成安县发展改革局2017年部门预算公开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情况说明</w:t>
      </w:r>
    </w:p>
    <w:p>
      <w:pPr>
        <w:widowControl/>
        <w:spacing w:line="360" w:lineRule="auto"/>
        <w:ind w:firstLine="640" w:firstLineChars="200"/>
        <w:jc w:val="left"/>
        <w:rPr>
          <w:rFonts w:hint="eastAsia" w:ascii="仿宋_GB2312" w:hAnsi="Calibri" w:eastAsia="仿宋_GB2312" w:cs="仿宋_GB2312"/>
          <w:sz w:val="32"/>
          <w:szCs w:val="32"/>
        </w:rPr>
      </w:pP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w:t>
      </w:r>
      <w:bookmarkStart w:id="0" w:name="_GoBack"/>
      <w:bookmarkEnd w:id="0"/>
      <w:r>
        <w:rPr>
          <w:rFonts w:ascii="仿宋_GB2312" w:hAnsi="Calibri" w:eastAsia="仿宋_GB2312" w:cs="仿宋_GB2312"/>
          <w:sz w:val="32"/>
          <w:szCs w:val="32"/>
        </w:rPr>
        <w:t>预算法》有关规定</w:t>
      </w:r>
      <w:r>
        <w:rPr>
          <w:rFonts w:hint="eastAsia" w:ascii="仿宋_GB2312" w:hAnsi="Calibri" w:eastAsia="仿宋_GB2312" w:cs="仿宋_GB2312"/>
          <w:sz w:val="32"/>
          <w:szCs w:val="32"/>
        </w:rPr>
        <w:t>和</w:t>
      </w:r>
      <w:r>
        <w:rPr>
          <w:rFonts w:ascii="楷体_GB2312" w:hAnsi="宋体" w:eastAsia="楷体_GB2312" w:cs="楷体_GB2312"/>
          <w:sz w:val="32"/>
          <w:szCs w:val="32"/>
        </w:rPr>
        <w:t>财政部关于印发《地方预决算公开操作规程》的通知，</w:t>
      </w:r>
      <w:r>
        <w:rPr>
          <w:rFonts w:ascii="仿宋_GB2312" w:hAnsi="Calibri" w:eastAsia="仿宋_GB2312" w:cs="仿宋_GB2312"/>
          <w:kern w:val="0"/>
          <w:sz w:val="32"/>
          <w:szCs w:val="32"/>
        </w:rPr>
        <w:t>现将</w:t>
      </w:r>
      <w:r>
        <w:rPr>
          <w:rFonts w:hint="eastAsia" w:ascii="仿宋_GB2312" w:hAnsi="Calibri" w:eastAsia="仿宋_GB2312" w:cs="仿宋_GB2312"/>
          <w:kern w:val="0"/>
          <w:sz w:val="32"/>
          <w:szCs w:val="32"/>
        </w:rPr>
        <w:t>成安县发展改革</w:t>
      </w:r>
      <w:r>
        <w:rPr>
          <w:rFonts w:ascii="仿宋_GB2312" w:hAnsi="Calibri" w:eastAsia="仿宋_GB2312" w:cs="仿宋_GB2312"/>
          <w:kern w:val="0"/>
          <w:sz w:val="32"/>
          <w:szCs w:val="32"/>
        </w:rPr>
        <w:t>局201</w:t>
      </w:r>
      <w:r>
        <w:rPr>
          <w:rFonts w:hint="eastAsia" w:ascii="仿宋_GB2312" w:hAnsi="Calibri" w:eastAsia="仿宋_GB2312" w:cs="仿宋_GB2312"/>
          <w:kern w:val="0"/>
          <w:sz w:val="32"/>
          <w:szCs w:val="32"/>
        </w:rPr>
        <w:t>7</w:t>
      </w:r>
      <w:r>
        <w:rPr>
          <w:rFonts w:ascii="仿宋_GB2312" w:hAnsi="Calibri" w:eastAsia="仿宋_GB2312" w:cs="仿宋_GB2312"/>
          <w:kern w:val="0"/>
          <w:sz w:val="32"/>
          <w:szCs w:val="32"/>
        </w:rPr>
        <w:t>年部门预算公开如下</w:t>
      </w:r>
      <w:r>
        <w:rPr>
          <w:rFonts w:hint="eastAsia" w:ascii="仿宋_GB2312" w:hAnsi="Calibri" w:eastAsia="仿宋_GB2312" w:cs="仿宋_GB2312"/>
          <w:kern w:val="0"/>
          <w:sz w:val="32"/>
          <w:szCs w:val="32"/>
        </w:rPr>
        <w:t>：</w:t>
      </w:r>
    </w:p>
    <w:p>
      <w:pPr>
        <w:widowControl/>
        <w:numPr>
          <w:ilvl w:val="0"/>
          <w:numId w:val="1"/>
        </w:numPr>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部门职责及机构设置情况</w:t>
      </w:r>
    </w:p>
    <w:p>
      <w:pPr>
        <w:ind w:firstLine="640" w:firstLineChars="200"/>
        <w:jc w:val="left"/>
        <w:rPr>
          <w:rFonts w:ascii="仿宋" w:hAnsi="仿宋" w:eastAsia="仿宋"/>
          <w:sz w:val="32"/>
          <w:szCs w:val="32"/>
        </w:rPr>
      </w:pPr>
      <w:r>
        <w:rPr>
          <w:rFonts w:hint="eastAsia" w:ascii="仿宋" w:hAnsi="仿宋" w:eastAsia="仿宋"/>
          <w:sz w:val="32"/>
          <w:szCs w:val="32"/>
        </w:rPr>
        <w:t>成安县发展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三五”规划，对于全县抢抓机遇，实现又好又快发展出谋划策。</w:t>
      </w:r>
    </w:p>
    <w:p>
      <w:pPr>
        <w:autoSpaceDE w:val="0"/>
        <w:autoSpaceDN w:val="0"/>
        <w:adjustRightInd w:val="0"/>
        <w:ind w:firstLine="640"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行政</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成安县发展改革局重点项目办</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成安县发展改革局信息中心</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财政性资金零补助</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成安县发展改革局，预算编码是303，内设3个内部机构。</w:t>
      </w:r>
    </w:p>
    <w:p>
      <w:pPr>
        <w:widowControl/>
        <w:numPr>
          <w:ilvl w:val="0"/>
          <w:numId w:val="2"/>
        </w:numPr>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主要负责：文件管理、传达，单位日常工作安排。 </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2、重点项目办公室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主要负责：全县项目审批、申报，项目日常管理。</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3、信息中心</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主要负责：综合大楼网络运行和信息上报，网络安全监管。</w:t>
      </w:r>
    </w:p>
    <w:p>
      <w:pPr>
        <w:widowControl/>
        <w:spacing w:line="360" w:lineRule="auto"/>
        <w:ind w:firstLine="640" w:firstLineChars="200"/>
        <w:jc w:val="left"/>
        <w:rPr>
          <w:rFonts w:ascii="Calibri" w:hAnsi="Calibri" w:eastAsia="仿宋_GB2312" w:cs="Calibri"/>
          <w:b/>
          <w:kern w:val="0"/>
          <w:sz w:val="32"/>
          <w:szCs w:val="32"/>
        </w:rPr>
      </w:pPr>
      <w:r>
        <w:rPr>
          <w:rFonts w:hint="eastAsia" w:ascii="Calibri" w:hAnsi="Calibri" w:eastAsia="仿宋_GB2312" w:cs="Calibri"/>
          <w:b/>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成安县发展改革局，人员编制37名，其中领导职数7个。</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bCs/>
          <w:kern w:val="0"/>
          <w:sz w:val="32"/>
          <w:szCs w:val="32"/>
        </w:rPr>
      </w:pPr>
      <w:r>
        <w:rPr>
          <w:rFonts w:ascii="仿宋" w:hAnsi="仿宋" w:eastAsia="仿宋" w:cs="仿宋"/>
          <w:bCs/>
          <w:kern w:val="0"/>
          <w:sz w:val="32"/>
          <w:szCs w:val="32"/>
        </w:rPr>
        <w:t>2017</w:t>
      </w:r>
      <w:r>
        <w:rPr>
          <w:rFonts w:hint="eastAsia" w:ascii="仿宋" w:hAnsi="仿宋" w:eastAsia="仿宋" w:cs="仿宋"/>
          <w:bCs/>
          <w:kern w:val="0"/>
          <w:sz w:val="32"/>
          <w:szCs w:val="32"/>
        </w:rPr>
        <w:t>年预算收入175.97万元，其中：一般公共预算收入175.97万元，政府性基金收入0万元，国有资本经营收入0万元，事业收入0万元，其他收入0万元。</w:t>
      </w:r>
    </w:p>
    <w:p>
      <w:pPr>
        <w:spacing w:line="560" w:lineRule="exact"/>
        <w:ind w:firstLine="640"/>
        <w:rPr>
          <w:rFonts w:ascii="华文楷体" w:hAnsi="华文楷体" w:eastAsia="华文楷体" w:cs="仿宋"/>
          <w:b/>
          <w:bCs/>
          <w:kern w:val="0"/>
          <w:sz w:val="32"/>
          <w:szCs w:val="32"/>
        </w:rPr>
      </w:pPr>
      <w:r>
        <w:rPr>
          <w:rFonts w:ascii="华文楷体" w:hAnsi="华文楷体" w:eastAsia="华文楷体" w:cs="仿宋"/>
          <w:b/>
          <w:bCs/>
          <w:kern w:val="0"/>
          <w:sz w:val="32"/>
          <w:szCs w:val="32"/>
        </w:rPr>
        <w:t>2</w:t>
      </w:r>
      <w:r>
        <w:rPr>
          <w:rFonts w:hint="eastAsia" w:ascii="华文楷体" w:hAnsi="华文楷体" w:eastAsia="华文楷体" w:cs="仿宋"/>
          <w:b/>
          <w:bCs/>
          <w:kern w:val="0"/>
          <w:sz w:val="32"/>
          <w:szCs w:val="32"/>
        </w:rPr>
        <w:t>、支出说明</w:t>
      </w:r>
    </w:p>
    <w:p>
      <w:pPr>
        <w:spacing w:line="560" w:lineRule="exact"/>
        <w:ind w:firstLine="640"/>
        <w:rPr>
          <w:rFonts w:ascii="Times New Roman" w:hAnsi="Times New Roman" w:eastAsia="方正仿宋_GBK" w:cs="Times New Roman"/>
          <w:sz w:val="32"/>
          <w:szCs w:val="32"/>
        </w:rPr>
      </w:pPr>
      <w:r>
        <w:rPr>
          <w:rFonts w:ascii="仿宋" w:hAnsi="仿宋" w:eastAsia="仿宋" w:cs="仿宋"/>
          <w:bCs/>
          <w:kern w:val="0"/>
          <w:sz w:val="32"/>
          <w:szCs w:val="32"/>
        </w:rPr>
        <w:t>2017</w:t>
      </w:r>
      <w:r>
        <w:rPr>
          <w:rFonts w:hint="eastAsia" w:ascii="仿宋" w:hAnsi="仿宋" w:eastAsia="仿宋" w:cs="仿宋"/>
          <w:bCs/>
          <w:kern w:val="0"/>
          <w:sz w:val="32"/>
          <w:szCs w:val="32"/>
        </w:rPr>
        <w:t>年支出预算175.97万元，其中基本支出175.97万元，包括人员经费和日常公用经费等</w:t>
      </w:r>
      <w:r>
        <w:rPr>
          <w:rFonts w:hint="eastAsia" w:ascii="Times New Roman" w:hAnsi="Times New Roman" w:eastAsia="方正仿宋_GBK" w:cs="方正仿宋_GBK"/>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ascii="宋体" w:hAnsi="宋体" w:eastAsia="宋体" w:cs="Times New Roman"/>
          <w:sz w:val="32"/>
          <w:szCs w:val="32"/>
        </w:rPr>
        <w:t>2</w:t>
      </w:r>
      <w:r>
        <w:rPr>
          <w:rFonts w:ascii="仿宋" w:hAnsi="仿宋" w:eastAsia="仿宋" w:cs="仿宋"/>
          <w:bCs/>
          <w:kern w:val="0"/>
          <w:sz w:val="32"/>
          <w:szCs w:val="32"/>
        </w:rPr>
        <w:t>017</w:t>
      </w:r>
      <w:r>
        <w:rPr>
          <w:rFonts w:hint="eastAsia" w:ascii="仿宋" w:hAnsi="仿宋" w:eastAsia="仿宋" w:cs="仿宋"/>
          <w:bCs/>
          <w:kern w:val="0"/>
          <w:sz w:val="32"/>
          <w:szCs w:val="32"/>
        </w:rPr>
        <w:t>年预算收支安排175.97万元，较</w:t>
      </w:r>
      <w:r>
        <w:rPr>
          <w:rFonts w:ascii="仿宋" w:hAnsi="仿宋" w:eastAsia="仿宋" w:cs="仿宋"/>
          <w:bCs/>
          <w:kern w:val="0"/>
          <w:sz w:val="32"/>
          <w:szCs w:val="32"/>
        </w:rPr>
        <w:t>2016</w:t>
      </w:r>
      <w:r>
        <w:rPr>
          <w:rFonts w:hint="eastAsia" w:ascii="仿宋" w:hAnsi="仿宋" w:eastAsia="仿宋" w:cs="仿宋"/>
          <w:bCs/>
          <w:kern w:val="0"/>
          <w:sz w:val="32"/>
          <w:szCs w:val="32"/>
        </w:rPr>
        <w:t>年预算增加30.49万元，其中：基本支出增加30.49万元，主要为增加人员工资和经费支出。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机关运行经费共计安排10万元，主要用于办公区的日常维修、办公用房水电费、邮电费、办公用房取暖费、办公用房物业管理费等日常运行支出。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ascii="仿宋" w:hAnsi="仿宋" w:eastAsia="仿宋" w:cs="仿宋"/>
          <w:bCs/>
          <w:kern w:val="0"/>
          <w:sz w:val="32"/>
          <w:szCs w:val="32"/>
        </w:rPr>
        <w:t>2017</w:t>
      </w:r>
      <w:r>
        <w:rPr>
          <w:rFonts w:hint="eastAsia" w:ascii="仿宋" w:hAnsi="仿宋" w:eastAsia="仿宋" w:cs="仿宋"/>
          <w:bCs/>
          <w:kern w:val="0"/>
          <w:sz w:val="32"/>
          <w:szCs w:val="32"/>
        </w:rPr>
        <w:t>年，我单位“三公”经费预算安排10万元，其中因公出国（境）费0万元；公务用车购置及运维费4.5万元（其中：公务用车购置费为0万元，公务用车运行费4.5万元</w:t>
      </w:r>
      <w:r>
        <w:rPr>
          <w:rFonts w:ascii="仿宋" w:hAnsi="仿宋" w:eastAsia="仿宋" w:cs="仿宋"/>
          <w:bCs/>
          <w:kern w:val="0"/>
          <w:sz w:val="32"/>
          <w:szCs w:val="32"/>
        </w:rPr>
        <w:t>)</w:t>
      </w:r>
      <w:r>
        <w:rPr>
          <w:rFonts w:hint="eastAsia" w:ascii="仿宋" w:hAnsi="仿宋" w:eastAsia="仿宋" w:cs="仿宋"/>
          <w:bCs/>
          <w:kern w:val="0"/>
          <w:sz w:val="32"/>
          <w:szCs w:val="32"/>
        </w:rPr>
        <w:t>；公务接待费0.5万元。2017年“三公”经费预算减少了5%。由于2016年公车拍卖，2017年实行车补，油修费用预算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spacing w:line="560" w:lineRule="exact"/>
        <w:ind w:left="198"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总体绩效目标：增强规划和计划的前瞻性、科学性、可操作性；规划目标全面、先进、可行；组织落实措施得力，调度有序。确保重点领域和区域经济社会规划与国民经济和社会发展规划、计划的衔接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pPr>
        <w:autoSpaceDE w:val="0"/>
        <w:autoSpaceDN w:val="0"/>
        <w:adjustRightInd w:val="0"/>
        <w:spacing w:line="560" w:lineRule="exact"/>
        <w:ind w:left="198" w:firstLine="640" w:firstLineChars="200"/>
        <w:jc w:val="center"/>
        <w:rPr>
          <w:rFonts w:ascii="仿宋" w:hAnsi="仿宋" w:eastAsia="仿宋" w:cs="仿宋"/>
          <w:bCs/>
          <w:kern w:val="0"/>
          <w:sz w:val="32"/>
          <w:szCs w:val="32"/>
        </w:rPr>
      </w:pPr>
      <w:r>
        <w:rPr>
          <w:rFonts w:hint="eastAsia" w:ascii="仿宋" w:hAnsi="仿宋" w:eastAsia="仿宋" w:cs="仿宋"/>
          <w:bCs/>
          <w:kern w:val="0"/>
          <w:sz w:val="32"/>
          <w:szCs w:val="32"/>
        </w:rPr>
        <w:t>部门职责-工作活动绩效目标</w:t>
      </w: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成安县发展改革局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2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417" w:type="dxa"/>
            <w:vMerge w:val="continue"/>
            <w:shd w:val="clear" w:color="auto" w:fill="auto"/>
            <w:vAlign w:val="center"/>
          </w:tcPr>
          <w:p>
            <w:pPr>
              <w:spacing w:line="300" w:lineRule="exact"/>
              <w:ind w:firstLine="420" w:firstLineChars="200"/>
              <w:jc w:val="left"/>
              <w:outlineLvl w:val="0"/>
            </w:pP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组织编制经济社会发展规划和计划</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组织拟订县级经济社会发展规划。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经济社会发展中长期规划编制</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组织拟定县级经济社会发展中长期规划统筹协调县级专项规划和区域规划。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规划和计划前瞻性、科学性、可操作性较强；规划目标全面、先进、可行。</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年度经济社会发展计划编制</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根据县级经济社会发展战略规划，拟定县级年度经济社会发展计划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经济社会发展计划切实体现县委、县政府决策目标和部署</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县人大代表表决通过率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重点领域和区域经济社会规划编制</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编制和拟订县域发展等重点经济区计划和产业政策，研究提出落实措施、调控手段和力度等建议；提出经济与社会协调发展、相互促进的政策，协调社会事业发展的重大问题。</w:t>
            </w:r>
          </w:p>
          <w:p>
            <w:pPr>
              <w:spacing w:line="300" w:lineRule="exact"/>
              <w:ind w:firstLine="420" w:firstLineChars="200"/>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重点领域和区域经济社会规划编制完成率</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列入省级以上规划项目数量</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促进县级区域经济发展</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w:t>
            </w: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p>
            <w:pPr>
              <w:spacing w:line="300" w:lineRule="exact"/>
              <w:ind w:firstLine="420" w:firstLineChars="200"/>
              <w:jc w:val="left"/>
              <w:rPr>
                <w:rFonts w:ascii="方正书宋_GBK" w:eastAsia="方正书宋_GBK"/>
              </w:rPr>
            </w:pPr>
            <w:r>
              <w:rPr>
                <w:rFonts w:ascii="方正书宋_GBK" w:eastAsia="方正书宋_GBK"/>
              </w:rPr>
              <w:t>"</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推动京津冀协同发展</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配合国家首都经济圈发展规划，做好与国家规划的有效衔接；组织争取国家政策、资金等支持。</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发展规划出台情况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与京冀对接活动的组织及项目组织、督导、调研情况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与津冀对接活动的组织及项目组织、督导、调研情况</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推动沿海地区率先发展</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协调解决沿海地区发展规划实施中的重大问题，推进县内腹地产业规划与沿海地区发展规划的衔接。</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促进各项鼓励支持政策落实，推进沿海规划实施，加快沿海地区项目建设。</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组织召开联络员会议</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现场调研督导政策落实</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督导项目建设</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推进区域经济与可持续发展</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加强区域经济发展管理工作，提高县域经济发展水平，改善重点流域水环境。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区域经济可持续发展规划实施完成情况</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组织推进农业资源区划</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建立农业资源监测制度；负责农业资源可持续发展和高效利用实验示范工作；综合管理农业遥感技术的利用。</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掌握我县农业资源现状及动态变化。</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专题研究报告数量</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固定资产投资调控与管理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县级预算内基本建设投资项目管理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重点基建投资项目计划完成率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资金细化程度</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下达预算内基建项目投资计划的及时性</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建设项目手续完备率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突破概算投资的项目个数</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按期投入使用的项目占比</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组织实施县级重点项目管理和稽察</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项目开工率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监督稽察覆盖率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发展和改革政务管理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政府购买行业协会服务评价合格率</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政务网建设</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保证政府综合大楼网络运行</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保证政府综合办公大楼网路运行</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管理综合大楼网络运行</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保证政府综合办公楼网路正常运行</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政务网管理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保证政务网运行</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建设、管理政务网</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50</w:t>
            </w:r>
          </w:p>
        </w:tc>
      </w:tr>
    </w:tbl>
    <w:p>
      <w:pPr>
        <w:widowControl/>
        <w:spacing w:line="360" w:lineRule="auto"/>
        <w:ind w:firstLine="640" w:firstLineChars="200"/>
        <w:jc w:val="left"/>
        <w:rPr>
          <w:rFonts w:hint="eastAsia" w:ascii="黑体" w:hAnsi="黑体" w:eastAsia="黑体" w:cs="Calibri"/>
          <w:b/>
          <w:kern w:val="0"/>
          <w:sz w:val="32"/>
          <w:szCs w:val="32"/>
        </w:rPr>
      </w:pPr>
    </w:p>
    <w:p>
      <w:pPr>
        <w:widowControl/>
        <w:spacing w:line="360" w:lineRule="auto"/>
        <w:ind w:firstLine="640" w:firstLineChars="200"/>
        <w:jc w:val="left"/>
        <w:rPr>
          <w:rFonts w:ascii="黑体" w:hAnsi="黑体" w:eastAsia="黑体" w:cs="Calibri"/>
          <w:b/>
          <w:kern w:val="0"/>
          <w:sz w:val="32"/>
          <w:szCs w:val="32"/>
        </w:rPr>
      </w:pPr>
      <w:r>
        <w:rPr>
          <w:rFonts w:hint="eastAsia" w:ascii="黑体" w:hAnsi="黑体" w:eastAsia="黑体" w:cs="Calibri"/>
          <w:b/>
          <w:kern w:val="0"/>
          <w:sz w:val="32"/>
          <w:szCs w:val="32"/>
        </w:rPr>
        <w:t>六、政府采购预算情况</w:t>
      </w:r>
    </w:p>
    <w:p>
      <w:pPr>
        <w:widowControl/>
        <w:spacing w:line="360" w:lineRule="auto"/>
        <w:ind w:firstLine="640" w:firstLineChars="200"/>
        <w:jc w:val="left"/>
        <w:rPr>
          <w:rFonts w:ascii="仿宋" w:hAnsi="仿宋" w:eastAsia="仿宋" w:cs="Times New Roman"/>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w:t>
      </w:r>
      <w:r>
        <w:rPr>
          <w:rFonts w:hint="eastAsia" w:ascii="仿宋_GB2312" w:hAnsi="微软雅黑" w:eastAsia="仿宋_GB2312" w:cs="仿宋_GB2312"/>
          <w:kern w:val="0"/>
          <w:sz w:val="32"/>
          <w:szCs w:val="32"/>
        </w:rPr>
        <w:t>7</w:t>
      </w:r>
      <w:r>
        <w:rPr>
          <w:rFonts w:ascii="仿宋_GB2312" w:hAnsi="微软雅黑" w:eastAsia="仿宋_GB2312" w:cs="仿宋_GB2312"/>
          <w:kern w:val="0"/>
          <w:sz w:val="32"/>
          <w:szCs w:val="32"/>
        </w:rPr>
        <w:t>年我局政府采购事项</w:t>
      </w:r>
      <w:r>
        <w:rPr>
          <w:rFonts w:hint="eastAsia" w:ascii="仿宋_GB2312" w:hAnsi="微软雅黑" w:eastAsia="仿宋_GB2312" w:cs="仿宋_GB2312"/>
          <w:kern w:val="0"/>
          <w:sz w:val="32"/>
          <w:szCs w:val="32"/>
        </w:rPr>
        <w:t>3万元，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,其中空调设备1万元；电脑3台1.2万元；办公桌椅0.8万元</w:t>
      </w:r>
      <w:r>
        <w:rPr>
          <w:rFonts w:ascii="仿宋_GB2312" w:hAnsi="Calibri" w:eastAsia="仿宋_GB2312" w:cs="仿宋_GB2312"/>
          <w:kern w:val="0"/>
          <w:sz w:val="32"/>
          <w:szCs w:val="32"/>
        </w:rPr>
        <w:t>。</w:t>
      </w:r>
      <w:r>
        <w:rPr>
          <w:rFonts w:ascii="仿宋" w:hAnsi="仿宋" w:eastAsia="仿宋" w:cs="Times New Roman"/>
          <w:sz w:val="32"/>
          <w:szCs w:val="32"/>
        </w:rPr>
        <w:t>2017</w:t>
      </w:r>
      <w:r>
        <w:rPr>
          <w:rFonts w:hint="eastAsia" w:ascii="仿宋" w:hAnsi="仿宋" w:eastAsia="仿宋" w:cs="方正仿宋_GBK"/>
          <w:sz w:val="32"/>
          <w:szCs w:val="32"/>
        </w:rPr>
        <w:t>年，我单位安排政府采购预算3万元。具体内容见下表。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4"/>
        <w:gridCol w:w="1054"/>
        <w:gridCol w:w="869"/>
        <w:gridCol w:w="1382"/>
        <w:gridCol w:w="869"/>
        <w:gridCol w:w="869"/>
        <w:gridCol w:w="892"/>
        <w:gridCol w:w="889"/>
        <w:gridCol w:w="889"/>
        <w:gridCol w:w="889"/>
        <w:gridCol w:w="808"/>
        <w:gridCol w:w="871"/>
        <w:gridCol w:w="871"/>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w:t>
            </w:r>
          </w:p>
        </w:tc>
        <w:tc>
          <w:tcPr>
            <w:tcW w:w="2105" w:type="pct"/>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82"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311"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2105" w:type="pct"/>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368"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1510" w:type="pct"/>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28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pPr>
              <w:spacing w:line="560" w:lineRule="exact"/>
              <w:jc w:val="left"/>
              <w:outlineLvl w:val="0"/>
              <w:rPr>
                <w:rFonts w:ascii="宋体" w:hAnsi="宋体" w:eastAsia="宋体" w:cs="Times New Roman"/>
              </w:rPr>
            </w:pPr>
          </w:p>
        </w:tc>
        <w:tc>
          <w:tcPr>
            <w:tcW w:w="368"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continue"/>
            <w:vAlign w:val="center"/>
          </w:tcPr>
          <w:p>
            <w:pPr>
              <w:spacing w:line="560" w:lineRule="exact"/>
              <w:jc w:val="left"/>
              <w:outlineLvl w:val="0"/>
              <w:rPr>
                <w:rFonts w:ascii="宋体" w:hAnsi="宋体" w:eastAsia="宋体" w:cs="Times New Roman"/>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282"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285" w:type="pct"/>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03" w:type="pct"/>
            <w:vAlign w:val="center"/>
          </w:tcPr>
          <w:p>
            <w:pPr>
              <w:spacing w:line="560" w:lineRule="exact"/>
              <w:jc w:val="center"/>
              <w:rPr>
                <w:rFonts w:ascii="宋体" w:hAnsi="宋体" w:eastAsia="宋体" w:cs="Times New Roman"/>
                <w:b/>
                <w:bCs/>
              </w:rPr>
            </w:pPr>
          </w:p>
        </w:tc>
        <w:tc>
          <w:tcPr>
            <w:tcW w:w="482"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24</w:t>
            </w:r>
          </w:p>
        </w:tc>
        <w:tc>
          <w:tcPr>
            <w:tcW w:w="311"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空调</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空调</w:t>
            </w:r>
          </w:p>
        </w:tc>
        <w:tc>
          <w:tcPr>
            <w:tcW w:w="482"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1"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rPr>
              <w:t>桌椅</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桌椅</w:t>
            </w:r>
          </w:p>
        </w:tc>
        <w:tc>
          <w:tcPr>
            <w:tcW w:w="482" w:type="pct"/>
            <w:vAlign w:val="center"/>
          </w:tcPr>
          <w:p>
            <w:pPr>
              <w:spacing w:line="560" w:lineRule="exact"/>
              <w:jc w:val="center"/>
              <w:rPr>
                <w:rFonts w:ascii="宋体" w:hAnsi="宋体" w:eastAsia="宋体" w:cs="Times New Roman"/>
              </w:rPr>
            </w:pP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套</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20</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rPr>
              <w:t>电脑</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电脑</w:t>
            </w:r>
          </w:p>
        </w:tc>
        <w:tc>
          <w:tcPr>
            <w:tcW w:w="482" w:type="pct"/>
            <w:vAlign w:val="center"/>
          </w:tcPr>
          <w:p>
            <w:pPr>
              <w:spacing w:line="560" w:lineRule="exact"/>
              <w:jc w:val="center"/>
              <w:rPr>
                <w:rFonts w:ascii="宋体" w:hAnsi="宋体" w:eastAsia="宋体" w:cs="Times New Roman"/>
              </w:rPr>
            </w:pP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3</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bl>
    <w:p>
      <w:pPr>
        <w:widowControl/>
        <w:spacing w:line="360" w:lineRule="auto"/>
        <w:ind w:firstLine="640" w:firstLineChars="200"/>
        <w:jc w:val="left"/>
        <w:rPr>
          <w:rFonts w:ascii="Calibri" w:hAnsi="Calibri" w:eastAsia="仿宋_GB2312" w:cs="Calibri"/>
          <w:b/>
          <w:kern w:val="0"/>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成安县发展改革局部门（含所属单位）上年末固定资产金额为126万元，本年度拟购置固定资产主要为计算机设备、打印设备、空调、办公家具等，已列入政府采购预算。详见上表。</w:t>
      </w:r>
    </w:p>
    <w:p>
      <w:pPr>
        <w:spacing w:line="560" w:lineRule="exact"/>
        <w:ind w:firstLine="640"/>
        <w:rPr>
          <w:rFonts w:ascii="仿宋_GB2312" w:hAnsi="黑体" w:eastAsia="仿宋_GB2312" w:cs="Times New Roman"/>
          <w:sz w:val="32"/>
          <w:szCs w:val="32"/>
        </w:rPr>
      </w:pPr>
    </w:p>
    <w:tbl>
      <w:tblPr>
        <w:tblStyle w:val="6"/>
        <w:tblW w:w="3956" w:type="pct"/>
        <w:tblInd w:w="1526" w:type="dxa"/>
        <w:tblLayout w:type="autofit"/>
        <w:tblCellMar>
          <w:top w:w="0" w:type="dxa"/>
          <w:left w:w="108" w:type="dxa"/>
          <w:bottom w:w="0" w:type="dxa"/>
          <w:right w:w="108" w:type="dxa"/>
        </w:tblCellMar>
      </w:tblPr>
      <w:tblGrid>
        <w:gridCol w:w="4917"/>
        <w:gridCol w:w="1354"/>
        <w:gridCol w:w="506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65"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编制部门：成安县发展改革局</w:t>
            </w:r>
          </w:p>
        </w:tc>
        <w:tc>
          <w:tcPr>
            <w:tcW w:w="2235"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2016</w:t>
            </w:r>
            <w:r>
              <w:rPr>
                <w:rFonts w:hint="eastAsia" w:ascii="宋体" w:hAnsi="宋体" w:eastAsia="宋体" w:cs="宋体"/>
                <w:kern w:val="0"/>
                <w:sz w:val="22"/>
              </w:rPr>
              <w:t>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r>
              <w:rPr>
                <w:rFonts w:ascii="宋体" w:hAnsi="宋体" w:eastAsia="宋体" w:cs="宋体"/>
                <w:kern w:val="0"/>
                <w:sz w:val="22"/>
              </w:rPr>
              <w:t xml:space="preserve">  </w:t>
            </w:r>
          </w:p>
        </w:tc>
      </w:tr>
      <w:tr>
        <w:tblPrEx>
          <w:tblCellMar>
            <w:top w:w="0" w:type="dxa"/>
            <w:left w:w="108" w:type="dxa"/>
            <w:bottom w:w="0" w:type="dxa"/>
            <w:right w:w="108" w:type="dxa"/>
          </w:tblCellMar>
        </w:tblPrEx>
        <w:trPr>
          <w:trHeight w:val="645" w:hRule="atLeast"/>
        </w:trPr>
        <w:tc>
          <w:tcPr>
            <w:tcW w:w="2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w:t>
            </w:r>
            <w:r>
              <w:rPr>
                <w:rFonts w:ascii="宋体" w:hAnsi="宋体" w:eastAsia="宋体" w:cs="宋体"/>
                <w:b/>
                <w:bCs/>
                <w:kern w:val="0"/>
                <w:sz w:val="22"/>
              </w:rPr>
              <w:t xml:space="preserve">   </w:t>
            </w:r>
            <w:r>
              <w:rPr>
                <w:rFonts w:hint="eastAsia" w:ascii="宋体" w:hAnsi="宋体" w:eastAsia="宋体" w:cs="宋体"/>
                <w:b/>
                <w:bCs/>
                <w:kern w:val="0"/>
                <w:sz w:val="22"/>
              </w:rPr>
              <w:t>目</w:t>
            </w:r>
          </w:p>
        </w:tc>
        <w:tc>
          <w:tcPr>
            <w:tcW w:w="59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223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 xml:space="preserve">   </w:t>
            </w:r>
            <w:r>
              <w:rPr>
                <w:rFonts w:hint="eastAsia" w:ascii="宋体" w:hAnsi="宋体" w:eastAsia="宋体" w:cs="宋体"/>
                <w:kern w:val="0"/>
                <w:sz w:val="22"/>
              </w:rPr>
              <w:t>其中：办公用房（平方米）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260平方米</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无</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126万元</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126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其中：房屋价值0万元（政府综合大楼），车辆原价值18万元，其它资产办公用电脑、办公家具。2017年我单位拟购置3万元。</w:t>
      </w:r>
    </w:p>
    <w:p>
      <w:pPr>
        <w:widowControl/>
        <w:spacing w:line="360" w:lineRule="auto"/>
        <w:ind w:firstLine="640" w:firstLineChars="200"/>
        <w:jc w:val="left"/>
        <w:rPr>
          <w:rFonts w:hint="eastAsia" w:ascii="仿宋" w:hAnsi="仿宋" w:eastAsia="仿宋"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仿宋" w:hAnsi="仿宋" w:eastAsia="仿宋" w:cs="仿宋"/>
          <w:kern w:val="0"/>
          <w:sz w:val="32"/>
          <w:szCs w:val="32"/>
        </w:rPr>
        <w:t> </w:t>
      </w:r>
    </w:p>
    <w:p>
      <w:pPr>
        <w:widowControl/>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hint="eastAsia"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widowControl/>
        <w:spacing w:line="360" w:lineRule="auto"/>
        <w:ind w:firstLine="720" w:firstLineChars="300"/>
        <w:jc w:val="left"/>
        <w:rPr>
          <w:rFonts w:hint="eastAsia"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rPr>
      </w:pPr>
      <w:r>
        <w:rPr>
          <w:rFonts w:hint="eastAsia" w:ascii="仿宋" w:hAnsi="仿宋" w:eastAsia="仿宋" w:cs="方正仿宋_GBK"/>
          <w:bCs/>
          <w:sz w:val="32"/>
          <w:szCs w:val="32"/>
        </w:rPr>
        <w:t>无其它需要说明的事项。</w:t>
      </w:r>
    </w:p>
    <w:sectPr>
      <w:pgSz w:w="16839" w:h="11907" w:orient="landscape"/>
      <w:pgMar w:top="1021" w:right="1361" w:bottom="1021"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12DE9"/>
    <w:multiLevelType w:val="singleLevel"/>
    <w:tmpl w:val="58512DE9"/>
    <w:lvl w:ilvl="0" w:tentative="0">
      <w:start w:val="1"/>
      <w:numFmt w:val="chineseCounting"/>
      <w:suff w:val="nothing"/>
      <w:lvlText w:val="%1、"/>
      <w:lvlJc w:val="left"/>
    </w:lvl>
  </w:abstractNum>
  <w:abstractNum w:abstractNumId="1">
    <w:nsid w:val="58BCCB38"/>
    <w:multiLevelType w:val="singleLevel"/>
    <w:tmpl w:val="58BCCB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6"/>
    <w:rsid w:val="00070B38"/>
    <w:rsid w:val="000F39A9"/>
    <w:rsid w:val="0012613C"/>
    <w:rsid w:val="0026214B"/>
    <w:rsid w:val="002D7560"/>
    <w:rsid w:val="002E3A95"/>
    <w:rsid w:val="00311FD2"/>
    <w:rsid w:val="003B5B60"/>
    <w:rsid w:val="00495A11"/>
    <w:rsid w:val="004C1CF1"/>
    <w:rsid w:val="005526AF"/>
    <w:rsid w:val="005D136A"/>
    <w:rsid w:val="0062621A"/>
    <w:rsid w:val="00685811"/>
    <w:rsid w:val="006B2D64"/>
    <w:rsid w:val="006D1C5B"/>
    <w:rsid w:val="00702CB4"/>
    <w:rsid w:val="00777EAA"/>
    <w:rsid w:val="00785707"/>
    <w:rsid w:val="007A507B"/>
    <w:rsid w:val="007C109C"/>
    <w:rsid w:val="007D6BF0"/>
    <w:rsid w:val="008058DC"/>
    <w:rsid w:val="00810D35"/>
    <w:rsid w:val="008C7744"/>
    <w:rsid w:val="008D5286"/>
    <w:rsid w:val="009812D4"/>
    <w:rsid w:val="009C5C91"/>
    <w:rsid w:val="009D2540"/>
    <w:rsid w:val="00A07D70"/>
    <w:rsid w:val="00A14D67"/>
    <w:rsid w:val="00A44449"/>
    <w:rsid w:val="00A667BA"/>
    <w:rsid w:val="00AB1D2B"/>
    <w:rsid w:val="00B05951"/>
    <w:rsid w:val="00B14C5A"/>
    <w:rsid w:val="00B16629"/>
    <w:rsid w:val="00B904D6"/>
    <w:rsid w:val="00B9100D"/>
    <w:rsid w:val="00BA709F"/>
    <w:rsid w:val="00C027EF"/>
    <w:rsid w:val="00C07935"/>
    <w:rsid w:val="00C6227E"/>
    <w:rsid w:val="00CA4E4F"/>
    <w:rsid w:val="00D42541"/>
    <w:rsid w:val="00DA089B"/>
    <w:rsid w:val="00DD7FB8"/>
    <w:rsid w:val="00E20971"/>
    <w:rsid w:val="00E32C07"/>
    <w:rsid w:val="00E810D6"/>
    <w:rsid w:val="00E83088"/>
    <w:rsid w:val="00E95C95"/>
    <w:rsid w:val="00EA340D"/>
    <w:rsid w:val="00F212CE"/>
    <w:rsid w:val="00F47032"/>
    <w:rsid w:val="00F5181F"/>
    <w:rsid w:val="00F5552E"/>
    <w:rsid w:val="00FA3D3F"/>
    <w:rsid w:val="00FB5D80"/>
    <w:rsid w:val="013B67CD"/>
    <w:rsid w:val="0143370B"/>
    <w:rsid w:val="01CA412B"/>
    <w:rsid w:val="037D399A"/>
    <w:rsid w:val="03B213E5"/>
    <w:rsid w:val="06096D52"/>
    <w:rsid w:val="06550E5D"/>
    <w:rsid w:val="06F74C86"/>
    <w:rsid w:val="0726741C"/>
    <w:rsid w:val="08CC4C0B"/>
    <w:rsid w:val="08D34D69"/>
    <w:rsid w:val="08EB4082"/>
    <w:rsid w:val="09E50DB9"/>
    <w:rsid w:val="0BB759F9"/>
    <w:rsid w:val="0CBF7A43"/>
    <w:rsid w:val="0DD4180B"/>
    <w:rsid w:val="130B706D"/>
    <w:rsid w:val="139106CF"/>
    <w:rsid w:val="13DE0FA8"/>
    <w:rsid w:val="163506CD"/>
    <w:rsid w:val="17252863"/>
    <w:rsid w:val="175940C0"/>
    <w:rsid w:val="17C16AC9"/>
    <w:rsid w:val="180D78B9"/>
    <w:rsid w:val="1AEF7278"/>
    <w:rsid w:val="1B2A5EA4"/>
    <w:rsid w:val="1CAD1EB8"/>
    <w:rsid w:val="1CC97251"/>
    <w:rsid w:val="1CEB0A1C"/>
    <w:rsid w:val="1E8167C1"/>
    <w:rsid w:val="1EAA0AE1"/>
    <w:rsid w:val="21B66276"/>
    <w:rsid w:val="223B41FA"/>
    <w:rsid w:val="228819EE"/>
    <w:rsid w:val="24782867"/>
    <w:rsid w:val="2716314B"/>
    <w:rsid w:val="288A4B30"/>
    <w:rsid w:val="28E516DB"/>
    <w:rsid w:val="299267B6"/>
    <w:rsid w:val="2AD57C75"/>
    <w:rsid w:val="2BAA47A7"/>
    <w:rsid w:val="2C3E23A2"/>
    <w:rsid w:val="2C9E77EC"/>
    <w:rsid w:val="2CDC28D4"/>
    <w:rsid w:val="2DCE40BA"/>
    <w:rsid w:val="2E066AE5"/>
    <w:rsid w:val="2E2777CE"/>
    <w:rsid w:val="2EE04A84"/>
    <w:rsid w:val="31D059F4"/>
    <w:rsid w:val="332A0BBD"/>
    <w:rsid w:val="3387759D"/>
    <w:rsid w:val="351C5D1D"/>
    <w:rsid w:val="36DF5EE5"/>
    <w:rsid w:val="37C93C55"/>
    <w:rsid w:val="38963AA1"/>
    <w:rsid w:val="39461E7C"/>
    <w:rsid w:val="39A75722"/>
    <w:rsid w:val="3B6E7B6E"/>
    <w:rsid w:val="3C580018"/>
    <w:rsid w:val="3C712CD5"/>
    <w:rsid w:val="3CEC5D53"/>
    <w:rsid w:val="3D99549C"/>
    <w:rsid w:val="3ECE5FDA"/>
    <w:rsid w:val="441C57E9"/>
    <w:rsid w:val="44240E6E"/>
    <w:rsid w:val="44986D47"/>
    <w:rsid w:val="44996141"/>
    <w:rsid w:val="456A5D0D"/>
    <w:rsid w:val="457C0C14"/>
    <w:rsid w:val="45B90BF3"/>
    <w:rsid w:val="460143F1"/>
    <w:rsid w:val="46733175"/>
    <w:rsid w:val="475B18CD"/>
    <w:rsid w:val="4A4F1F05"/>
    <w:rsid w:val="4A933BC2"/>
    <w:rsid w:val="4AB87DE3"/>
    <w:rsid w:val="4B7040C7"/>
    <w:rsid w:val="4C6705AF"/>
    <w:rsid w:val="4CA957E7"/>
    <w:rsid w:val="4D9730D4"/>
    <w:rsid w:val="4E4335D2"/>
    <w:rsid w:val="4ECF4C05"/>
    <w:rsid w:val="574F0649"/>
    <w:rsid w:val="59AF56D7"/>
    <w:rsid w:val="5B2B3FCD"/>
    <w:rsid w:val="5BAE356C"/>
    <w:rsid w:val="5CB07A05"/>
    <w:rsid w:val="5D644189"/>
    <w:rsid w:val="5ED17601"/>
    <w:rsid w:val="612F2391"/>
    <w:rsid w:val="61897173"/>
    <w:rsid w:val="61A9272A"/>
    <w:rsid w:val="63742E27"/>
    <w:rsid w:val="63F21B1B"/>
    <w:rsid w:val="64877C4F"/>
    <w:rsid w:val="65493192"/>
    <w:rsid w:val="666C26EF"/>
    <w:rsid w:val="6B511389"/>
    <w:rsid w:val="6D5763C1"/>
    <w:rsid w:val="6D81148F"/>
    <w:rsid w:val="6D9C3C5F"/>
    <w:rsid w:val="6DAF4413"/>
    <w:rsid w:val="6E8006EE"/>
    <w:rsid w:val="6ECC4D84"/>
    <w:rsid w:val="70BA2DA1"/>
    <w:rsid w:val="71B87B2B"/>
    <w:rsid w:val="729B4F6A"/>
    <w:rsid w:val="72B347AB"/>
    <w:rsid w:val="72EF3FF6"/>
    <w:rsid w:val="733E01F4"/>
    <w:rsid w:val="7424079F"/>
    <w:rsid w:val="74D4598A"/>
    <w:rsid w:val="75A20EFB"/>
    <w:rsid w:val="76FD3FC3"/>
    <w:rsid w:val="7AA5545A"/>
    <w:rsid w:val="7ABE3B1E"/>
    <w:rsid w:val="7BAA5900"/>
    <w:rsid w:val="7D9A3104"/>
    <w:rsid w:val="7DB9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B524BB-E916-4247-9FDD-D437D1132B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868</Words>
  <Characters>4950</Characters>
  <Lines>41</Lines>
  <Paragraphs>11</Paragraphs>
  <TotalTime>94</TotalTime>
  <ScaleCrop>false</ScaleCrop>
  <LinksUpToDate>false</LinksUpToDate>
  <CharactersWithSpaces>5807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2017-05-27T01:36:00Z</cp:lastPrinted>
  <dcterms:modified xsi:type="dcterms:W3CDTF">2024-09-14T07:34:33Z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E01AB4F840594B8E9C6BD4CDA1F7FA18</vt:lpwstr>
  </property>
</Properties>
</file>