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eastAsia="方正小标宋_GBK"/>
          <w:sz w:val="52"/>
        </w:rPr>
        <w:t xml:space="preserve"> </w:t>
      </w:r>
    </w:p>
    <w:p>
      <w:pPr>
        <w:widowControl/>
        <w:jc w:val="center"/>
        <w:rPr>
          <w:rFonts w:hint="eastAsia" w:cs="仿宋_GB2312" w:asciiTheme="majorEastAsia" w:hAnsiTheme="majorEastAsia" w:eastAsiaTheme="majorEastAsia"/>
          <w:b/>
          <w:sz w:val="44"/>
          <w:szCs w:val="44"/>
        </w:rPr>
      </w:pPr>
    </w:p>
    <w:p>
      <w:pPr>
        <w:widowControl/>
        <w:jc w:val="center"/>
        <w:rPr>
          <w:rFonts w:hint="eastAsia"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成安县安全生产监督管理局</w:t>
      </w:r>
    </w:p>
    <w:p>
      <w:pPr>
        <w:widowControl/>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2017年部门预算公开情况说明</w:t>
      </w:r>
    </w:p>
    <w:p>
      <w:pPr>
        <w:widowControl/>
        <w:ind w:firstLine="640" w:firstLineChars="200"/>
        <w:jc w:val="left"/>
        <w:rPr>
          <w:rFonts w:hint="eastAsia" w:ascii="仿宋_GB2312" w:hAnsi="Calibri" w:eastAsia="仿宋_GB2312" w:cs="仿宋_GB2312"/>
          <w:sz w:val="32"/>
          <w:szCs w:val="32"/>
        </w:rPr>
      </w:pPr>
    </w:p>
    <w:p>
      <w:pPr>
        <w:widowControl/>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《中华人民共和国预算法》</w:t>
      </w:r>
      <w:r>
        <w:rPr>
          <w:rFonts w:hint="eastAsia" w:ascii="仿宋_GB2312" w:hAnsi="Calibri" w:eastAsia="仿宋_GB2312" w:cs="仿宋_GB2312"/>
          <w:sz w:val="32"/>
          <w:szCs w:val="32"/>
        </w:rPr>
        <w:t>有关规定和</w:t>
      </w:r>
      <w:r>
        <w:rPr>
          <w:rFonts w:hint="eastAsia" w:ascii="仿宋_GB2312" w:hAnsi="宋体" w:eastAsia="仿宋_GB2312" w:cs="楷体_GB2312"/>
          <w:sz w:val="32"/>
          <w:szCs w:val="32"/>
        </w:rPr>
        <w:t>财政部关于印发《地方预决算公开操作规程》的通知，</w:t>
      </w:r>
      <w:r>
        <w:rPr>
          <w:rFonts w:hint="eastAsia" w:ascii="仿宋_GB2312" w:hAnsi="Calibri" w:eastAsia="仿宋_GB2312" w:cs="仿宋_GB2312"/>
          <w:kern w:val="0"/>
          <w:sz w:val="32"/>
          <w:szCs w:val="32"/>
        </w:rPr>
        <w:t>现将安监局2017年部门预算公开如下：</w:t>
      </w:r>
    </w:p>
    <w:p>
      <w:pPr>
        <w:pStyle w:val="13"/>
        <w:widowControl/>
        <w:spacing w:line="360" w:lineRule="auto"/>
        <w:ind w:firstLine="0"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 xml:space="preserve">   一、部门职责及机构设置情况</w:t>
      </w:r>
    </w:p>
    <w:p>
      <w:pPr>
        <w:widowControl/>
        <w:spacing w:line="360" w:lineRule="auto"/>
        <w:ind w:firstLine="63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部门职责：</w:t>
      </w:r>
    </w:p>
    <w:p>
      <w:pPr>
        <w:widowControl/>
        <w:spacing w:line="360" w:lineRule="auto"/>
        <w:ind w:firstLine="63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（一）综合管理全县安全生产工作；</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（二）分析和预测全县</w:t>
      </w:r>
      <w:r>
        <w:rPr>
          <w:rFonts w:hint="eastAsia" w:ascii="仿宋_GB2312" w:hAnsi="Calibri" w:eastAsia="仿宋_GB2312" w:cs="仿宋_GB2312"/>
          <w:kern w:val="0"/>
          <w:sz w:val="32"/>
          <w:szCs w:val="32"/>
          <w:lang w:eastAsia="zh-CN"/>
        </w:rPr>
        <w:t>安全生产形势</w:t>
      </w:r>
      <w:r>
        <w:rPr>
          <w:rFonts w:hint="eastAsia" w:ascii="仿宋_GB2312" w:hAnsi="Calibri" w:eastAsia="仿宋_GB2312" w:cs="仿宋_GB2312"/>
          <w:kern w:val="0"/>
          <w:sz w:val="32"/>
          <w:szCs w:val="32"/>
        </w:rPr>
        <w:t>；</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（三）拟定全县安全生产工作规划，依法形式安全生产监察管理职权；</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（四）指导、协调和监督有关部门承担的专项安全监察、监督工作。</w:t>
      </w:r>
    </w:p>
    <w:p>
      <w:pPr>
        <w:widowControl/>
        <w:spacing w:line="360" w:lineRule="auto"/>
        <w:ind w:firstLine="800" w:firstLineChars="250"/>
        <w:jc w:val="left"/>
        <w:rPr>
          <w:rFonts w:ascii="华文楷体" w:hAnsi="华文楷体" w:eastAsia="华文楷体" w:cs="Calibri"/>
          <w:b/>
          <w:kern w:val="0"/>
          <w:sz w:val="32"/>
          <w:szCs w:val="32"/>
        </w:rPr>
      </w:pPr>
      <w:r>
        <w:rPr>
          <w:rFonts w:ascii="华文楷体" w:hAnsi="华文楷体" w:eastAsia="华文楷体" w:cs="Calibri"/>
          <w:b/>
          <w:kern w:val="0"/>
          <w:sz w:val="32"/>
          <w:szCs w:val="32"/>
        </w:rPr>
        <w:t>机构</w:t>
      </w:r>
      <w:r>
        <w:rPr>
          <w:rFonts w:hint="eastAsia" w:ascii="华文楷体" w:hAnsi="华文楷体" w:eastAsia="华文楷体" w:cs="Calibri"/>
          <w:b/>
          <w:kern w:val="0"/>
          <w:sz w:val="32"/>
          <w:szCs w:val="32"/>
        </w:rPr>
        <w:t>设置：</w:t>
      </w:r>
    </w:p>
    <w:p>
      <w:pPr>
        <w:widowControl/>
        <w:spacing w:line="360" w:lineRule="auto"/>
        <w:ind w:firstLine="800" w:firstLineChars="250"/>
        <w:jc w:val="center"/>
        <w:rPr>
          <w:rFonts w:ascii="Calibri" w:hAnsi="Calibri" w:eastAsia="仿宋_GB2312" w:cs="Calibri"/>
          <w:b/>
          <w:kern w:val="0"/>
          <w:sz w:val="32"/>
          <w:szCs w:val="32"/>
        </w:rPr>
      </w:pPr>
      <w:r>
        <w:rPr>
          <w:rFonts w:hint="eastAsia" w:ascii="Calibri" w:hAnsi="Calibri" w:eastAsia="仿宋_GB2312" w:cs="Calibri"/>
          <w:b/>
          <w:kern w:val="0"/>
          <w:sz w:val="32"/>
          <w:szCs w:val="32"/>
        </w:rPr>
        <w:t>部门机构设置情况</w:t>
      </w:r>
    </w:p>
    <w:tbl>
      <w:tblPr>
        <w:tblStyle w:val="8"/>
        <w:tblW w:w="101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1859"/>
        <w:gridCol w:w="170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54"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单位名称</w:t>
            </w:r>
          </w:p>
        </w:tc>
        <w:tc>
          <w:tcPr>
            <w:tcW w:w="1859"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单位性质</w:t>
            </w:r>
          </w:p>
        </w:tc>
        <w:tc>
          <w:tcPr>
            <w:tcW w:w="1701"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单位规格</w:t>
            </w:r>
          </w:p>
        </w:tc>
        <w:tc>
          <w:tcPr>
            <w:tcW w:w="2618"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54" w:type="dxa"/>
          </w:tcPr>
          <w:p>
            <w:pPr>
              <w:widowControl/>
              <w:spacing w:line="360" w:lineRule="auto"/>
              <w:jc w:val="center"/>
              <w:rPr>
                <w:rFonts w:ascii="Calibri" w:hAnsi="Calibri" w:eastAsia="仿宋_GB2312" w:cs="Calibri"/>
                <w:b/>
                <w:kern w:val="0"/>
                <w:sz w:val="28"/>
                <w:szCs w:val="28"/>
              </w:rPr>
            </w:pPr>
            <w:r>
              <w:rPr>
                <w:rFonts w:hint="eastAsia" w:ascii="仿宋" w:hAnsi="仿宋" w:eastAsia="仿宋" w:cs="仿宋"/>
                <w:bCs/>
                <w:kern w:val="0"/>
                <w:sz w:val="28"/>
                <w:szCs w:val="28"/>
              </w:rPr>
              <w:t>成安县安全生产监督管理局</w:t>
            </w:r>
          </w:p>
        </w:tc>
        <w:tc>
          <w:tcPr>
            <w:tcW w:w="1859"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直属事业</w:t>
            </w:r>
          </w:p>
        </w:tc>
        <w:tc>
          <w:tcPr>
            <w:tcW w:w="1701"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正科级</w:t>
            </w:r>
          </w:p>
        </w:tc>
        <w:tc>
          <w:tcPr>
            <w:tcW w:w="2618"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财政拨款</w:t>
            </w:r>
          </w:p>
        </w:tc>
      </w:tr>
    </w:tbl>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成安县安全生产监督管理局，预算编码是343002，内设2个内部机构，2个分局，6个安监站。</w:t>
      </w:r>
    </w:p>
    <w:p>
      <w:pPr>
        <w:widowControl/>
        <w:numPr>
          <w:ilvl w:val="0"/>
          <w:numId w:val="1"/>
        </w:numPr>
        <w:spacing w:line="360" w:lineRule="auto"/>
        <w:ind w:left="628"/>
        <w:jc w:val="left"/>
        <w:rPr>
          <w:rFonts w:ascii="仿宋" w:hAnsi="仿宋" w:eastAsia="仿宋" w:cs="仿宋"/>
          <w:bCs/>
          <w:kern w:val="0"/>
          <w:sz w:val="32"/>
          <w:szCs w:val="32"/>
        </w:rPr>
      </w:pPr>
      <w:r>
        <w:rPr>
          <w:rFonts w:hint="eastAsia" w:ascii="仿宋" w:hAnsi="仿宋" w:eastAsia="仿宋" w:cs="仿宋"/>
          <w:bCs/>
          <w:kern w:val="0"/>
          <w:sz w:val="32"/>
          <w:szCs w:val="32"/>
        </w:rPr>
        <w:t>办公室</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xml:space="preserve">     主要负责：协调机关日常工作</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2、综合科室</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主要负责：监督检查工矿商贸企业贯彻只想安全生产法律、法规情况，分析和预测全县</w:t>
      </w:r>
      <w:r>
        <w:rPr>
          <w:rFonts w:hint="eastAsia" w:ascii="仿宋" w:hAnsi="仿宋" w:eastAsia="仿宋" w:cs="仿宋"/>
          <w:bCs/>
          <w:kern w:val="0"/>
          <w:sz w:val="32"/>
          <w:szCs w:val="32"/>
          <w:lang w:eastAsia="zh-CN"/>
        </w:rPr>
        <w:t>安全生产形势</w:t>
      </w:r>
      <w:r>
        <w:rPr>
          <w:rFonts w:hint="eastAsia" w:ascii="仿宋" w:hAnsi="仿宋" w:eastAsia="仿宋" w:cs="仿宋"/>
          <w:bCs/>
          <w:kern w:val="0"/>
          <w:sz w:val="32"/>
          <w:szCs w:val="32"/>
        </w:rPr>
        <w:t>等。</w:t>
      </w:r>
    </w:p>
    <w:p>
      <w:pPr>
        <w:widowControl/>
        <w:numPr>
          <w:ilvl w:val="0"/>
          <w:numId w:val="2"/>
        </w:numPr>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两个分局（经济开发区安全生产监督管理分局和商城工业区安全生产监督管理分局）</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主要职责：宣传贯彻国家安全生产法律、法规、规章、行业标准及安全生产方针政策，负责辖区内安全生产委员会的日常事务。</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4、6个安监站</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主要负责：宣传贯彻国家安全生产法律、法规、规章、行业标准及安全生产方针政策，负责辖区内安全生产委员会的日常事务。</w:t>
      </w:r>
    </w:p>
    <w:p>
      <w:pPr>
        <w:widowControl/>
        <w:spacing w:line="360" w:lineRule="auto"/>
        <w:ind w:firstLine="800" w:firstLineChars="250"/>
        <w:jc w:val="left"/>
        <w:rPr>
          <w:rFonts w:ascii="华文楷体" w:hAnsi="华文楷体" w:eastAsia="华文楷体" w:cs="Calibri"/>
          <w:b/>
          <w:kern w:val="0"/>
          <w:sz w:val="32"/>
          <w:szCs w:val="32"/>
        </w:rPr>
      </w:pPr>
      <w:r>
        <w:rPr>
          <w:rFonts w:hint="eastAsia" w:ascii="华文楷体" w:hAnsi="华文楷体" w:eastAsia="华文楷体" w:cs="Calibri"/>
          <w:b/>
          <w:kern w:val="0"/>
          <w:sz w:val="32"/>
          <w:szCs w:val="32"/>
        </w:rPr>
        <w:t>人员编制和领导职数：</w:t>
      </w:r>
    </w:p>
    <w:p>
      <w:pPr>
        <w:widowControl/>
        <w:spacing w:line="360" w:lineRule="auto"/>
        <w:jc w:val="left"/>
        <w:rPr>
          <w:rFonts w:ascii="仿宋" w:hAnsi="仿宋" w:eastAsia="仿宋" w:cs="仿宋"/>
          <w:bCs/>
          <w:kern w:val="0"/>
          <w:sz w:val="32"/>
          <w:szCs w:val="32"/>
        </w:rPr>
      </w:pPr>
      <w:r>
        <w:rPr>
          <w:rFonts w:hint="eastAsia" w:ascii="Calibri" w:hAnsi="Calibri" w:eastAsia="仿宋_GB2312" w:cs="Calibri"/>
          <w:b/>
          <w:kern w:val="0"/>
          <w:sz w:val="32"/>
          <w:szCs w:val="32"/>
        </w:rPr>
        <w:t xml:space="preserve">     </w:t>
      </w:r>
      <w:r>
        <w:rPr>
          <w:rFonts w:hint="eastAsia" w:ascii="仿宋" w:hAnsi="仿宋" w:eastAsia="仿宋" w:cs="仿宋"/>
          <w:bCs/>
          <w:kern w:val="0"/>
          <w:sz w:val="32"/>
          <w:szCs w:val="32"/>
        </w:rPr>
        <w:t>成安县安全生产监督管理局，人员编制72名，其中领导职数9个。</w:t>
      </w:r>
    </w:p>
    <w:p>
      <w:pPr>
        <w:widowControl/>
        <w:spacing w:line="360" w:lineRule="auto"/>
        <w:ind w:firstLine="977"/>
        <w:jc w:val="left"/>
        <w:rPr>
          <w:rFonts w:ascii="黑体" w:hAnsi="黑体" w:eastAsia="黑体" w:cs="仿宋_GB2312"/>
          <w:bCs/>
          <w:kern w:val="0"/>
          <w:sz w:val="32"/>
          <w:szCs w:val="32"/>
        </w:rPr>
      </w:pPr>
      <w:r>
        <w:rPr>
          <w:rFonts w:hint="eastAsia" w:ascii="黑体" w:hAnsi="黑体" w:eastAsia="黑体" w:cs="仿宋_GB2312"/>
          <w:bCs/>
          <w:kern w:val="0"/>
          <w:sz w:val="32"/>
          <w:szCs w:val="32"/>
        </w:rPr>
        <w:t>二、部门预算安排的总体情况。</w:t>
      </w:r>
    </w:p>
    <w:p>
      <w:pPr>
        <w:ind w:firstLine="977"/>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按照预算管理有关规定，目前我部门预算的编制实行综合预算制度，即全部收入和支出都反映在预算中。</w:t>
      </w:r>
    </w:p>
    <w:p>
      <w:pPr>
        <w:ind w:firstLine="977"/>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1.收入说明</w:t>
      </w:r>
    </w:p>
    <w:p>
      <w:pPr>
        <w:widowControl/>
        <w:spacing w:line="360" w:lineRule="auto"/>
        <w:ind w:firstLine="947" w:firstLineChars="2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2017年部门收入预算总额为170.48万元，其中一般公共预算收 170.48 万元，政府性基金收入 170.48万元，国有资本经营收入0万元，事业收入0万元。</w:t>
      </w:r>
    </w:p>
    <w:p>
      <w:pPr>
        <w:widowControl/>
        <w:spacing w:line="360" w:lineRule="auto"/>
        <w:ind w:firstLine="947" w:firstLineChars="296"/>
        <w:jc w:val="left"/>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2、支出说明</w:t>
      </w:r>
    </w:p>
    <w:p>
      <w:pPr>
        <w:widowControl/>
        <w:spacing w:line="360" w:lineRule="auto"/>
        <w:ind w:firstLine="947" w:firstLineChars="2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部门支出预算总额为170.48万元（其中人员经费152.48万元，项目经费18万元）。2017</w:t>
      </w:r>
      <w:r>
        <w:rPr>
          <w:rFonts w:ascii="仿宋_GB2312" w:hAnsi="Calibri" w:eastAsia="仿宋_GB2312" w:cs="仿宋_GB2312"/>
          <w:kern w:val="0"/>
          <w:sz w:val="32"/>
          <w:szCs w:val="32"/>
        </w:rPr>
        <w:t>年</w:t>
      </w:r>
      <w:r>
        <w:rPr>
          <w:rFonts w:hint="eastAsia" w:ascii="仿宋_GB2312" w:hAnsi="Calibri" w:eastAsia="仿宋_GB2312" w:cs="仿宋_GB2312"/>
          <w:kern w:val="0"/>
          <w:sz w:val="32"/>
          <w:szCs w:val="32"/>
        </w:rPr>
        <w:t>成安县安监局</w:t>
      </w:r>
      <w:r>
        <w:rPr>
          <w:rFonts w:ascii="仿宋_GB2312" w:hAnsi="Calibri" w:eastAsia="仿宋_GB2312" w:cs="仿宋_GB2312"/>
          <w:kern w:val="0"/>
          <w:sz w:val="32"/>
          <w:szCs w:val="32"/>
        </w:rPr>
        <w:t>财政拨款收入</w:t>
      </w:r>
      <w:r>
        <w:rPr>
          <w:rFonts w:hint="eastAsia" w:ascii="仿宋_GB2312" w:hAnsi="Calibri" w:eastAsia="仿宋_GB2312" w:cs="仿宋_GB2312"/>
          <w:kern w:val="0"/>
          <w:sz w:val="32"/>
          <w:szCs w:val="32"/>
        </w:rPr>
        <w:t>156.18</w:t>
      </w:r>
      <w:r>
        <w:rPr>
          <w:rFonts w:ascii="仿宋_GB2312" w:hAnsi="Calibri" w:eastAsia="仿宋_GB2312" w:cs="仿宋_GB2312"/>
          <w:kern w:val="0"/>
          <w:sz w:val="32"/>
          <w:szCs w:val="32"/>
        </w:rPr>
        <w:t>万元，总支出</w:t>
      </w:r>
      <w:r>
        <w:rPr>
          <w:rFonts w:hint="eastAsia" w:ascii="仿宋_GB2312" w:hAnsi="Calibri" w:eastAsia="仿宋_GB2312" w:cs="仿宋_GB2312"/>
          <w:kern w:val="0"/>
          <w:sz w:val="32"/>
          <w:szCs w:val="32"/>
        </w:rPr>
        <w:t>156.18</w:t>
      </w:r>
      <w:r>
        <w:rPr>
          <w:rFonts w:ascii="仿宋_GB2312" w:hAnsi="Calibri" w:eastAsia="仿宋_GB2312" w:cs="仿宋_GB2312"/>
          <w:kern w:val="0"/>
          <w:sz w:val="32"/>
          <w:szCs w:val="32"/>
        </w:rPr>
        <w:t>万元。</w:t>
      </w:r>
    </w:p>
    <w:p>
      <w:pPr>
        <w:widowControl/>
        <w:spacing w:line="360" w:lineRule="auto"/>
        <w:ind w:firstLine="640" w:firstLineChars="200"/>
        <w:jc w:val="left"/>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3、比去年增减变化情况</w:t>
      </w:r>
    </w:p>
    <w:p>
      <w:pPr>
        <w:widowControl/>
        <w:spacing w:line="360" w:lineRule="auto"/>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2017年部门收入预算总额为170.48万元，与去年相比增加了18万元，主要原因增加了项目经费18万元。</w:t>
      </w:r>
    </w:p>
    <w:p>
      <w:pPr>
        <w:widowControl/>
        <w:spacing w:line="360" w:lineRule="auto"/>
        <w:jc w:val="left"/>
        <w:rPr>
          <w:rFonts w:ascii="黑体" w:hAnsi="黑体" w:eastAsia="黑体" w:cs="仿宋_GB2312"/>
          <w:bCs/>
          <w:kern w:val="0"/>
          <w:sz w:val="32"/>
          <w:szCs w:val="32"/>
        </w:rPr>
      </w:pPr>
      <w:r>
        <w:rPr>
          <w:rFonts w:hint="eastAsia" w:ascii="黑体" w:hAnsi="黑体" w:eastAsia="黑体" w:cs="仿宋_GB2312"/>
          <w:bCs/>
          <w:kern w:val="0"/>
          <w:sz w:val="32"/>
          <w:szCs w:val="32"/>
        </w:rPr>
        <w:t>　　三、机关运行经费安排情况</w:t>
      </w:r>
    </w:p>
    <w:p>
      <w:pPr>
        <w:widowControl/>
        <w:spacing w:line="360" w:lineRule="auto"/>
        <w:jc w:val="left"/>
        <w:rPr>
          <w:rFonts w:ascii="Calibri" w:hAnsi="Calibri" w:eastAsia="仿宋_GB2312" w:cs="Calibri"/>
          <w:kern w:val="0"/>
          <w:sz w:val="32"/>
          <w:szCs w:val="32"/>
        </w:rPr>
      </w:pPr>
      <w:r>
        <w:rPr>
          <w:rFonts w:hint="eastAsia" w:ascii="仿宋_GB2312" w:hAnsi="Calibri" w:eastAsia="仿宋_GB2312" w:cs="仿宋_GB2312"/>
          <w:kern w:val="0"/>
          <w:sz w:val="32"/>
          <w:szCs w:val="32"/>
        </w:rPr>
        <w:t>　　日常公用经费安排20.5万元，包括：办公费、差旅费、水费、电费、会议费、招待费、转移支付，其他支出等。</w:t>
      </w:r>
      <w:r>
        <w:rPr>
          <w:rFonts w:ascii="Calibri" w:hAnsi="Calibri" w:eastAsia="仿宋_GB2312" w:cs="Calibri"/>
          <w:kern w:val="0"/>
          <w:sz w:val="32"/>
          <w:szCs w:val="32"/>
        </w:rPr>
        <w:t>人员经费支出</w:t>
      </w:r>
      <w:r>
        <w:rPr>
          <w:rFonts w:hint="eastAsia" w:ascii="Calibri" w:hAnsi="Calibri" w:eastAsia="仿宋_GB2312" w:cs="Calibri"/>
          <w:kern w:val="0"/>
          <w:sz w:val="32"/>
          <w:szCs w:val="32"/>
        </w:rPr>
        <w:t>152.48</w:t>
      </w:r>
      <w:r>
        <w:rPr>
          <w:rFonts w:ascii="Calibri" w:hAnsi="Calibri" w:eastAsia="仿宋_GB2312" w:cs="Calibri"/>
          <w:kern w:val="0"/>
          <w:sz w:val="32"/>
          <w:szCs w:val="32"/>
        </w:rPr>
        <w:t>万元</w:t>
      </w:r>
      <w:r>
        <w:rPr>
          <w:rFonts w:hint="eastAsia" w:ascii="Calibri" w:hAnsi="Calibri" w:eastAsia="仿宋_GB2312" w:cs="Calibri"/>
          <w:kern w:val="0"/>
          <w:sz w:val="32"/>
          <w:szCs w:val="32"/>
        </w:rPr>
        <w:t>，</w:t>
      </w:r>
      <w:r>
        <w:rPr>
          <w:rFonts w:ascii="Calibri" w:hAnsi="Calibri" w:eastAsia="仿宋_GB2312" w:cs="Calibri"/>
          <w:kern w:val="0"/>
          <w:sz w:val="32"/>
          <w:szCs w:val="32"/>
        </w:rPr>
        <w:t>同比去年增长</w:t>
      </w:r>
      <w:r>
        <w:rPr>
          <w:rFonts w:hint="eastAsia" w:ascii="Calibri" w:hAnsi="Calibri" w:eastAsia="仿宋_GB2312" w:cs="Calibri"/>
          <w:kern w:val="0"/>
          <w:sz w:val="32"/>
          <w:szCs w:val="32"/>
        </w:rPr>
        <w:t>15</w:t>
      </w:r>
      <w:r>
        <w:rPr>
          <w:rFonts w:ascii="Calibri" w:hAnsi="Calibri" w:eastAsia="仿宋_GB2312" w:cs="Calibri"/>
          <w:kern w:val="0"/>
          <w:sz w:val="32"/>
          <w:szCs w:val="32"/>
        </w:rPr>
        <w:t>%。增长原因是201</w:t>
      </w:r>
      <w:r>
        <w:rPr>
          <w:rFonts w:hint="eastAsia" w:ascii="Calibri" w:hAnsi="Calibri" w:eastAsia="仿宋_GB2312" w:cs="Calibri"/>
          <w:kern w:val="0"/>
          <w:sz w:val="32"/>
          <w:szCs w:val="32"/>
        </w:rPr>
        <w:t>6</w:t>
      </w:r>
      <w:r>
        <w:rPr>
          <w:rFonts w:ascii="Calibri" w:hAnsi="Calibri" w:eastAsia="仿宋_GB2312" w:cs="Calibri"/>
          <w:kern w:val="0"/>
          <w:sz w:val="32"/>
          <w:szCs w:val="32"/>
        </w:rPr>
        <w:t>年机关事业单位统一调高了工资标准。其中，工资福利支出</w:t>
      </w:r>
      <w:r>
        <w:rPr>
          <w:rFonts w:hint="eastAsia" w:ascii="Calibri" w:hAnsi="Calibri" w:eastAsia="仿宋_GB2312" w:cs="Calibri"/>
          <w:kern w:val="0"/>
          <w:sz w:val="32"/>
          <w:szCs w:val="32"/>
        </w:rPr>
        <w:t>139.78</w:t>
      </w:r>
      <w:r>
        <w:rPr>
          <w:rFonts w:ascii="Calibri" w:hAnsi="Calibri" w:eastAsia="仿宋_GB2312" w:cs="Calibri"/>
          <w:kern w:val="0"/>
          <w:sz w:val="32"/>
          <w:szCs w:val="32"/>
        </w:rPr>
        <w:t>万元，对个人和家庭的补助支出</w:t>
      </w:r>
      <w:r>
        <w:rPr>
          <w:rFonts w:hint="eastAsia" w:ascii="Calibri" w:hAnsi="Calibri" w:eastAsia="仿宋_GB2312" w:cs="Calibri"/>
          <w:kern w:val="0"/>
          <w:sz w:val="32"/>
          <w:szCs w:val="32"/>
        </w:rPr>
        <w:t>7.7</w:t>
      </w:r>
      <w:r>
        <w:rPr>
          <w:rFonts w:ascii="Calibri" w:hAnsi="Calibri" w:eastAsia="仿宋_GB2312" w:cs="Calibri"/>
          <w:kern w:val="0"/>
          <w:sz w:val="32"/>
          <w:szCs w:val="32"/>
        </w:rPr>
        <w:t>万元。</w:t>
      </w:r>
    </w:p>
    <w:p>
      <w:pPr>
        <w:pStyle w:val="12"/>
        <w:widowControl/>
        <w:numPr>
          <w:ilvl w:val="0"/>
          <w:numId w:val="3"/>
        </w:numPr>
        <w:spacing w:line="360" w:lineRule="auto"/>
        <w:ind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财政拨款“三公”经费预算情况及增减变化原因</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2017年度“三公”预算支出20.5万元，其中，因公出国（境）费0元，安排公务用车维护费20元，（其中公务用车购置费0元，公务用车运行维护费20万元），公务接等费0.5万元，2017年“三公”经费预算减少了12%。由于2016年公车拍卖，2017年实行车补，油修费用预算</w:t>
      </w:r>
      <w:bookmarkStart w:id="3" w:name="_GoBack"/>
      <w:bookmarkEnd w:id="3"/>
      <w:r>
        <w:rPr>
          <w:rFonts w:hint="eastAsia" w:ascii="仿宋_GB2312" w:hAnsi="Calibri" w:eastAsia="仿宋_GB2312" w:cs="仿宋_GB2312"/>
          <w:kern w:val="0"/>
          <w:sz w:val="32"/>
          <w:szCs w:val="32"/>
          <w:lang w:eastAsia="zh-CN"/>
        </w:rPr>
        <w:t>安排</w:t>
      </w:r>
      <w:r>
        <w:rPr>
          <w:rFonts w:hint="eastAsia" w:ascii="仿宋_GB2312" w:hAnsi="Calibri" w:eastAsia="仿宋_GB2312" w:cs="仿宋_GB2312"/>
          <w:kern w:val="0"/>
          <w:sz w:val="32"/>
          <w:szCs w:val="32"/>
        </w:rPr>
        <w:t>减少。</w:t>
      </w:r>
    </w:p>
    <w:p>
      <w:pPr>
        <w:pStyle w:val="13"/>
        <w:widowControl/>
        <w:numPr>
          <w:ilvl w:val="0"/>
          <w:numId w:val="3"/>
        </w:numPr>
        <w:spacing w:line="360" w:lineRule="auto"/>
        <w:ind w:firstLineChars="0"/>
        <w:jc w:val="left"/>
        <w:rPr>
          <w:rFonts w:ascii="黑体" w:hAnsi="黑体" w:eastAsia="黑体" w:cs="Calibri"/>
          <w:kern w:val="0"/>
          <w:sz w:val="32"/>
          <w:szCs w:val="32"/>
        </w:rPr>
      </w:pPr>
      <w:r>
        <w:rPr>
          <w:rFonts w:hint="eastAsia" w:ascii="黑体" w:hAnsi="黑体" w:eastAsia="黑体" w:cs="Calibri"/>
          <w:kern w:val="0"/>
          <w:sz w:val="32"/>
          <w:szCs w:val="32"/>
        </w:rPr>
        <w:t>绩效预算情况</w:t>
      </w:r>
    </w:p>
    <w:p>
      <w:pPr>
        <w:widowControl/>
        <w:spacing w:line="360" w:lineRule="auto"/>
        <w:ind w:left="420" w:leftChars="200" w:firstLine="480" w:firstLineChars="150"/>
        <w:jc w:val="left"/>
        <w:rPr>
          <w:rFonts w:ascii="仿宋_GB2312" w:hAnsi="Calibri" w:eastAsia="仿宋_GB2312" w:cs="仿宋_GB2312"/>
          <w:kern w:val="0"/>
          <w:sz w:val="32"/>
          <w:szCs w:val="32"/>
        </w:rPr>
      </w:pPr>
      <w:r>
        <w:rPr>
          <w:rFonts w:hint="eastAsia" w:ascii="Calibri" w:hAnsi="Calibri" w:eastAsia="仿宋_GB2312" w:cs="Calibri"/>
          <w:b/>
          <w:kern w:val="0"/>
          <w:sz w:val="32"/>
          <w:szCs w:val="32"/>
        </w:rPr>
        <w:t>总体绩效目标：</w:t>
      </w:r>
      <w:r>
        <w:rPr>
          <w:rFonts w:hint="eastAsia" w:ascii="仿宋_GB2312" w:hAnsi="Calibri" w:eastAsia="仿宋_GB2312" w:cs="仿宋_GB2312"/>
          <w:kern w:val="0"/>
          <w:sz w:val="32"/>
          <w:szCs w:val="32"/>
        </w:rPr>
        <w:t>承担全县安全生产综合监督管理责任，依法行使综合监督管理职权；根据</w:t>
      </w:r>
      <w:r>
        <w:rPr>
          <w:rFonts w:hint="eastAsia" w:ascii="仿宋_GB2312" w:hAnsi="Calibri" w:eastAsia="仿宋_GB2312" w:cs="仿宋_GB2312"/>
          <w:kern w:val="0"/>
          <w:sz w:val="32"/>
          <w:szCs w:val="32"/>
          <w:lang w:eastAsia="zh-CN"/>
        </w:rPr>
        <w:t>《中华人民共和国安全生产法》</w:t>
      </w:r>
      <w:r>
        <w:rPr>
          <w:rFonts w:hint="eastAsia" w:ascii="仿宋_GB2312" w:hAnsi="Calibri" w:eastAsia="仿宋_GB2312" w:cs="仿宋_GB2312"/>
          <w:kern w:val="0"/>
          <w:sz w:val="32"/>
          <w:szCs w:val="32"/>
        </w:rPr>
        <w:t>、《安全生产违法行为行政处罚办法》等法律法规，依法开展执法检查工作，对发现的安全生产违法行为依法进行行政处罚，遏制重特大事故发生，确保全县安全生产形势稳定好转。</w:t>
      </w:r>
    </w:p>
    <w:p>
      <w:pPr>
        <w:widowControl/>
        <w:spacing w:line="360" w:lineRule="auto"/>
        <w:jc w:val="left"/>
        <w:rPr>
          <w:rFonts w:ascii="Calibri" w:hAnsi="Calibri" w:eastAsia="仿宋_GB2312" w:cs="Calibri"/>
          <w:b/>
          <w:kern w:val="0"/>
          <w:sz w:val="32"/>
          <w:szCs w:val="32"/>
        </w:rPr>
      </w:pPr>
    </w:p>
    <w:p>
      <w:pPr>
        <w:widowControl/>
        <w:spacing w:line="360" w:lineRule="auto"/>
        <w:jc w:val="left"/>
        <w:rPr>
          <w:rFonts w:ascii="Calibri" w:hAnsi="Calibri" w:eastAsia="仿宋_GB2312" w:cs="Calibri"/>
          <w:b/>
          <w:kern w:val="0"/>
          <w:sz w:val="32"/>
          <w:szCs w:val="32"/>
        </w:rPr>
      </w:pPr>
    </w:p>
    <w:p>
      <w:pPr>
        <w:widowControl/>
        <w:spacing w:line="360" w:lineRule="auto"/>
        <w:jc w:val="left"/>
        <w:rPr>
          <w:rFonts w:ascii="Calibri" w:hAnsi="Calibri" w:eastAsia="仿宋_GB2312" w:cs="Calibri"/>
          <w:b/>
          <w:kern w:val="0"/>
          <w:sz w:val="32"/>
          <w:szCs w:val="32"/>
        </w:rPr>
        <w:sectPr>
          <w:pgSz w:w="11907" w:h="16839"/>
          <w:pgMar w:top="1020" w:right="1134" w:bottom="1020" w:left="1134" w:header="851" w:footer="992" w:gutter="0"/>
          <w:cols w:space="425" w:num="1"/>
          <w:docGrid w:type="linesAndChars" w:linePitch="312" w:charSpace="0"/>
        </w:sectPr>
      </w:pPr>
    </w:p>
    <w:p>
      <w:pPr>
        <w:jc w:val="center"/>
        <w:outlineLvl w:val="0"/>
        <w:rPr>
          <w:rFonts w:ascii="方正小标宋_GBK" w:eastAsia="方正小标宋_GBK"/>
          <w:sz w:val="32"/>
        </w:rPr>
      </w:pPr>
      <w:bookmarkStart w:id="0" w:name="_Toc482003504"/>
      <w:r>
        <w:rPr>
          <w:rFonts w:hint="eastAsia" w:ascii="方正小标宋_GBK" w:eastAsia="方正小标宋_GBK"/>
          <w:sz w:val="32"/>
        </w:rPr>
        <w:t>部门职责-工作活动绩效目标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343</w:t>
            </w:r>
            <w:r>
              <w:rPr>
                <w:rFonts w:hint="eastAsia" w:ascii="方正小标宋_GBK" w:eastAsia="方正小标宋_GBK"/>
                <w:sz w:val="24"/>
              </w:rPr>
              <w:t>成安县安全生产监督管理局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组织全县安全生产综合监督管理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承担全县安全生产综合监督管理责任，依法行使综合监督管理职权；根据</w:t>
            </w:r>
            <w:r>
              <w:rPr>
                <w:rFonts w:hint="eastAsia" w:ascii="方正书宋_GBK" w:eastAsia="方正书宋_GBK"/>
                <w:lang w:eastAsia="zh-CN"/>
              </w:rPr>
              <w:t>《中华人民共和国安全生产法》</w:t>
            </w:r>
            <w:r>
              <w:rPr>
                <w:rFonts w:hint="eastAsia" w:ascii="方正书宋_GBK" w:eastAsia="方正书宋_GBK"/>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定期组织在全县开展安全生产督导检查活动，对重点行业和作业场所职业卫生安全生产加强行政执法监察，依法对违法行为实施行政处罚；不断加强安全生产监管能力建设，改善执法检测、监察检查等能力。</w:t>
            </w:r>
          </w:p>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w:t>
            </w:r>
          </w:p>
          <w:p>
            <w:pPr>
              <w:spacing w:line="300" w:lineRule="exact"/>
              <w:jc w:val="left"/>
              <w:rPr>
                <w:rFonts w:ascii="方正书宋_GBK" w:eastAsia="方正书宋_GBK"/>
              </w:rPr>
            </w:pPr>
            <w:r>
              <w:rPr>
                <w:rFonts w:hint="eastAsia" w:ascii="方正书宋_GBK" w:eastAsia="方正书宋_GBK"/>
              </w:rPr>
              <w:t>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pPr>
              <w:spacing w:line="300" w:lineRule="exact"/>
              <w:jc w:val="left"/>
              <w:rPr>
                <w:rFonts w:ascii="方正书宋_GBK" w:eastAsia="方正书宋_GBK"/>
              </w:rPr>
            </w:pPr>
            <w:r>
              <w:rPr>
                <w:rFonts w:hint="eastAsia" w:ascii="方正书宋_GBK" w:eastAsia="方正书宋_GBK"/>
              </w:rPr>
              <w:t>组织制订全县各行业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加强安全生产执法监察检查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通过督导检查全县安全生产，最大限度地发现、纠正、督促企业消除各类隐患，预防和减少事故的发生，确保全县安全生产形势持续稳定好转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构建和完善安全生产监管体系</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基本建成全县安全生产隐患排查治理体系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诚信等级评定覆盖率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信息平台功能实现率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目标考核次数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安全生产标准化达标率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专项抽查覆盖率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59</w:t>
            </w:r>
          </w:p>
        </w:tc>
      </w:tr>
    </w:tbl>
    <w:p>
      <w:pPr>
        <w:spacing w:line="300" w:lineRule="exact"/>
        <w:jc w:val="left"/>
        <w:outlineLvl w:val="0"/>
        <w:sectPr>
          <w:pgSz w:w="16839" w:h="11907" w:orient="landscape"/>
          <w:pgMar w:top="1020" w:right="1361" w:bottom="1020" w:left="1361" w:header="851" w:footer="992" w:gutter="0"/>
          <w:cols w:space="425" w:num="1"/>
          <w:docGrid w:type="linesAndChars" w:linePitch="312" w:charSpace="0"/>
        </w:sectPr>
      </w:pPr>
    </w:p>
    <w:p>
      <w:pPr>
        <w:widowControl/>
        <w:snapToGrid w:val="0"/>
        <w:spacing w:line="560" w:lineRule="exact"/>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widowControl/>
        <w:snapToGrid w:val="0"/>
        <w:spacing w:line="560" w:lineRule="exact"/>
        <w:jc w:val="left"/>
        <w:rPr>
          <w:rFonts w:ascii="仿宋_GB2312" w:hAnsi="Calibri" w:eastAsia="仿宋_GB2312" w:cs="仿宋_GB2312"/>
          <w:kern w:val="0"/>
          <w:sz w:val="32"/>
          <w:szCs w:val="32"/>
        </w:rPr>
      </w:pPr>
      <w:r>
        <w:rPr>
          <w:rFonts w:hint="eastAsia" w:ascii="Calibri" w:hAnsi="Calibri" w:eastAsia="仿宋_GB2312" w:cs="Calibri"/>
          <w:b/>
          <w:kern w:val="0"/>
          <w:sz w:val="32"/>
          <w:szCs w:val="32"/>
        </w:rPr>
        <w:t xml:space="preserve">   </w:t>
      </w: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微软雅黑" w:hAnsi="微软雅黑" w:eastAsia="微软雅黑" w:cs="微软雅黑"/>
          <w:kern w:val="0"/>
          <w:sz w:val="24"/>
          <w:szCs w:val="24"/>
        </w:rPr>
        <w:t xml:space="preserve"> </w:t>
      </w:r>
      <w:r>
        <w:rPr>
          <w:rFonts w:ascii="仿宋_GB2312" w:hAnsi="微软雅黑" w:eastAsia="仿宋_GB2312" w:cs="仿宋_GB2312"/>
          <w:kern w:val="0"/>
          <w:sz w:val="32"/>
          <w:szCs w:val="32"/>
        </w:rPr>
        <w:t>按照政府采购相关法律法规要求，结合我局实际，201</w:t>
      </w:r>
      <w:r>
        <w:rPr>
          <w:rFonts w:hint="eastAsia" w:ascii="仿宋_GB2312" w:hAnsi="微软雅黑" w:eastAsia="仿宋_GB2312" w:cs="仿宋_GB2312"/>
          <w:kern w:val="0"/>
          <w:sz w:val="32"/>
          <w:szCs w:val="32"/>
        </w:rPr>
        <w:t>7</w:t>
      </w:r>
      <w:r>
        <w:rPr>
          <w:rFonts w:ascii="仿宋_GB2312" w:hAnsi="微软雅黑" w:eastAsia="仿宋_GB2312" w:cs="仿宋_GB2312"/>
          <w:kern w:val="0"/>
          <w:sz w:val="32"/>
          <w:szCs w:val="32"/>
        </w:rPr>
        <w:t>年我局政府采购事项为</w:t>
      </w:r>
      <w:r>
        <w:rPr>
          <w:rFonts w:hint="eastAsia" w:ascii="仿宋_GB2312" w:hAnsi="微软雅黑" w:eastAsia="仿宋_GB2312" w:cs="仿宋_GB2312"/>
          <w:kern w:val="0"/>
          <w:sz w:val="32"/>
          <w:szCs w:val="32"/>
        </w:rPr>
        <w:t>10万元。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，其中：打印机10台，每台2000元，合计：2万元；电脑6台，每台3500，合计：2.1万元；办公桌椅20套，每套950元，合计：1.9万元。其他4万元，其中：文件柜40个，每个1000元，合计：4万元。具体内容见下表。</w:t>
      </w:r>
    </w:p>
    <w:p>
      <w:pPr>
        <w:jc w:val="center"/>
        <w:outlineLvl w:val="0"/>
        <w:rPr>
          <w:rFonts w:ascii="方正小标宋_GBK" w:eastAsia="方正小标宋_GBK"/>
          <w:sz w:val="32"/>
        </w:rPr>
      </w:pPr>
      <w:bookmarkStart w:id="1" w:name="_Toc477338848"/>
      <w:bookmarkStart w:id="2" w:name="_Toc471398468"/>
      <w:r>
        <w:rPr>
          <w:rFonts w:hint="eastAsia" w:ascii="方正小标宋_GBK" w:eastAsia="方正小标宋_GBK"/>
          <w:sz w:val="32"/>
        </w:rPr>
        <w:t>部门政府采购预算</w:t>
      </w:r>
      <w:bookmarkEnd w:id="1"/>
    </w:p>
    <w:tbl>
      <w:tblPr>
        <w:tblStyle w:val="7"/>
        <w:tblW w:w="127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709"/>
        <w:gridCol w:w="1276"/>
        <w:gridCol w:w="1275"/>
        <w:gridCol w:w="567"/>
        <w:gridCol w:w="709"/>
        <w:gridCol w:w="992"/>
        <w:gridCol w:w="993"/>
        <w:gridCol w:w="850"/>
        <w:gridCol w:w="992"/>
        <w:gridCol w:w="709"/>
        <w:gridCol w:w="683"/>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82"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w:t>
            </w:r>
            <w:r>
              <w:rPr>
                <w:rFonts w:hint="eastAsia" w:ascii="方正小标宋_GBK" w:eastAsia="方正小标宋_GBK"/>
                <w:sz w:val="24"/>
              </w:rPr>
              <w:t>43成安县安全生产监督管理局</w:t>
            </w:r>
          </w:p>
        </w:tc>
        <w:tc>
          <w:tcPr>
            <w:tcW w:w="5645"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6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7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645"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76"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99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3943"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554"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993" w:type="dxa"/>
            <w:vMerge w:val="continue"/>
            <w:vAlign w:val="center"/>
          </w:tcPr>
          <w:p>
            <w:pPr>
              <w:spacing w:line="300" w:lineRule="exact"/>
              <w:jc w:val="left"/>
              <w:outlineLvl w:val="0"/>
            </w:pP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83"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70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center"/>
              <w:rPr>
                <w:rFonts w:ascii="方正书宋_GBK" w:eastAsia="方正书宋_GBK"/>
                <w:b/>
              </w:rPr>
            </w:pPr>
          </w:p>
        </w:tc>
        <w:tc>
          <w:tcPr>
            <w:tcW w:w="709"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1276" w:type="dxa"/>
            <w:vAlign w:val="center"/>
          </w:tcPr>
          <w:p>
            <w:pPr>
              <w:spacing w:line="300" w:lineRule="exact"/>
              <w:jc w:val="left"/>
              <w:rPr>
                <w:rFonts w:ascii="方正书宋_GBK" w:eastAsia="方正书宋_GBK"/>
                <w:b/>
              </w:rPr>
            </w:pPr>
          </w:p>
        </w:tc>
        <w:tc>
          <w:tcPr>
            <w:tcW w:w="1275" w:type="dxa"/>
            <w:vAlign w:val="center"/>
          </w:tcPr>
          <w:p>
            <w:pPr>
              <w:spacing w:line="300" w:lineRule="exact"/>
              <w:jc w:val="left"/>
              <w:rPr>
                <w:rFonts w:ascii="方正书宋_GBK" w:eastAsia="方正书宋_GBK"/>
                <w:b/>
              </w:rPr>
            </w:pPr>
          </w:p>
        </w:tc>
        <w:tc>
          <w:tcPr>
            <w:tcW w:w="567" w:type="dxa"/>
            <w:vAlign w:val="center"/>
          </w:tcPr>
          <w:p>
            <w:pPr>
              <w:spacing w:line="300" w:lineRule="exact"/>
              <w:jc w:val="lef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3"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850"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992"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709" w:type="dxa"/>
            <w:vAlign w:val="center"/>
          </w:tcPr>
          <w:p>
            <w:pPr>
              <w:spacing w:line="300" w:lineRule="exact"/>
              <w:jc w:val="right"/>
              <w:rPr>
                <w:rFonts w:ascii="方正书宋_GBK" w:eastAsia="方正书宋_GBK"/>
                <w:b/>
              </w:rPr>
            </w:pPr>
          </w:p>
        </w:tc>
        <w:tc>
          <w:tcPr>
            <w:tcW w:w="683"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w:t>
            </w:r>
            <w:r>
              <w:rPr>
                <w:rFonts w:ascii="方正书宋_GBK" w:eastAsia="方正书宋_GBK"/>
              </w:rPr>
              <w:t>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275" w:type="dxa"/>
            <w:vAlign w:val="center"/>
          </w:tcPr>
          <w:p>
            <w:pPr>
              <w:spacing w:line="300" w:lineRule="exact"/>
              <w:jc w:val="left"/>
              <w:rPr>
                <w:rFonts w:ascii="方正书宋_GBK" w:eastAsia="方正书宋_GBK"/>
              </w:rPr>
            </w:pPr>
            <w:r>
              <w:rPr>
                <w:rFonts w:ascii="方正书宋_GBK" w:eastAsia="方正书宋_GBK"/>
              </w:rPr>
              <w:t>A020101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6</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0.35</w:t>
            </w:r>
          </w:p>
        </w:tc>
        <w:tc>
          <w:tcPr>
            <w:tcW w:w="993"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1.90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办公桌椅</w:t>
            </w:r>
          </w:p>
        </w:tc>
        <w:tc>
          <w:tcPr>
            <w:tcW w:w="1275" w:type="dxa"/>
            <w:vAlign w:val="center"/>
          </w:tcPr>
          <w:p>
            <w:pPr>
              <w:spacing w:line="300" w:lineRule="exact"/>
              <w:jc w:val="left"/>
              <w:rPr>
                <w:rFonts w:ascii="方正书宋_GBK" w:eastAsia="方正书宋_GBK"/>
              </w:rPr>
            </w:pPr>
          </w:p>
        </w:tc>
        <w:tc>
          <w:tcPr>
            <w:tcW w:w="567" w:type="dxa"/>
            <w:vAlign w:val="center"/>
          </w:tcPr>
          <w:p>
            <w:pPr>
              <w:spacing w:line="300" w:lineRule="exact"/>
              <w:jc w:val="left"/>
              <w:rPr>
                <w:rFonts w:ascii="方正书宋_GBK" w:eastAsia="方正书宋_GBK"/>
              </w:rPr>
            </w:pP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0.01</w:t>
            </w:r>
          </w:p>
        </w:tc>
        <w:tc>
          <w:tcPr>
            <w:tcW w:w="993" w:type="dxa"/>
            <w:vAlign w:val="center"/>
          </w:tcPr>
          <w:p>
            <w:pPr>
              <w:spacing w:line="300" w:lineRule="exact"/>
              <w:jc w:val="right"/>
              <w:rPr>
                <w:rFonts w:ascii="方正书宋_GBK" w:eastAsia="方正书宋_GBK"/>
              </w:rPr>
            </w:pPr>
            <w:r>
              <w:rPr>
                <w:rFonts w:ascii="方正书宋_GBK" w:eastAsia="方正书宋_GBK"/>
              </w:rPr>
              <w:t>2.00</w:t>
            </w:r>
          </w:p>
        </w:tc>
        <w:tc>
          <w:tcPr>
            <w:tcW w:w="850"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275" w:type="dxa"/>
            <w:vAlign w:val="center"/>
          </w:tcPr>
          <w:p>
            <w:pPr>
              <w:spacing w:line="300" w:lineRule="exact"/>
              <w:jc w:val="left"/>
              <w:rPr>
                <w:rFonts w:ascii="方正书宋_GBK" w:eastAsia="方正书宋_GBK"/>
              </w:rPr>
            </w:pPr>
            <w:r>
              <w:rPr>
                <w:rFonts w:ascii="方正书宋_GBK" w:eastAsia="方正书宋_GBK"/>
              </w:rPr>
              <w:t>A02010601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10</w:t>
            </w:r>
          </w:p>
        </w:tc>
        <w:tc>
          <w:tcPr>
            <w:tcW w:w="992" w:type="dxa"/>
            <w:vAlign w:val="center"/>
          </w:tcPr>
          <w:p>
            <w:pPr>
              <w:spacing w:line="300" w:lineRule="exact"/>
              <w:jc w:val="right"/>
              <w:rPr>
                <w:rFonts w:ascii="方正书宋_GBK" w:eastAsia="方正书宋_GBK"/>
              </w:rPr>
            </w:pPr>
            <w:r>
              <w:rPr>
                <w:rFonts w:ascii="方正书宋_GBK" w:eastAsia="方正书宋_GBK"/>
              </w:rPr>
              <w:t>0.2</w:t>
            </w:r>
          </w:p>
        </w:tc>
        <w:tc>
          <w:tcPr>
            <w:tcW w:w="993"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文件柜</w:t>
            </w:r>
          </w:p>
        </w:tc>
        <w:tc>
          <w:tcPr>
            <w:tcW w:w="1275" w:type="dxa"/>
            <w:vAlign w:val="center"/>
          </w:tcPr>
          <w:p>
            <w:pPr>
              <w:spacing w:line="300" w:lineRule="exact"/>
              <w:jc w:val="left"/>
              <w:rPr>
                <w:rFonts w:ascii="方正书宋_GBK" w:eastAsia="方正书宋_GBK"/>
              </w:rPr>
            </w:pPr>
            <w:r>
              <w:rPr>
                <w:rFonts w:ascii="方正书宋_GBK" w:eastAsia="方正书宋_GBK"/>
              </w:rPr>
              <w:t>A020204</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40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0.10</w:t>
            </w:r>
          </w:p>
        </w:tc>
        <w:tc>
          <w:tcPr>
            <w:tcW w:w="993"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bookmarkEnd w:id="2"/>
    </w:tbl>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ascii="仿宋" w:hAnsi="仿宋" w:eastAsia="仿宋"/>
          <w:sz w:val="32"/>
          <w:szCs w:val="32"/>
        </w:rPr>
      </w:pPr>
      <w:r>
        <w:rPr>
          <w:rFonts w:hint="eastAsia" w:ascii="仿宋" w:hAnsi="仿宋" w:eastAsia="仿宋"/>
          <w:sz w:val="32"/>
          <w:szCs w:val="32"/>
        </w:rPr>
        <w:t>成安县安全生产监督管理局</w:t>
      </w:r>
      <w:r>
        <w:rPr>
          <w:rFonts w:ascii="仿宋_GB2312" w:hAnsi="宋体" w:eastAsia="仿宋_GB2312" w:cs="宋体"/>
          <w:color w:val="333333"/>
          <w:kern w:val="0"/>
          <w:sz w:val="32"/>
          <w:szCs w:val="32"/>
        </w:rPr>
        <w:t>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36.5</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其中：车辆价值25万元，其它资产办公用电脑、办公家具、专用设备等价值11.5万元。2017年我单位拟购置10万元。</w:t>
      </w:r>
      <w:r>
        <w:rPr>
          <w:rFonts w:hint="eastAsia" w:ascii="仿宋" w:hAnsi="仿宋" w:eastAsia="仿宋"/>
          <w:sz w:val="32"/>
          <w:szCs w:val="32"/>
        </w:rPr>
        <w:t>主要为计算机设备、打印设备、办公桌椅等，已列入政府采购预算。详见下表。</w:t>
      </w:r>
    </w:p>
    <w:tbl>
      <w:tblPr>
        <w:tblStyle w:val="7"/>
        <w:tblW w:w="15013" w:type="dxa"/>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编制部门：</w:t>
            </w:r>
            <w:r>
              <w:rPr>
                <w:rFonts w:hint="eastAsia" w:ascii="仿宋_GB2312" w:eastAsia="仿宋_GB2312"/>
                <w:sz w:val="32"/>
                <w:szCs w:val="32"/>
              </w:rPr>
              <w:t>成安县安全生产监督管理局</w:t>
            </w:r>
          </w:p>
        </w:tc>
        <w:tc>
          <w:tcPr>
            <w:tcW w:w="6738" w:type="dxa"/>
            <w:tcBorders>
              <w:top w:val="nil"/>
              <w:left w:val="nil"/>
              <w:bottom w:val="nil"/>
              <w:right w:val="nil"/>
            </w:tcBorders>
            <w:vAlign w:val="center"/>
          </w:tcPr>
          <w:p>
            <w:pPr>
              <w:widowControl/>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2016</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r>
              <w:rPr>
                <w:rFonts w:ascii="仿宋" w:hAnsi="仿宋" w:eastAsia="仿宋" w:cs="宋体"/>
                <w:kern w:val="0"/>
                <w:sz w:val="32"/>
                <w:szCs w:val="32"/>
              </w:rPr>
              <w:t xml:space="preserve">  </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项</w:t>
            </w:r>
            <w:r>
              <w:rPr>
                <w:rFonts w:ascii="仿宋" w:hAnsi="仿宋" w:eastAsia="仿宋" w:cs="宋体"/>
                <w:bCs/>
                <w:kern w:val="0"/>
                <w:sz w:val="32"/>
                <w:szCs w:val="32"/>
              </w:rPr>
              <w:t xml:space="preserve">   </w:t>
            </w:r>
            <w:r>
              <w:rPr>
                <w:rFonts w:hint="eastAsia" w:ascii="仿宋" w:hAnsi="仿宋" w:eastAsia="仿宋" w:cs="宋体"/>
                <w:bCs/>
                <w:kern w:val="0"/>
                <w:sz w:val="32"/>
                <w:szCs w:val="32"/>
              </w:rPr>
              <w:t>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数量</w:t>
            </w:r>
          </w:p>
        </w:tc>
        <w:tc>
          <w:tcPr>
            <w:tcW w:w="67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资产总额</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36.5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其中：办公用房（平方米）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2</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25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526</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11.5</w:t>
            </w:r>
          </w:p>
        </w:tc>
      </w:tr>
    </w:tbl>
    <w:p>
      <w:pPr>
        <w:spacing w:line="560" w:lineRule="exact"/>
        <w:ind w:firstLine="640"/>
        <w:rPr>
          <w:rFonts w:ascii="仿宋" w:hAnsi="仿宋" w:eastAsia="仿宋"/>
          <w:sz w:val="32"/>
          <w:szCs w:val="32"/>
        </w:rPr>
      </w:pPr>
    </w:p>
    <w:p>
      <w:pPr>
        <w:spacing w:line="560" w:lineRule="exact"/>
        <w:ind w:firstLine="640"/>
        <w:rPr>
          <w:rFonts w:ascii="仿宋" w:hAnsi="仿宋" w:eastAsia="仿宋"/>
          <w:sz w:val="32"/>
          <w:szCs w:val="32"/>
        </w:rPr>
      </w:pPr>
    </w:p>
    <w:p>
      <w:pPr>
        <w:widowControl/>
        <w:spacing w:line="360" w:lineRule="auto"/>
        <w:jc w:val="left"/>
        <w:rPr>
          <w:rFonts w:ascii="仿宋_GB2312" w:hAnsi="Calibri" w:eastAsia="仿宋_GB2312" w:cs="仿宋_GB2312"/>
          <w:kern w:val="0"/>
          <w:sz w:val="32"/>
          <w:szCs w:val="32"/>
        </w:rPr>
      </w:pPr>
    </w:p>
    <w:p>
      <w:pPr>
        <w:widowControl/>
        <w:spacing w:line="360" w:lineRule="auto"/>
        <w:ind w:firstLine="960" w:firstLineChars="3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黑体" w:hAnsi="黑体" w:eastAsia="黑体" w:cs="微软雅黑"/>
          <w:kern w:val="0"/>
          <w:sz w:val="24"/>
          <w:szCs w:val="24"/>
        </w:rPr>
        <w:t xml:space="preserve"> </w:t>
      </w:r>
      <w:r>
        <w:rPr>
          <w:rFonts w:hint="eastAsia" w:ascii="宋体" w:hAnsi="宋体" w:eastAsia="宋体" w:cs="宋体"/>
          <w:kern w:val="0"/>
          <w:sz w:val="32"/>
          <w:szCs w:val="32"/>
        </w:rPr>
        <w:t> </w:t>
      </w:r>
    </w:p>
    <w:p>
      <w:pPr>
        <w:widowControl/>
        <w:spacing w:line="360" w:lineRule="auto"/>
        <w:ind w:firstLine="960" w:firstLineChars="3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960" w:firstLineChars="3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hint="eastAsia" w:ascii="微软雅黑" w:hAnsi="微软雅黑" w:eastAsia="微软雅黑" w:cs="微软雅黑"/>
          <w:kern w:val="0"/>
          <w:sz w:val="24"/>
          <w:szCs w:val="24"/>
        </w:rPr>
        <w:t xml:space="preserve"> </w:t>
      </w:r>
    </w:p>
    <w:p>
      <w:pPr>
        <w:widowControl/>
        <w:spacing w:line="360" w:lineRule="auto"/>
        <w:ind w:firstLine="720" w:firstLineChars="3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p>
      <w:pPr>
        <w:widowControl/>
        <w:spacing w:line="360" w:lineRule="auto"/>
        <w:ind w:firstLine="420" w:firstLineChars="200"/>
        <w:jc w:val="left"/>
      </w:pPr>
    </w:p>
    <w:sectPr>
      <w:pgSz w:w="16839" w:h="11907" w:orient="landscape"/>
      <w:pgMar w:top="1134" w:right="1020" w:bottom="1134" w:left="10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decorative"/>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decorative"/>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A657B"/>
    <w:multiLevelType w:val="multilevel"/>
    <w:tmpl w:val="0C2A657B"/>
    <w:lvl w:ilvl="0" w:tentative="0">
      <w:start w:val="4"/>
      <w:numFmt w:val="japaneseCounting"/>
      <w:lvlText w:val="%1、"/>
      <w:lvlJc w:val="left"/>
      <w:pPr>
        <w:ind w:left="1523" w:hanging="7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
    <w:nsid w:val="58BCCB38"/>
    <w:multiLevelType w:val="multilevel"/>
    <w:tmpl w:val="58BCCB3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1EB01B"/>
    <w:multiLevelType w:val="singleLevel"/>
    <w:tmpl w:val="591EB01B"/>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jc5MTUxMjdlNmUwMmQwMmVkNmY2M2E4MGRkZmUifQ=="/>
  </w:docVars>
  <w:rsids>
    <w:rsidRoot w:val="00E810D6"/>
    <w:rsid w:val="002E3A95"/>
    <w:rsid w:val="003F0FB0"/>
    <w:rsid w:val="004A5303"/>
    <w:rsid w:val="0055387B"/>
    <w:rsid w:val="005D136A"/>
    <w:rsid w:val="00625463"/>
    <w:rsid w:val="0062621A"/>
    <w:rsid w:val="00685811"/>
    <w:rsid w:val="006D1C5B"/>
    <w:rsid w:val="007516BC"/>
    <w:rsid w:val="007A507B"/>
    <w:rsid w:val="007D6BF0"/>
    <w:rsid w:val="0080486E"/>
    <w:rsid w:val="008058DC"/>
    <w:rsid w:val="00832BE4"/>
    <w:rsid w:val="008C7744"/>
    <w:rsid w:val="00922239"/>
    <w:rsid w:val="009A2D48"/>
    <w:rsid w:val="009B001C"/>
    <w:rsid w:val="009D0C04"/>
    <w:rsid w:val="00A07D70"/>
    <w:rsid w:val="00A70FC0"/>
    <w:rsid w:val="00AB3C63"/>
    <w:rsid w:val="00B1126C"/>
    <w:rsid w:val="00BB5950"/>
    <w:rsid w:val="00BC2272"/>
    <w:rsid w:val="00C05E5B"/>
    <w:rsid w:val="00C40B35"/>
    <w:rsid w:val="00C60A65"/>
    <w:rsid w:val="00D346D5"/>
    <w:rsid w:val="00D96CC2"/>
    <w:rsid w:val="00DE5574"/>
    <w:rsid w:val="00E20D34"/>
    <w:rsid w:val="00E23ABF"/>
    <w:rsid w:val="00E31FCC"/>
    <w:rsid w:val="00E42745"/>
    <w:rsid w:val="00E70669"/>
    <w:rsid w:val="00E810D6"/>
    <w:rsid w:val="00E86FCD"/>
    <w:rsid w:val="00F0464E"/>
    <w:rsid w:val="00FE531C"/>
    <w:rsid w:val="013B67CD"/>
    <w:rsid w:val="01CA412B"/>
    <w:rsid w:val="02E67320"/>
    <w:rsid w:val="037D3281"/>
    <w:rsid w:val="037D399A"/>
    <w:rsid w:val="03B213E5"/>
    <w:rsid w:val="05F83A01"/>
    <w:rsid w:val="06096D52"/>
    <w:rsid w:val="06550E5D"/>
    <w:rsid w:val="06616BDD"/>
    <w:rsid w:val="06D362B3"/>
    <w:rsid w:val="0726741C"/>
    <w:rsid w:val="07747C10"/>
    <w:rsid w:val="08B07B1F"/>
    <w:rsid w:val="08D34D69"/>
    <w:rsid w:val="09E50DB9"/>
    <w:rsid w:val="0A365E9E"/>
    <w:rsid w:val="0BB759F9"/>
    <w:rsid w:val="0BF41E7F"/>
    <w:rsid w:val="0CA6624D"/>
    <w:rsid w:val="0CBF7A43"/>
    <w:rsid w:val="0D567C03"/>
    <w:rsid w:val="0DD4180B"/>
    <w:rsid w:val="0EB87EC2"/>
    <w:rsid w:val="130B706D"/>
    <w:rsid w:val="13617533"/>
    <w:rsid w:val="139106CF"/>
    <w:rsid w:val="13A12522"/>
    <w:rsid w:val="13DE0FA8"/>
    <w:rsid w:val="163506CD"/>
    <w:rsid w:val="17252863"/>
    <w:rsid w:val="175940C0"/>
    <w:rsid w:val="17C16AC9"/>
    <w:rsid w:val="180D78B9"/>
    <w:rsid w:val="196717B9"/>
    <w:rsid w:val="19F02EA6"/>
    <w:rsid w:val="1AEF7278"/>
    <w:rsid w:val="1B2A5EA4"/>
    <w:rsid w:val="1C0D0DA4"/>
    <w:rsid w:val="1CC97251"/>
    <w:rsid w:val="1CEB0A1C"/>
    <w:rsid w:val="1D430EC5"/>
    <w:rsid w:val="1D4E50CC"/>
    <w:rsid w:val="1D8D712F"/>
    <w:rsid w:val="1E8167C1"/>
    <w:rsid w:val="1EAA0AE1"/>
    <w:rsid w:val="1EE241F9"/>
    <w:rsid w:val="20A51812"/>
    <w:rsid w:val="21B66276"/>
    <w:rsid w:val="21BD14FC"/>
    <w:rsid w:val="21DF2C72"/>
    <w:rsid w:val="228819EE"/>
    <w:rsid w:val="22A568F1"/>
    <w:rsid w:val="264E15DE"/>
    <w:rsid w:val="267B23D6"/>
    <w:rsid w:val="2716314B"/>
    <w:rsid w:val="2828180A"/>
    <w:rsid w:val="285222A8"/>
    <w:rsid w:val="288A4B30"/>
    <w:rsid w:val="28E516DB"/>
    <w:rsid w:val="299267B6"/>
    <w:rsid w:val="2AD57C75"/>
    <w:rsid w:val="2BAA47A7"/>
    <w:rsid w:val="2DCE40BA"/>
    <w:rsid w:val="2E066AE5"/>
    <w:rsid w:val="2E2777CE"/>
    <w:rsid w:val="2EE04A84"/>
    <w:rsid w:val="30B41A68"/>
    <w:rsid w:val="312F543B"/>
    <w:rsid w:val="31D059F4"/>
    <w:rsid w:val="321F67D1"/>
    <w:rsid w:val="32D45244"/>
    <w:rsid w:val="332A0BBD"/>
    <w:rsid w:val="3387759D"/>
    <w:rsid w:val="33FA5420"/>
    <w:rsid w:val="351C5D1D"/>
    <w:rsid w:val="36DF5EE5"/>
    <w:rsid w:val="372D0BBC"/>
    <w:rsid w:val="385749E7"/>
    <w:rsid w:val="38963AA1"/>
    <w:rsid w:val="39461E7C"/>
    <w:rsid w:val="39A75722"/>
    <w:rsid w:val="3B2D1E80"/>
    <w:rsid w:val="3B6E7B6E"/>
    <w:rsid w:val="3C712CD5"/>
    <w:rsid w:val="3CEC5D53"/>
    <w:rsid w:val="3F710F55"/>
    <w:rsid w:val="417B37FD"/>
    <w:rsid w:val="4311232D"/>
    <w:rsid w:val="441C57E9"/>
    <w:rsid w:val="44240E6E"/>
    <w:rsid w:val="44986D47"/>
    <w:rsid w:val="45185251"/>
    <w:rsid w:val="456A5D0D"/>
    <w:rsid w:val="457C0C14"/>
    <w:rsid w:val="45B90BF3"/>
    <w:rsid w:val="460143F1"/>
    <w:rsid w:val="475B18CD"/>
    <w:rsid w:val="47DB6626"/>
    <w:rsid w:val="498634E1"/>
    <w:rsid w:val="4A4F1F05"/>
    <w:rsid w:val="4B7040C7"/>
    <w:rsid w:val="4CA957E7"/>
    <w:rsid w:val="4D9730D4"/>
    <w:rsid w:val="4E4335D2"/>
    <w:rsid w:val="5284615E"/>
    <w:rsid w:val="52AB63BE"/>
    <w:rsid w:val="535E33E8"/>
    <w:rsid w:val="59AF56D7"/>
    <w:rsid w:val="5A43186E"/>
    <w:rsid w:val="5AF556D9"/>
    <w:rsid w:val="5B2B3FCD"/>
    <w:rsid w:val="5B621EDA"/>
    <w:rsid w:val="5BAE356C"/>
    <w:rsid w:val="5CB07A05"/>
    <w:rsid w:val="5ED17601"/>
    <w:rsid w:val="5FA34814"/>
    <w:rsid w:val="612F2391"/>
    <w:rsid w:val="6161183A"/>
    <w:rsid w:val="61897173"/>
    <w:rsid w:val="61E34898"/>
    <w:rsid w:val="62EA79E7"/>
    <w:rsid w:val="633640E0"/>
    <w:rsid w:val="63F21B1B"/>
    <w:rsid w:val="65493192"/>
    <w:rsid w:val="666C26EF"/>
    <w:rsid w:val="69696E33"/>
    <w:rsid w:val="6B304A7A"/>
    <w:rsid w:val="6B511389"/>
    <w:rsid w:val="6D5763C1"/>
    <w:rsid w:val="6D81148F"/>
    <w:rsid w:val="6E8006EE"/>
    <w:rsid w:val="6ECC4D84"/>
    <w:rsid w:val="70942A71"/>
    <w:rsid w:val="70BA2DA1"/>
    <w:rsid w:val="71B87B2B"/>
    <w:rsid w:val="726F0014"/>
    <w:rsid w:val="729B4F6A"/>
    <w:rsid w:val="733E01F4"/>
    <w:rsid w:val="73746DB7"/>
    <w:rsid w:val="737C0229"/>
    <w:rsid w:val="7424079F"/>
    <w:rsid w:val="74D4598A"/>
    <w:rsid w:val="76FD3FC3"/>
    <w:rsid w:val="7AA5545A"/>
    <w:rsid w:val="7BAA5900"/>
    <w:rsid w:val="7C0B49FE"/>
    <w:rsid w:val="7D9A3104"/>
    <w:rsid w:val="7DB9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paragraph" w:styleId="6">
    <w:name w:val="Normal (Web)"/>
    <w:basedOn w:val="1"/>
    <w:qFormat/>
    <w:uiPriority w:val="0"/>
    <w:rPr>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3"/>
    <w:semiHidden/>
    <w:qFormat/>
    <w:uiPriority w:val="99"/>
    <w:rPr>
      <w:sz w:val="18"/>
      <w:szCs w:val="18"/>
    </w:rPr>
  </w:style>
  <w:style w:type="character" w:customStyle="1" w:styleId="11">
    <w:name w:val="页脚 Char"/>
    <w:basedOn w:val="9"/>
    <w:link w:val="2"/>
    <w:semiHidden/>
    <w:qFormat/>
    <w:uiPriority w:val="99"/>
    <w:rPr>
      <w:sz w:val="18"/>
      <w:szCs w:val="18"/>
    </w:rPr>
  </w:style>
  <w:style w:type="paragraph" w:customStyle="1" w:styleId="12">
    <w:name w:val="列出段落1"/>
    <w:basedOn w:val="1"/>
    <w:unhideWhenUsed/>
    <w:qFormat/>
    <w:uiPriority w:val="99"/>
    <w:pPr>
      <w:ind w:firstLine="420" w:firstLineChars="200"/>
    </w:p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578</Words>
  <Characters>3301</Characters>
  <Lines>27</Lines>
  <Paragraphs>7</Paragraphs>
  <TotalTime>14</TotalTime>
  <ScaleCrop>false</ScaleCrop>
  <LinksUpToDate>false</LinksUpToDate>
  <CharactersWithSpaces>3872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2016-04-01T02:44:00Z</cp:lastPrinted>
  <dcterms:modified xsi:type="dcterms:W3CDTF">2024-05-24T03:29:13Z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15D9C8AA94254017914D6A19F5ED988F</vt:lpwstr>
  </property>
</Properties>
</file>