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eastAsia="宋体" w:cs="仿宋_GB2312"/>
          <w:b/>
          <w:sz w:val="44"/>
          <w:szCs w:val="44"/>
        </w:rPr>
      </w:pPr>
      <w:bookmarkStart w:id="1" w:name="_GoBack"/>
      <w:bookmarkEnd w:id="1"/>
    </w:p>
    <w:p>
      <w:pPr>
        <w:widowControl/>
        <w:spacing w:line="360" w:lineRule="auto"/>
        <w:jc w:val="center"/>
        <w:rPr>
          <w:rFonts w:hint="eastAsia" w:ascii="宋体" w:hAnsi="宋体" w:eastAsia="宋体" w:cs="仿宋_GB2312"/>
          <w:b/>
          <w:sz w:val="44"/>
          <w:szCs w:val="44"/>
        </w:rPr>
      </w:pPr>
      <w:r>
        <w:rPr>
          <w:rFonts w:hint="eastAsia" w:ascii="宋体" w:hAnsi="宋体" w:eastAsia="宋体" w:cs="仿宋_GB2312"/>
          <w:b/>
          <w:sz w:val="44"/>
          <w:szCs w:val="44"/>
        </w:rPr>
        <w:t>成安县广播电视台2017年部门预算公开</w:t>
      </w:r>
    </w:p>
    <w:p>
      <w:pPr>
        <w:widowControl/>
        <w:spacing w:line="360" w:lineRule="auto"/>
        <w:jc w:val="center"/>
        <w:rPr>
          <w:rFonts w:ascii="宋体" w:hAnsi="宋体" w:eastAsia="宋体" w:cs="仿宋_GB2312"/>
          <w:b/>
          <w:sz w:val="44"/>
          <w:szCs w:val="44"/>
        </w:rPr>
      </w:pPr>
      <w:r>
        <w:rPr>
          <w:rFonts w:hint="eastAsia" w:ascii="宋体" w:hAnsi="宋体" w:eastAsia="宋体" w:cs="仿宋_GB2312"/>
          <w:b/>
          <w:sz w:val="44"/>
          <w:szCs w:val="44"/>
        </w:rPr>
        <w:t>情况说明</w:t>
      </w:r>
    </w:p>
    <w:p>
      <w:pPr>
        <w:widowControl/>
        <w:adjustRightInd w:val="0"/>
        <w:spacing w:line="360" w:lineRule="auto"/>
        <w:ind w:firstLine="640" w:firstLineChars="200"/>
        <w:jc w:val="left"/>
        <w:rPr>
          <w:rFonts w:hint="eastAsia" w:ascii="仿宋" w:hAnsi="仿宋" w:eastAsia="仿宋" w:cs="仿宋_GB2312"/>
          <w:sz w:val="32"/>
          <w:szCs w:val="32"/>
        </w:rPr>
      </w:pPr>
    </w:p>
    <w:p>
      <w:pPr>
        <w:widowControl/>
        <w:adjustRightInd w:val="0"/>
        <w:spacing w:line="360" w:lineRule="auto"/>
        <w:ind w:firstLine="640" w:firstLineChars="200"/>
        <w:jc w:val="left"/>
        <w:rPr>
          <w:rFonts w:ascii="仿宋" w:hAnsi="仿宋" w:eastAsia="仿宋" w:cs="仿宋"/>
          <w:sz w:val="32"/>
          <w:szCs w:val="32"/>
        </w:rPr>
      </w:pPr>
      <w:r>
        <w:rPr>
          <w:rFonts w:ascii="仿宋" w:hAnsi="仿宋" w:eastAsia="仿宋" w:cs="仿宋"/>
          <w:sz w:val="32"/>
          <w:szCs w:val="32"/>
        </w:rPr>
        <w:t>按照《</w:t>
      </w:r>
      <w:r>
        <w:rPr>
          <w:rFonts w:hint="eastAsia" w:ascii="仿宋" w:hAnsi="仿宋" w:eastAsia="仿宋" w:cs="仿宋"/>
          <w:sz w:val="32"/>
          <w:szCs w:val="32"/>
          <w:lang w:eastAsia="zh-CN"/>
        </w:rPr>
        <w:t>中华人民共和国</w:t>
      </w:r>
      <w:r>
        <w:rPr>
          <w:rFonts w:ascii="仿宋" w:hAnsi="仿宋" w:eastAsia="仿宋" w:cs="仿宋"/>
          <w:sz w:val="32"/>
          <w:szCs w:val="32"/>
        </w:rPr>
        <w:t>预算法》有关规定</w:t>
      </w:r>
      <w:r>
        <w:rPr>
          <w:rFonts w:hint="eastAsia" w:ascii="仿宋" w:hAnsi="仿宋" w:eastAsia="仿宋" w:cs="仿宋"/>
          <w:sz w:val="32"/>
          <w:szCs w:val="32"/>
        </w:rPr>
        <w:t>和</w:t>
      </w:r>
      <w:r>
        <w:rPr>
          <w:rFonts w:ascii="仿宋" w:hAnsi="仿宋" w:eastAsia="仿宋" w:cs="仿宋"/>
          <w:sz w:val="32"/>
          <w:szCs w:val="32"/>
        </w:rPr>
        <w:t>财政部关于印发《地方预决算公开操作规程》的通知，现将</w:t>
      </w:r>
      <w:r>
        <w:rPr>
          <w:rFonts w:hint="eastAsia" w:ascii="仿宋" w:hAnsi="仿宋" w:eastAsia="仿宋" w:cs="仿宋"/>
          <w:sz w:val="32"/>
          <w:szCs w:val="32"/>
        </w:rPr>
        <w:t>成安县广播电视台</w:t>
      </w:r>
      <w:r>
        <w:rPr>
          <w:rFonts w:ascii="仿宋" w:hAnsi="仿宋" w:eastAsia="仿宋" w:cs="仿宋"/>
          <w:sz w:val="32"/>
          <w:szCs w:val="32"/>
        </w:rPr>
        <w:t>201</w:t>
      </w:r>
      <w:r>
        <w:rPr>
          <w:rFonts w:hint="eastAsia" w:ascii="仿宋" w:hAnsi="仿宋" w:eastAsia="仿宋" w:cs="仿宋"/>
          <w:sz w:val="32"/>
          <w:szCs w:val="32"/>
        </w:rPr>
        <w:t>7</w:t>
      </w:r>
      <w:r>
        <w:rPr>
          <w:rFonts w:ascii="仿宋" w:hAnsi="仿宋" w:eastAsia="仿宋" w:cs="仿宋"/>
          <w:sz w:val="32"/>
          <w:szCs w:val="32"/>
        </w:rPr>
        <w:t>年部门预算公开如下</w:t>
      </w:r>
      <w:r>
        <w:rPr>
          <w:rFonts w:hint="eastAsia" w:ascii="仿宋" w:hAnsi="仿宋" w:eastAsia="仿宋" w:cs="仿宋"/>
          <w:sz w:val="32"/>
          <w:szCs w:val="32"/>
        </w:rPr>
        <w:t>：</w:t>
      </w:r>
    </w:p>
    <w:p>
      <w:pPr>
        <w:widowControl/>
        <w:adjustRightInd w:val="0"/>
        <w:spacing w:line="360" w:lineRule="auto"/>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cs="Calibri"/>
          <w:b/>
          <w:kern w:val="0"/>
          <w:sz w:val="32"/>
          <w:szCs w:val="32"/>
        </w:rPr>
        <w:t>部门职责及机构设置情况</w:t>
      </w:r>
    </w:p>
    <w:p>
      <w:pPr>
        <w:ind w:firstLine="640" w:firstLineChars="200"/>
        <w:rPr>
          <w:rFonts w:ascii="仿宋" w:hAnsi="仿宋" w:eastAsia="仿宋" w:cs="仿宋"/>
          <w:sz w:val="32"/>
          <w:szCs w:val="32"/>
        </w:rPr>
      </w:pPr>
      <w:r>
        <w:rPr>
          <w:rFonts w:hint="eastAsia" w:ascii="仿宋" w:hAnsi="仿宋" w:eastAsia="仿宋" w:cs="仿宋"/>
          <w:sz w:val="32"/>
          <w:szCs w:val="32"/>
        </w:rPr>
        <w:t>全面贯彻国家、省、市、县在广播电视工作的路线方针政策和国家的法律法规，把握好舆论导向。深入开展干部作风建设，充分发挥舆论把宣传党的十八大精神作为工作重点，全面贯彻国家、省、市、县在广播电视工作的路线方针政策和国家的法律法规，把握好舆论导向。深入开展干部作风建设，充分发挥舆论喉舌优势,体现中国先进文化前进方向,满足人民群众不断增长的精神业余文化需求，促进全民放思想道德素质和科学文化素质的不断提高，紧紧围绕县委、县政府工作适时开展宣传战役，打好主动仗，不断改进宣传形势，拓展宣传内容，提高宣传质量，增强制作能力，增加播出时段，为全县对外开放，经济建设，社会稳定，计划生育等工作营造良好氛围。</w:t>
      </w:r>
    </w:p>
    <w:p>
      <w:pPr>
        <w:rPr>
          <w:rFonts w:ascii="仿宋" w:hAnsi="仿宋" w:eastAsia="仿宋" w:cs="仿宋"/>
          <w:sz w:val="32"/>
          <w:szCs w:val="32"/>
        </w:rPr>
      </w:pPr>
      <w:r>
        <w:rPr>
          <w:rFonts w:hint="eastAsia" w:ascii="仿宋" w:hAnsi="仿宋" w:eastAsia="仿宋" w:cs="仿宋"/>
          <w:sz w:val="32"/>
          <w:szCs w:val="32"/>
        </w:rPr>
        <w:t>　　组织和指导全县广播电视宣传及节目制作，组织审查在广播电视播出的电影、电视剧及其它节目的内容和质量，监督管理全县广播电视节目播出，通过网络向公众传播视听节目。管理全县电视市场及用于全县播出机构广播电视节目的进口并负责内容审核工作。</w:t>
      </w:r>
    </w:p>
    <w:p>
      <w:pPr>
        <w:ind w:firstLine="640" w:firstLineChars="200"/>
        <w:rPr>
          <w:rFonts w:ascii="仿宋" w:hAnsi="仿宋" w:eastAsia="仿宋" w:cs="仿宋"/>
          <w:sz w:val="32"/>
          <w:szCs w:val="32"/>
        </w:rPr>
      </w:pPr>
      <w:r>
        <w:rPr>
          <w:rFonts w:hint="eastAsia" w:ascii="仿宋" w:hAnsi="仿宋" w:eastAsia="仿宋" w:cs="仿宋"/>
          <w:sz w:val="32"/>
          <w:szCs w:val="32"/>
        </w:rPr>
        <w:t>贯彻实施国家省、市有关广播电视事业的政策法规，并依法监督检查执行制订全县广播电视事业发展目标和规划，促进广播电视事业的发展和繁荣。　　</w:t>
      </w:r>
    </w:p>
    <w:p>
      <w:pPr>
        <w:ind w:firstLine="570"/>
        <w:rPr>
          <w:rFonts w:ascii="仿宋" w:hAnsi="仿宋" w:eastAsia="仿宋" w:cs="仿宋"/>
          <w:sz w:val="32"/>
          <w:szCs w:val="32"/>
        </w:rPr>
      </w:pPr>
      <w:r>
        <w:rPr>
          <w:rFonts w:hint="eastAsia" w:ascii="仿宋" w:hAnsi="仿宋" w:eastAsia="仿宋" w:cs="仿宋"/>
          <w:sz w:val="32"/>
          <w:szCs w:val="32"/>
        </w:rPr>
        <w:t>根据国家的统筹规划、宏观政策和法律、法规，对全县广播电视专用网进行具体规划，并管理贯彻落实广播电视专用设备网络的具体法律、法规，规章、政策和技术标准，保证广播电视节目的安全播出，参与制定全县信息网络的总体规划。组织制定相应的政策和措施，研究和推进全县广播电视系统内部管理体制改革，负责全县广播电视队伍建设，按照广播电视事业发展的需要，有计划、多层次地培养各种专业人才。</w:t>
      </w:r>
    </w:p>
    <w:p>
      <w:pPr>
        <w:ind w:firstLine="570"/>
        <w:rPr>
          <w:rFonts w:ascii="仿宋" w:hAnsi="仿宋" w:eastAsia="仿宋" w:cs="仿宋"/>
          <w:sz w:val="32"/>
          <w:szCs w:val="32"/>
        </w:rPr>
      </w:pPr>
      <w:r>
        <w:rPr>
          <w:rFonts w:hint="eastAsia" w:ascii="仿宋" w:hAnsi="仿宋" w:eastAsia="仿宋" w:cs="仿宋"/>
          <w:sz w:val="32"/>
          <w:szCs w:val="32"/>
        </w:rPr>
        <w:t>继续坚持以人民群众利益为根本努力,为广大群众排忧,解难,为广大群众生产,生活服务。进一步改进拓展新的节目形势,探求鲜活的，生动的群众喜爱并易于接受的传播方式，强化新闻传播的亲和力，感染力和穿透力。</w:t>
      </w:r>
    </w:p>
    <w:p>
      <w:pPr>
        <w:ind w:firstLine="570"/>
        <w:rPr>
          <w:rFonts w:ascii="仿宋" w:hAnsi="仿宋" w:eastAsia="仿宋" w:cs="仿宋"/>
          <w:sz w:val="32"/>
          <w:szCs w:val="32"/>
        </w:rPr>
      </w:pPr>
      <w:r>
        <w:rPr>
          <w:rFonts w:hint="eastAsia" w:ascii="仿宋" w:hAnsi="仿宋" w:eastAsia="仿宋" w:cs="仿宋"/>
          <w:sz w:val="32"/>
          <w:szCs w:val="32"/>
        </w:rPr>
        <w:t>建立安全播出运行管理系统，及时掌握重点播出资源，播出状态，播出效果等重要信息，重点播出系统必须建立系统级备份，确保运行安全。</w:t>
      </w:r>
    </w:p>
    <w:p>
      <w:pPr>
        <w:widowControl/>
        <w:spacing w:line="360" w:lineRule="auto"/>
        <w:ind w:firstLine="640" w:firstLineChars="200"/>
        <w:jc w:val="left"/>
        <w:rPr>
          <w:rFonts w:ascii="楷体" w:hAnsi="楷体" w:eastAsia="楷体" w:cs="仿宋"/>
          <w:b/>
          <w:kern w:val="0"/>
          <w:sz w:val="32"/>
          <w:szCs w:val="32"/>
        </w:rPr>
      </w:pPr>
      <w:r>
        <w:rPr>
          <w:rFonts w:hint="eastAsia" w:ascii="楷体" w:hAnsi="楷体" w:eastAsia="楷体" w:cs="仿宋"/>
          <w:b/>
          <w:kern w:val="0"/>
          <w:sz w:val="32"/>
          <w:szCs w:val="32"/>
        </w:rPr>
        <w:t>内设机构及职责</w:t>
      </w:r>
    </w:p>
    <w:p>
      <w:pPr>
        <w:autoSpaceDE w:val="0"/>
        <w:autoSpaceDN w:val="0"/>
        <w:adjustRightInd w:val="0"/>
        <w:ind w:firstLine="640" w:firstLineChars="200"/>
        <w:jc w:val="left"/>
        <w:rPr>
          <w:rFonts w:ascii="楷体" w:hAnsi="楷体" w:eastAsia="楷体" w:cs="Times New Roman"/>
          <w:b/>
          <w:bCs/>
          <w:sz w:val="32"/>
          <w:szCs w:val="32"/>
        </w:rPr>
      </w:pPr>
      <w:r>
        <w:rPr>
          <w:rFonts w:hint="eastAsia" w:ascii="楷体" w:hAnsi="楷体" w:eastAsia="楷体" w:cs="方正仿宋_GBK"/>
          <w:b/>
          <w:bCs/>
          <w:sz w:val="32"/>
          <w:szCs w:val="32"/>
        </w:rPr>
        <w:t>机构设置：</w:t>
      </w:r>
    </w:p>
    <w:p>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2"/>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0" w:hRule="atLeast"/>
          <w:tblHeader/>
          <w:jc w:val="center"/>
        </w:trPr>
        <w:tc>
          <w:tcPr>
            <w:tcW w:w="3317"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left"/>
              <w:outlineLvl w:val="0"/>
              <w:rPr>
                <w:rFonts w:ascii="Times New Roman" w:hAnsi="Times New Roman" w:eastAsia="宋体" w:cs="Times New Roman"/>
              </w:rPr>
            </w:pPr>
          </w:p>
        </w:tc>
        <w:tc>
          <w:tcPr>
            <w:tcW w:w="1134" w:type="dxa"/>
            <w:vMerge w:val="continue"/>
            <w:vAlign w:val="center"/>
          </w:tcPr>
          <w:p>
            <w:pPr>
              <w:spacing w:line="300" w:lineRule="exact"/>
              <w:jc w:val="left"/>
              <w:outlineLvl w:val="0"/>
              <w:rPr>
                <w:rFonts w:ascii="Times New Roman" w:hAnsi="Times New Roman" w:eastAsia="宋体" w:cs="Times New Roman"/>
              </w:rPr>
            </w:pPr>
          </w:p>
        </w:tc>
        <w:tc>
          <w:tcPr>
            <w:tcW w:w="1276" w:type="dxa"/>
            <w:vMerge w:val="continue"/>
            <w:vAlign w:val="center"/>
          </w:tcPr>
          <w:p>
            <w:pPr>
              <w:spacing w:line="300" w:lineRule="exact"/>
              <w:jc w:val="left"/>
              <w:outlineLvl w:val="0"/>
              <w:rPr>
                <w:rFonts w:ascii="Times New Roman" w:hAnsi="Times New Roman" w:eastAsia="宋体" w:cs="Times New Roman"/>
              </w:rPr>
            </w:pPr>
          </w:p>
        </w:tc>
        <w:tc>
          <w:tcPr>
            <w:tcW w:w="2902" w:type="dxa"/>
            <w:vMerge w:val="continue"/>
            <w:vAlign w:val="center"/>
          </w:tcPr>
          <w:p>
            <w:pPr>
              <w:spacing w:line="300" w:lineRule="exact"/>
              <w:jc w:val="left"/>
              <w:outlineLvl w:val="0"/>
              <w:rPr>
                <w:rFonts w:ascii="Times New Roman" w:hAnsi="Times New Roman"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317"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成安县广播电视台</w:t>
            </w:r>
          </w:p>
        </w:tc>
        <w:tc>
          <w:tcPr>
            <w:tcW w:w="1134"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事业</w:t>
            </w:r>
          </w:p>
        </w:tc>
        <w:tc>
          <w:tcPr>
            <w:tcW w:w="1276"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正科级</w:t>
            </w:r>
          </w:p>
        </w:tc>
        <w:tc>
          <w:tcPr>
            <w:tcW w:w="2902"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财政性资金零补助（自收自支）</w:t>
            </w:r>
          </w:p>
        </w:tc>
      </w:tr>
    </w:tbl>
    <w:p>
      <w:pPr>
        <w:widowControl/>
        <w:spacing w:line="360" w:lineRule="auto"/>
        <w:ind w:firstLine="640" w:firstLineChars="200"/>
        <w:jc w:val="left"/>
        <w:rPr>
          <w:rFonts w:ascii="仿宋" w:hAnsi="仿宋" w:eastAsia="仿宋" w:cs="仿宋"/>
          <w:b/>
          <w:kern w:val="0"/>
          <w:sz w:val="32"/>
          <w:szCs w:val="32"/>
        </w:rPr>
      </w:pPr>
    </w:p>
    <w:p>
      <w:pPr>
        <w:widowControl/>
        <w:spacing w:line="360" w:lineRule="auto"/>
        <w:jc w:val="left"/>
        <w:rPr>
          <w:rFonts w:ascii="仿宋" w:hAnsi="仿宋" w:eastAsia="仿宋" w:cs="仿宋"/>
          <w:bCs/>
          <w:kern w:val="0"/>
          <w:sz w:val="32"/>
          <w:szCs w:val="32"/>
        </w:rPr>
      </w:pPr>
      <w:r>
        <w:rPr>
          <w:rFonts w:hint="eastAsia" w:ascii="仿宋" w:hAnsi="仿宋" w:eastAsia="仿宋" w:cs="仿宋"/>
          <w:bCs/>
          <w:kern w:val="0"/>
          <w:sz w:val="32"/>
          <w:szCs w:val="32"/>
        </w:rPr>
        <w:t>　　成安县广播电视台，预算编码是359002，内设3个内部机构。</w:t>
      </w:r>
    </w:p>
    <w:p>
      <w:pPr>
        <w:widowControl/>
        <w:spacing w:line="360" w:lineRule="auto"/>
        <w:ind w:left="420" w:leftChars="200"/>
        <w:jc w:val="left"/>
        <w:rPr>
          <w:rFonts w:ascii="仿宋" w:hAnsi="仿宋" w:eastAsia="仿宋" w:cs="仿宋"/>
          <w:bCs/>
          <w:kern w:val="0"/>
          <w:sz w:val="32"/>
          <w:szCs w:val="32"/>
        </w:rPr>
      </w:pPr>
      <w:r>
        <w:rPr>
          <w:rFonts w:hint="eastAsia" w:ascii="仿宋" w:hAnsi="仿宋" w:eastAsia="仿宋" w:cs="仿宋"/>
          <w:bCs/>
          <w:kern w:val="0"/>
          <w:sz w:val="32"/>
          <w:szCs w:val="32"/>
        </w:rPr>
        <w:t>　1、办公室</w:t>
      </w:r>
    </w:p>
    <w:p>
      <w:pPr>
        <w:widowControl/>
        <w:spacing w:line="360" w:lineRule="auto"/>
        <w:ind w:firstLine="640" w:firstLineChars="200"/>
        <w:jc w:val="left"/>
        <w:rPr>
          <w:rFonts w:ascii="仿宋" w:hAnsi="仿宋" w:eastAsia="仿宋" w:cs="仿宋"/>
          <w:bCs/>
          <w:sz w:val="32"/>
          <w:szCs w:val="32"/>
        </w:rPr>
      </w:pPr>
      <w:r>
        <w:rPr>
          <w:rFonts w:hint="eastAsia" w:ascii="仿宋" w:hAnsi="仿宋" w:eastAsia="仿宋" w:cs="仿宋"/>
          <w:bCs/>
          <w:kern w:val="0"/>
          <w:sz w:val="32"/>
          <w:szCs w:val="32"/>
        </w:rPr>
        <w:t xml:space="preserve"> 主要负责：</w:t>
      </w:r>
      <w:r>
        <w:rPr>
          <w:rFonts w:hint="eastAsia" w:ascii="仿宋" w:hAnsi="仿宋" w:eastAsia="仿宋" w:cs="仿宋"/>
          <w:bCs/>
          <w:sz w:val="32"/>
          <w:szCs w:val="32"/>
        </w:rPr>
        <w:t>负责机关日常事务工作。负责党建工作；负责工建工作；负责团建工作；做好人才引进、培养工作，为各类人才提供工资晋升、职称评定等服务；</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2、新闻部</w:t>
      </w:r>
    </w:p>
    <w:p>
      <w:pPr>
        <w:widowControl/>
        <w:spacing w:line="450" w:lineRule="atLeast"/>
        <w:ind w:firstLine="640" w:firstLineChars="200"/>
        <w:rPr>
          <w:rFonts w:ascii="仿宋" w:hAnsi="仿宋" w:eastAsia="仿宋" w:cs="仿宋"/>
          <w:color w:val="000000"/>
          <w:sz w:val="32"/>
          <w:szCs w:val="32"/>
        </w:rPr>
      </w:pPr>
      <w:r>
        <w:rPr>
          <w:rFonts w:hint="eastAsia" w:ascii="仿宋" w:hAnsi="仿宋" w:eastAsia="仿宋" w:cs="仿宋"/>
          <w:bCs/>
          <w:sz w:val="32"/>
          <w:szCs w:val="32"/>
        </w:rPr>
        <w:t>主要负责：</w:t>
      </w:r>
      <w:r>
        <w:rPr>
          <w:rFonts w:hint="eastAsia" w:ascii="仿宋" w:hAnsi="仿宋" w:eastAsia="仿宋" w:cs="仿宋"/>
          <w:color w:val="000000"/>
          <w:sz w:val="32"/>
          <w:szCs w:val="32"/>
        </w:rPr>
        <w:t>围绕全县中心工作，精心策划重点报道；尤其是组织好系列报道和民生新闻，增加新闻的可视性。负责外宣和创优工作；负责新闻档案（包括图像、文稿等新闻资料）的收集、整理、建档工作；</w:t>
      </w:r>
    </w:p>
    <w:p>
      <w:pPr>
        <w:widowControl/>
        <w:spacing w:line="360" w:lineRule="auto"/>
        <w:ind w:firstLine="800" w:firstLineChars="250"/>
        <w:jc w:val="left"/>
        <w:rPr>
          <w:rFonts w:hint="eastAsia" w:ascii="仿宋" w:hAnsi="仿宋" w:eastAsia="仿宋" w:cs="仿宋"/>
          <w:bCs/>
          <w:kern w:val="0"/>
          <w:sz w:val="32"/>
          <w:szCs w:val="32"/>
        </w:rPr>
      </w:pPr>
      <w:r>
        <w:rPr>
          <w:rFonts w:hint="eastAsia" w:ascii="仿宋" w:hAnsi="仿宋" w:eastAsia="仿宋" w:cs="仿宋"/>
          <w:bCs/>
          <w:kern w:val="0"/>
          <w:sz w:val="32"/>
          <w:szCs w:val="32"/>
        </w:rPr>
        <w:t>3、电影院</w:t>
      </w:r>
    </w:p>
    <w:p>
      <w:pPr>
        <w:widowControl/>
        <w:spacing w:line="360" w:lineRule="auto"/>
        <w:ind w:firstLine="640"/>
        <w:jc w:val="left"/>
        <w:rPr>
          <w:rFonts w:hint="eastAsia" w:ascii="仿宋" w:hAnsi="仿宋" w:eastAsia="仿宋" w:cs="仿宋"/>
          <w:bCs/>
          <w:kern w:val="0"/>
          <w:sz w:val="32"/>
          <w:szCs w:val="32"/>
        </w:rPr>
      </w:pPr>
      <w:r>
        <w:rPr>
          <w:rFonts w:hint="eastAsia" w:ascii="仿宋" w:hAnsi="仿宋" w:eastAsia="仿宋" w:cs="仿宋"/>
          <w:bCs/>
          <w:kern w:val="0"/>
          <w:sz w:val="32"/>
          <w:szCs w:val="32"/>
        </w:rPr>
        <w:t>主要负责：必须听从单位安排，严格执行单位制定的放映任务。完成家村公益性电影放映场次的任务。</w:t>
      </w:r>
    </w:p>
    <w:p>
      <w:pPr>
        <w:widowControl/>
        <w:spacing w:line="360" w:lineRule="auto"/>
        <w:ind w:firstLine="800" w:firstLineChars="250"/>
        <w:jc w:val="left"/>
        <w:rPr>
          <w:rFonts w:ascii="楷体" w:hAnsi="楷体" w:eastAsia="楷体" w:cs="Calibri"/>
          <w:b/>
          <w:kern w:val="0"/>
          <w:sz w:val="32"/>
          <w:szCs w:val="32"/>
        </w:rPr>
      </w:pPr>
      <w:r>
        <w:rPr>
          <w:rFonts w:hint="eastAsia" w:ascii="楷体" w:hAnsi="楷体" w:eastAsia="楷体" w:cs="Calibri"/>
          <w:b/>
          <w:kern w:val="0"/>
          <w:sz w:val="32"/>
          <w:szCs w:val="32"/>
        </w:rPr>
        <w:t>人员编制和领导职数</w:t>
      </w:r>
    </w:p>
    <w:p>
      <w:pPr>
        <w:widowControl/>
        <w:spacing w:line="360" w:lineRule="auto"/>
        <w:jc w:val="left"/>
        <w:rPr>
          <w:rFonts w:hint="eastAsia" w:ascii="仿宋" w:hAnsi="仿宋" w:eastAsia="仿宋" w:cs="仿宋"/>
          <w:bCs/>
          <w:kern w:val="0"/>
          <w:sz w:val="32"/>
          <w:szCs w:val="32"/>
        </w:rPr>
      </w:pPr>
      <w:r>
        <w:rPr>
          <w:rFonts w:hint="eastAsia" w:ascii="仿宋" w:hAnsi="仿宋" w:eastAsia="仿宋" w:cs="Calibri"/>
          <w:b/>
          <w:kern w:val="0"/>
          <w:sz w:val="32"/>
          <w:szCs w:val="32"/>
        </w:rPr>
        <w:t xml:space="preserve">     </w:t>
      </w:r>
      <w:r>
        <w:rPr>
          <w:rFonts w:hint="eastAsia" w:ascii="仿宋" w:hAnsi="仿宋" w:eastAsia="仿宋" w:cs="仿宋"/>
          <w:bCs/>
          <w:kern w:val="0"/>
          <w:sz w:val="32"/>
          <w:szCs w:val="32"/>
        </w:rPr>
        <w:t>成安县广播电视台，人员编制6名，其中领导职数2个。</w:t>
      </w:r>
    </w:p>
    <w:p>
      <w:pPr>
        <w:widowControl/>
        <w:spacing w:line="360" w:lineRule="auto"/>
        <w:ind w:firstLine="640" w:firstLineChars="200"/>
        <w:jc w:val="left"/>
        <w:rPr>
          <w:rFonts w:ascii="黑体" w:hAnsi="黑体" w:eastAsia="黑体" w:cs="仿宋"/>
          <w:bCs/>
          <w:kern w:val="0"/>
          <w:sz w:val="32"/>
          <w:szCs w:val="32"/>
        </w:rPr>
      </w:pPr>
      <w:r>
        <w:rPr>
          <w:rFonts w:hint="eastAsia" w:ascii="黑体" w:hAnsi="黑体" w:eastAsia="黑体" w:cs="仿宋"/>
          <w:bCs/>
          <w:kern w:val="0"/>
          <w:sz w:val="32"/>
          <w:szCs w:val="32"/>
        </w:rPr>
        <w:t>二、</w:t>
      </w:r>
      <w:r>
        <w:rPr>
          <w:rFonts w:hint="eastAsia" w:ascii="黑体" w:hAnsi="黑体" w:eastAsia="黑体" w:cs="仿宋_GB2312"/>
          <w:kern w:val="0"/>
          <w:sz w:val="32"/>
          <w:szCs w:val="32"/>
        </w:rPr>
        <w:t>部门预算安排总体情况</w:t>
      </w:r>
    </w:p>
    <w:p>
      <w:pPr>
        <w:spacing w:line="560" w:lineRule="exact"/>
        <w:ind w:firstLine="640" w:firstLineChars="200"/>
        <w:rPr>
          <w:rFonts w:ascii="仿宋" w:hAnsi="仿宋" w:eastAsia="仿宋" w:cs="方正仿宋_GBK"/>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560" w:lineRule="exact"/>
        <w:ind w:firstLine="640" w:firstLineChars="20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Times New Roman"/>
          <w:sz w:val="32"/>
          <w:szCs w:val="32"/>
        </w:rPr>
      </w:pPr>
      <w:r>
        <w:rPr>
          <w:rFonts w:ascii="仿宋" w:hAnsi="仿宋" w:eastAsia="仿宋" w:cs="Times New Roman"/>
          <w:sz w:val="32"/>
          <w:szCs w:val="32"/>
        </w:rPr>
        <w:t>2017</w:t>
      </w:r>
      <w:r>
        <w:rPr>
          <w:rFonts w:hint="eastAsia" w:ascii="仿宋" w:hAnsi="仿宋" w:eastAsia="仿宋" w:cs="方正仿宋_GBK"/>
          <w:sz w:val="32"/>
          <w:szCs w:val="32"/>
        </w:rPr>
        <w:t>年预算收入153.36万元，其中：一般公共预算收入153.36万元，政府性基金收入0万元，国有资本经营收入0万元，事业收入0万元，其他收入0万元。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ind w:firstLine="480" w:firstLineChars="150"/>
        <w:rPr>
          <w:rFonts w:ascii="仿宋" w:hAnsi="仿宋" w:eastAsia="仿宋" w:cs="Times New Roman"/>
          <w:sz w:val="32"/>
          <w:szCs w:val="32"/>
        </w:rPr>
      </w:pPr>
      <w:r>
        <w:rPr>
          <w:rFonts w:ascii="仿宋" w:hAnsi="仿宋" w:eastAsia="仿宋" w:cs="Times New Roman"/>
          <w:sz w:val="32"/>
          <w:szCs w:val="32"/>
        </w:rPr>
        <w:t>2017</w:t>
      </w:r>
      <w:r>
        <w:rPr>
          <w:rFonts w:hint="eastAsia" w:ascii="仿宋" w:hAnsi="仿宋" w:eastAsia="仿宋" w:cs="方正仿宋_GBK"/>
          <w:sz w:val="32"/>
          <w:szCs w:val="32"/>
        </w:rPr>
        <w:t>年支出预算153.36万元，其中基本支出97.95万元，包括人员经费和日常公用经费；项目支出55.41万元，主要为</w:t>
      </w:r>
      <w:r>
        <w:rPr>
          <w:rFonts w:hint="eastAsia" w:ascii="仿宋" w:hAnsi="仿宋" w:eastAsia="仿宋" w:cs="宋体"/>
          <w:kern w:val="0"/>
          <w:sz w:val="32"/>
          <w:szCs w:val="32"/>
        </w:rPr>
        <w:t>新闻出版广播影视</w:t>
      </w:r>
      <w:r>
        <w:rPr>
          <w:rFonts w:hint="eastAsia" w:ascii="仿宋" w:hAnsi="仿宋" w:eastAsia="仿宋" w:cs="方正仿宋_GBK"/>
          <w:sz w:val="32"/>
          <w:szCs w:val="32"/>
        </w:rPr>
        <w:t>支出等。</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widowControl/>
        <w:spacing w:line="360" w:lineRule="auto"/>
        <w:ind w:firstLine="640" w:firstLineChars="200"/>
        <w:jc w:val="left"/>
        <w:rPr>
          <w:rFonts w:ascii="仿宋" w:hAnsi="仿宋" w:eastAsia="仿宋" w:cs="仿宋_GB2312"/>
          <w:kern w:val="0"/>
          <w:sz w:val="32"/>
          <w:szCs w:val="32"/>
        </w:rPr>
      </w:pPr>
      <w:r>
        <w:rPr>
          <w:rFonts w:ascii="仿宋" w:hAnsi="仿宋" w:eastAsia="仿宋" w:cs="Times New Roman"/>
          <w:sz w:val="32"/>
          <w:szCs w:val="32"/>
        </w:rPr>
        <w:t>2017</w:t>
      </w:r>
      <w:r>
        <w:rPr>
          <w:rFonts w:hint="eastAsia" w:ascii="仿宋" w:hAnsi="仿宋" w:eastAsia="仿宋" w:cs="方正仿宋_GBK"/>
          <w:sz w:val="32"/>
          <w:szCs w:val="32"/>
        </w:rPr>
        <w:t>年预算收支安排153.36万元，较</w:t>
      </w:r>
      <w:r>
        <w:rPr>
          <w:rFonts w:ascii="仿宋" w:hAnsi="仿宋" w:eastAsia="仿宋" w:cs="Times New Roman"/>
          <w:sz w:val="32"/>
          <w:szCs w:val="32"/>
        </w:rPr>
        <w:t>2016</w:t>
      </w:r>
      <w:r>
        <w:rPr>
          <w:rFonts w:hint="eastAsia" w:ascii="仿宋" w:hAnsi="仿宋" w:eastAsia="仿宋" w:cs="方正仿宋_GBK"/>
          <w:sz w:val="32"/>
          <w:szCs w:val="32"/>
        </w:rPr>
        <w:t>年预算减少262.38万元，其中：基本支出减少262.38万元，主要为减少运行经费支出,</w:t>
      </w:r>
      <w:r>
        <w:rPr>
          <w:rFonts w:hint="eastAsia" w:ascii="仿宋" w:hAnsi="仿宋" w:eastAsia="仿宋" w:cs="仿宋_GB2312"/>
          <w:kern w:val="0"/>
          <w:sz w:val="32"/>
          <w:szCs w:val="32"/>
        </w:rPr>
        <w:t>积极贯彻落实新</w:t>
      </w:r>
      <w:r>
        <w:rPr>
          <w:rFonts w:hint="eastAsia" w:ascii="仿宋" w:hAnsi="仿宋" w:eastAsia="仿宋" w:cs="仿宋_GB2312"/>
          <w:kern w:val="0"/>
          <w:sz w:val="32"/>
          <w:szCs w:val="32"/>
          <w:lang w:eastAsia="zh-CN"/>
        </w:rPr>
        <w:t>《中华人民共和国预算法》</w:t>
      </w:r>
      <w:r>
        <w:rPr>
          <w:rFonts w:hint="eastAsia" w:ascii="仿宋" w:hAnsi="仿宋" w:eastAsia="仿宋" w:cs="仿宋_GB2312"/>
          <w:kern w:val="0"/>
          <w:sz w:val="32"/>
          <w:szCs w:val="32"/>
        </w:rPr>
        <w:t>，按照讲求绩效的原则，对于当年未使用的预算，在调整预算中予以调减。</w:t>
      </w:r>
      <w:r>
        <w:rPr>
          <w:rFonts w:hint="eastAsia" w:ascii="仿宋" w:hAnsi="仿宋" w:eastAsia="仿宋" w:cs="方正仿宋_GBK"/>
          <w:sz w:val="32"/>
          <w:szCs w:val="32"/>
        </w:rPr>
        <w:t>项目支出与2016年持平。</w:t>
      </w:r>
    </w:p>
    <w:p>
      <w:pPr>
        <w:pStyle w:val="4"/>
        <w:widowControl/>
        <w:numPr>
          <w:ilvl w:val="0"/>
          <w:numId w:val="1"/>
        </w:numPr>
        <w:spacing w:line="360" w:lineRule="auto"/>
        <w:ind w:firstLineChars="0"/>
        <w:jc w:val="left"/>
        <w:rPr>
          <w:rFonts w:ascii="黑体" w:hAnsi="黑体" w:eastAsia="黑体" w:cs="仿宋_GB2312"/>
          <w:kern w:val="0"/>
          <w:sz w:val="32"/>
          <w:szCs w:val="32"/>
        </w:rPr>
      </w:pPr>
      <w:r>
        <w:rPr>
          <w:rFonts w:hint="eastAsia" w:ascii="黑体" w:hAnsi="黑体" w:eastAsia="黑体" w:cs="仿宋_GB2312"/>
          <w:kern w:val="0"/>
          <w:sz w:val="32"/>
          <w:szCs w:val="32"/>
        </w:rPr>
        <w:t>机关运行经费安排情况</w:t>
      </w:r>
    </w:p>
    <w:p>
      <w:pPr>
        <w:widowControl/>
        <w:spacing w:line="360" w:lineRule="auto"/>
        <w:ind w:firstLine="640" w:firstLineChars="200"/>
        <w:jc w:val="left"/>
        <w:rPr>
          <w:rFonts w:ascii="仿宋" w:hAnsi="仿宋" w:eastAsia="仿宋" w:cs="仿宋_GB2312"/>
          <w:kern w:val="0"/>
          <w:sz w:val="32"/>
          <w:szCs w:val="32"/>
        </w:rPr>
      </w:pPr>
      <w:r>
        <w:rPr>
          <w:rFonts w:hint="eastAsia" w:ascii="仿宋" w:hAnsi="仿宋" w:eastAsia="仿宋" w:cs="方正仿宋_GBK"/>
          <w:sz w:val="32"/>
          <w:szCs w:val="32"/>
        </w:rPr>
        <w:t>机关运行经费共计安排69.66万元，主要用于办公区的日常维修、办公用房水电费、邮电费、办公用房取暖费、办公用房物业管理费等日常运行支出。</w:t>
      </w:r>
      <w:r>
        <w:rPr>
          <w:rFonts w:ascii="仿宋" w:hAnsi="仿宋" w:eastAsia="仿宋" w:cs="Calibri"/>
          <w:kern w:val="0"/>
          <w:sz w:val="32"/>
          <w:szCs w:val="32"/>
        </w:rPr>
        <w:t>人员经费支出</w:t>
      </w:r>
      <w:r>
        <w:rPr>
          <w:rFonts w:hint="eastAsia" w:ascii="仿宋" w:hAnsi="仿宋" w:eastAsia="仿宋" w:cs="Calibri"/>
          <w:kern w:val="0"/>
          <w:sz w:val="32"/>
          <w:szCs w:val="32"/>
        </w:rPr>
        <w:t>97.95</w:t>
      </w:r>
      <w:r>
        <w:rPr>
          <w:rFonts w:ascii="仿宋" w:hAnsi="仿宋" w:eastAsia="仿宋" w:cs="Calibri"/>
          <w:kern w:val="0"/>
          <w:sz w:val="32"/>
          <w:szCs w:val="32"/>
        </w:rPr>
        <w:t>万元，同比去年增长</w:t>
      </w:r>
      <w:r>
        <w:rPr>
          <w:rFonts w:hint="eastAsia" w:ascii="仿宋" w:hAnsi="仿宋" w:eastAsia="仿宋" w:cs="Calibri"/>
          <w:kern w:val="0"/>
          <w:sz w:val="32"/>
          <w:szCs w:val="32"/>
        </w:rPr>
        <w:t>10</w:t>
      </w:r>
      <w:r>
        <w:rPr>
          <w:rFonts w:ascii="仿宋" w:hAnsi="仿宋" w:eastAsia="仿宋" w:cs="Calibri"/>
          <w:kern w:val="0"/>
          <w:sz w:val="32"/>
          <w:szCs w:val="32"/>
        </w:rPr>
        <w:t>%。增长原因是201</w:t>
      </w:r>
      <w:r>
        <w:rPr>
          <w:rFonts w:hint="eastAsia" w:ascii="仿宋" w:hAnsi="仿宋" w:eastAsia="仿宋" w:cs="Calibri"/>
          <w:kern w:val="0"/>
          <w:sz w:val="32"/>
          <w:szCs w:val="32"/>
        </w:rPr>
        <w:t>6</w:t>
      </w:r>
      <w:r>
        <w:rPr>
          <w:rFonts w:ascii="仿宋" w:hAnsi="仿宋" w:eastAsia="仿宋" w:cs="Calibri"/>
          <w:kern w:val="0"/>
          <w:sz w:val="32"/>
          <w:szCs w:val="32"/>
        </w:rPr>
        <w:t>年机关事业单位统一调高了工资标准。其中，工资福利支</w:t>
      </w:r>
      <w:r>
        <w:rPr>
          <w:rFonts w:hint="eastAsia" w:ascii="仿宋" w:hAnsi="仿宋" w:eastAsia="仿宋" w:cs="Calibri"/>
          <w:kern w:val="0"/>
          <w:sz w:val="32"/>
          <w:szCs w:val="32"/>
        </w:rPr>
        <w:t>出69.66</w:t>
      </w:r>
      <w:r>
        <w:rPr>
          <w:rFonts w:ascii="仿宋" w:hAnsi="仿宋" w:eastAsia="仿宋" w:cs="Calibri"/>
          <w:kern w:val="0"/>
          <w:sz w:val="32"/>
          <w:szCs w:val="32"/>
        </w:rPr>
        <w:t>万元，对个人和家庭的补助支出</w:t>
      </w:r>
      <w:r>
        <w:rPr>
          <w:rFonts w:hint="eastAsia" w:ascii="仿宋" w:hAnsi="仿宋" w:eastAsia="仿宋" w:cs="Calibri"/>
          <w:kern w:val="0"/>
          <w:sz w:val="32"/>
          <w:szCs w:val="32"/>
        </w:rPr>
        <w:t>28.29</w:t>
      </w:r>
      <w:r>
        <w:rPr>
          <w:rFonts w:ascii="仿宋" w:hAnsi="仿宋" w:eastAsia="仿宋" w:cs="Calibri"/>
          <w:kern w:val="0"/>
          <w:sz w:val="32"/>
          <w:szCs w:val="32"/>
        </w:rPr>
        <w:t>万元。</w:t>
      </w: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spacing w:line="560" w:lineRule="exact"/>
        <w:ind w:left="198" w:firstLine="640" w:firstLineChars="200"/>
        <w:rPr>
          <w:rFonts w:ascii="仿宋" w:hAnsi="仿宋" w:eastAsia="仿宋" w:cs="Times New Roman"/>
          <w:sz w:val="32"/>
          <w:szCs w:val="32"/>
        </w:rPr>
      </w:pPr>
      <w:r>
        <w:rPr>
          <w:rFonts w:ascii="仿宋" w:hAnsi="仿宋" w:eastAsia="仿宋" w:cs="Times New Roman"/>
          <w:sz w:val="32"/>
          <w:szCs w:val="32"/>
        </w:rPr>
        <w:t>2017</w:t>
      </w:r>
      <w:r>
        <w:rPr>
          <w:rFonts w:hint="eastAsia" w:ascii="仿宋" w:hAnsi="仿宋" w:eastAsia="仿宋" w:cs="方正仿宋_GBK"/>
          <w:sz w:val="32"/>
          <w:szCs w:val="32"/>
        </w:rPr>
        <w:t>年，我单位</w:t>
      </w:r>
      <w:r>
        <w:rPr>
          <w:rFonts w:hint="eastAsia" w:ascii="仿宋" w:hAnsi="仿宋" w:eastAsia="仿宋" w:cs="Times New Roman"/>
          <w:sz w:val="32"/>
          <w:szCs w:val="32"/>
        </w:rPr>
        <w:t>“</w:t>
      </w:r>
      <w:r>
        <w:rPr>
          <w:rFonts w:hint="eastAsia" w:ascii="仿宋" w:hAnsi="仿宋" w:eastAsia="仿宋" w:cs="方正仿宋_GBK"/>
          <w:sz w:val="32"/>
          <w:szCs w:val="32"/>
        </w:rPr>
        <w:t>三公</w:t>
      </w:r>
      <w:r>
        <w:rPr>
          <w:rFonts w:hint="eastAsia" w:ascii="仿宋" w:hAnsi="仿宋" w:eastAsia="仿宋" w:cs="Times New Roman"/>
          <w:sz w:val="32"/>
          <w:szCs w:val="32"/>
        </w:rPr>
        <w:t>”</w:t>
      </w:r>
      <w:r>
        <w:rPr>
          <w:rFonts w:hint="eastAsia" w:ascii="仿宋" w:hAnsi="仿宋" w:eastAsia="仿宋" w:cs="方正仿宋_GBK"/>
          <w:sz w:val="32"/>
          <w:szCs w:val="32"/>
        </w:rPr>
        <w:t>经费预算安排5万元，其中因公出国（境）费0万元；公务用车购置及运维费5万元（其中：公务用车购置费为0万元，公务用车运行费5万元</w:t>
      </w:r>
      <w:r>
        <w:rPr>
          <w:rFonts w:ascii="仿宋" w:hAnsi="仿宋" w:eastAsia="仿宋" w:cs="Times New Roman"/>
          <w:sz w:val="32"/>
          <w:szCs w:val="32"/>
        </w:rPr>
        <w:t>)</w:t>
      </w:r>
      <w:r>
        <w:rPr>
          <w:rFonts w:hint="eastAsia" w:ascii="仿宋" w:hAnsi="仿宋" w:eastAsia="仿宋" w:cs="方正仿宋_GBK"/>
          <w:sz w:val="32"/>
          <w:szCs w:val="32"/>
        </w:rPr>
        <w:t>；公务接待费0万元。与</w:t>
      </w:r>
      <w:r>
        <w:rPr>
          <w:rFonts w:ascii="仿宋" w:hAnsi="仿宋" w:eastAsia="仿宋" w:cs="Times New Roman"/>
          <w:sz w:val="32"/>
          <w:szCs w:val="32"/>
        </w:rPr>
        <w:t>2016</w:t>
      </w:r>
      <w:r>
        <w:rPr>
          <w:rFonts w:hint="eastAsia" w:ascii="仿宋" w:hAnsi="仿宋" w:eastAsia="仿宋" w:cs="方正仿宋_GBK"/>
          <w:sz w:val="32"/>
          <w:szCs w:val="32"/>
        </w:rPr>
        <w:t>年持平，无增减变化。</w:t>
      </w:r>
    </w:p>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五、绩效预算信息</w:t>
      </w:r>
    </w:p>
    <w:p>
      <w:pPr>
        <w:spacing w:line="560" w:lineRule="exact"/>
        <w:jc w:val="left"/>
        <w:rPr>
          <w:rFonts w:ascii="楷体" w:hAnsi="楷体" w:eastAsia="楷体" w:cs="方正仿宋_GBK"/>
          <w:b/>
          <w:bCs/>
          <w:sz w:val="32"/>
          <w:szCs w:val="32"/>
        </w:rPr>
      </w:pPr>
      <w:r>
        <w:rPr>
          <w:rFonts w:hint="eastAsia" w:ascii="楷体" w:hAnsi="楷体" w:eastAsia="楷体" w:cs="方正仿宋_GBK"/>
          <w:b/>
          <w:bCs/>
          <w:sz w:val="32"/>
          <w:szCs w:val="32"/>
        </w:rPr>
        <w:t>总体绩效目标：</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宣传党的路线、方针、政策和省委、省政府的工作部署，坚持正确舆论导向，发挥主流媒体作用；办好各类广播电视节目；开展各类宣传工作；配合中央台完成我省的采访报道工作并提供各类节目；承担省委、省政府影视宣传片的创作生产、承担影视剧、专题片等的创作生产。负责中央和省广播电视节目的传输发射；负责上星节目的传输；承担有关频率传输发射试验任务；负责全县广播电视微波电路正常运行和维护；负责相关设备的正常运行和维护。在全县建立广播电视安全播出保障体系，对直属台站和省市共管中波发射台进行监管，负责全县广播电视、互联网安全优质播出。</w:t>
      </w: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hint="eastAsia" w:ascii="仿宋" w:hAnsi="仿宋" w:eastAsia="仿宋"/>
          <w:sz w:val="32"/>
          <w:szCs w:val="32"/>
        </w:rPr>
      </w:pPr>
    </w:p>
    <w:p>
      <w:pPr>
        <w:spacing w:line="560" w:lineRule="exact"/>
        <w:ind w:firstLine="420" w:firstLineChars="200"/>
        <w:jc w:val="left"/>
        <w:sectPr>
          <w:pgSz w:w="11907" w:h="16839"/>
          <w:pgMar w:top="1361" w:right="1021" w:bottom="1361" w:left="1021" w:header="851" w:footer="992" w:gutter="0"/>
          <w:cols w:space="720" w:num="1"/>
          <w:docGrid w:type="linesAndChars" w:linePitch="318" w:charSpace="0"/>
        </w:sectPr>
      </w:pPr>
    </w:p>
    <w:p>
      <w:pPr>
        <w:spacing w:line="560" w:lineRule="exact"/>
        <w:ind w:firstLine="643" w:firstLineChars="200"/>
        <w:jc w:val="left"/>
        <w:outlineLvl w:val="0"/>
        <w:rPr>
          <w:rFonts w:hint="eastAsia" w:ascii="楷体_GB2312" w:hAnsi="黑体" w:eastAsia="楷体_GB2312" w:cs="楷体_GB2312"/>
          <w:b/>
          <w:bCs/>
          <w:sz w:val="32"/>
          <w:szCs w:val="32"/>
        </w:rPr>
      </w:pPr>
      <w:r>
        <w:rPr>
          <w:rFonts w:hint="eastAsia" w:ascii="楷体_GB2312" w:hAnsi="黑体" w:eastAsia="楷体_GB2312" w:cs="楷体_GB2312"/>
          <w:b/>
          <w:bCs/>
          <w:sz w:val="32"/>
          <w:szCs w:val="32"/>
        </w:rPr>
        <w:t>部门职责及工作活动绩效目标指标：</w:t>
      </w:r>
    </w:p>
    <w:p>
      <w:pPr>
        <w:spacing w:line="560" w:lineRule="exact"/>
        <w:ind w:firstLine="643" w:firstLineChars="200"/>
        <w:jc w:val="left"/>
        <w:outlineLvl w:val="0"/>
        <w:rPr>
          <w:rFonts w:hint="eastAsia" w:ascii="楷体_GB2312" w:hAnsi="黑体" w:eastAsia="楷体_GB2312" w:cs="楷体_GB2312"/>
          <w:b/>
          <w:bCs/>
          <w:sz w:val="32"/>
          <w:szCs w:val="32"/>
        </w:rPr>
      </w:pPr>
    </w:p>
    <w:p>
      <w:pPr>
        <w:jc w:val="center"/>
        <w:outlineLvl w:val="0"/>
        <w:rPr>
          <w:rFonts w:ascii="仿宋" w:hAnsi="仿宋" w:eastAsia="仿宋" w:cs="仿宋"/>
          <w:sz w:val="32"/>
        </w:rPr>
      </w:pPr>
      <w:bookmarkStart w:id="0" w:name="_Toc482004282"/>
      <w:r>
        <w:rPr>
          <w:rFonts w:hint="eastAsia" w:ascii="仿宋" w:hAnsi="仿宋" w:eastAsia="仿宋" w:cs="仿宋"/>
          <w:sz w:val="32"/>
        </w:rPr>
        <w:t>部门职责-工作活动绩效目标</w:t>
      </w:r>
      <w:bookmarkEnd w:id="0"/>
    </w:p>
    <w:tbl>
      <w:tblPr>
        <w:tblStyle w:val="2"/>
        <w:tblW w:w="138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 w:type="dxa"/>
          <w:bottom w:w="0" w:type="dxa"/>
          <w:right w:w="10" w:type="dxa"/>
        </w:tblCellMar>
      </w:tblPr>
      <w:tblGrid>
        <w:gridCol w:w="2273"/>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tblHeader/>
          <w:jc w:val="center"/>
        </w:trPr>
        <w:tc>
          <w:tcPr>
            <w:tcW w:w="10918"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359</w:t>
            </w:r>
            <w:r>
              <w:rPr>
                <w:rFonts w:hint="eastAsia" w:ascii="方正小标宋_GBK" w:eastAsia="方正小标宋_GBK"/>
                <w:sz w:val="24"/>
              </w:rPr>
              <w:t>成安县广播电视台</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tblHeader/>
          <w:jc w:val="center"/>
        </w:trPr>
        <w:tc>
          <w:tcPr>
            <w:tcW w:w="2273"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tblHeader/>
          <w:jc w:val="center"/>
        </w:trPr>
        <w:tc>
          <w:tcPr>
            <w:tcW w:w="2273"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jc w:val="center"/>
        </w:trPr>
        <w:tc>
          <w:tcPr>
            <w:tcW w:w="2273" w:type="dxa"/>
            <w:vAlign w:val="center"/>
          </w:tcPr>
          <w:p>
            <w:pPr>
              <w:spacing w:line="300" w:lineRule="exact"/>
              <w:jc w:val="left"/>
              <w:rPr>
                <w:rFonts w:ascii="方正书宋_GBK" w:eastAsia="方正书宋_GBK"/>
                <w:b/>
              </w:rPr>
            </w:pPr>
            <w:r>
              <w:rPr>
                <w:rFonts w:hint="eastAsia" w:ascii="方正书宋_GBK" w:eastAsia="方正书宋_GBK"/>
                <w:b/>
              </w:rPr>
              <w:t>新闻出版广播影视事业建设</w:t>
            </w:r>
          </w:p>
        </w:tc>
        <w:tc>
          <w:tcPr>
            <w:tcW w:w="1276" w:type="dxa"/>
            <w:vAlign w:val="center"/>
          </w:tcPr>
          <w:p>
            <w:pPr>
              <w:spacing w:line="300" w:lineRule="exact"/>
              <w:jc w:val="left"/>
              <w:rPr>
                <w:rFonts w:ascii="方正书宋_GBK" w:eastAsia="方正书宋_GBK"/>
              </w:rPr>
            </w:pPr>
            <w:r>
              <w:rPr>
                <w:rFonts w:ascii="方正书宋_GBK" w:eastAsia="方正书宋_GBK"/>
              </w:rPr>
              <w:t>55.41</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指导全县广播电影电视和信息网络视听节目服务科技工作，负责监管全县广播电影电视节目传输、监测和安全播出，指导督查全县广播电影电视安全运行工作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宣传党的路线、方针、政策和省委、省政府的工作部署，坚持正确舆论导向，发挥主流媒体作用；办好各类广播电视节目；开展各类宣传工作；配合中央台完成我省的采访报道工作并提供各类节目；承担省委、省政府影视宣传片的创作生产、承担影视剧、专题片等的创作生产。负责中央和省广播电视节目的传输发射；负责上星节目的传输；承担有关频率传输发射试验任务；负责全县广播电视微波电路正常运行和维护；负责相关设备的正常运行和维护。在全县建立广播电视安全播出保障体系，对直属台站和省市共管中波发射台进行监管，负责全县广播电视、互联网安全优质播</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jc w:val="center"/>
        </w:trPr>
        <w:tc>
          <w:tcPr>
            <w:tcW w:w="2273" w:type="dxa"/>
            <w:vMerge w:val="restart"/>
            <w:vAlign w:val="center"/>
          </w:tcPr>
          <w:p>
            <w:pPr>
              <w:spacing w:line="300" w:lineRule="exact"/>
              <w:jc w:val="left"/>
              <w:rPr>
                <w:rFonts w:ascii="方正书宋_GBK" w:eastAsia="方正书宋_GBK"/>
                <w:b/>
              </w:rPr>
            </w:pPr>
            <w:r>
              <w:rPr>
                <w:rFonts w:hint="eastAsia" w:ascii="方正书宋_GBK" w:eastAsia="方正书宋_GBK"/>
                <w:b/>
              </w:rPr>
              <w:t>　　公共服务工程推广</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55.41</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农家书屋建设、全民阅读活动</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完成国家下达的广播电视直播卫星户户通工程、农村电影工作、县城数字影院升级改造、农家书屋建设、全民阅读活动、老放映员生活补助以及应急广播体系建设等任务目标。</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农家书屋更新完成率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jc w:val="center"/>
        </w:trPr>
        <w:tc>
          <w:tcPr>
            <w:tcW w:w="227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全民阅读活动任务完成率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jc w:val="center"/>
        </w:trPr>
        <w:tc>
          <w:tcPr>
            <w:tcW w:w="227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老放映员补助到位情况</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jc w:val="center"/>
        </w:trPr>
        <w:tc>
          <w:tcPr>
            <w:tcW w:w="227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县城影院票房增长率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jc w:val="center"/>
        </w:trPr>
        <w:tc>
          <w:tcPr>
            <w:tcW w:w="227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应急广播体系建设任务完成数</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jc w:val="center"/>
        </w:trPr>
        <w:tc>
          <w:tcPr>
            <w:tcW w:w="227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户户通工程任务完成率</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 w:type="dxa"/>
            <w:bottom w:w="0" w:type="dxa"/>
            <w:right w:w="10" w:type="dxa"/>
          </w:tblCellMar>
        </w:tblPrEx>
        <w:trPr>
          <w:trHeight w:val="227" w:hRule="atLeast"/>
          <w:jc w:val="center"/>
        </w:trPr>
        <w:tc>
          <w:tcPr>
            <w:tcW w:w="227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农村公益电影放映场次</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bl>
    <w:p>
      <w:pPr>
        <w:spacing w:line="300" w:lineRule="exact"/>
        <w:jc w:val="left"/>
        <w:outlineLvl w:val="0"/>
        <w:sectPr>
          <w:pgSz w:w="16839" w:h="11907" w:orient="landscape"/>
          <w:pgMar w:top="1020" w:right="1361" w:bottom="1020" w:left="1361" w:header="851" w:footer="992" w:gutter="0"/>
          <w:cols w:space="720" w:num="1"/>
          <w:docGrid w:type="lines" w:linePitch="318" w:charSpace="0"/>
        </w:sectPr>
      </w:pPr>
    </w:p>
    <w:p>
      <w:pPr>
        <w:widowControl/>
        <w:spacing w:line="360" w:lineRule="auto"/>
        <w:jc w:val="left"/>
        <w:rPr>
          <w:rFonts w:ascii="Calibri" w:hAnsi="Calibri" w:eastAsia="仿宋_GB2312" w:cs="Calibri"/>
          <w:b/>
          <w:kern w:val="0"/>
          <w:sz w:val="32"/>
          <w:szCs w:val="32"/>
        </w:rPr>
      </w:pPr>
    </w:p>
    <w:p>
      <w:pPr>
        <w:autoSpaceDE w:val="0"/>
        <w:autoSpaceDN w:val="0"/>
        <w:adjustRightInd w:val="0"/>
        <w:spacing w:line="56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spacing w:line="560" w:lineRule="exact"/>
        <w:ind w:firstLine="640" w:firstLineChars="200"/>
        <w:outlineLvl w:val="0"/>
        <w:rPr>
          <w:rFonts w:ascii="仿宋" w:hAnsi="仿宋" w:eastAsia="仿宋" w:cs="Times New Roman"/>
          <w:sz w:val="32"/>
          <w:szCs w:val="32"/>
        </w:rPr>
      </w:pPr>
      <w:r>
        <w:rPr>
          <w:rFonts w:ascii="仿宋" w:hAnsi="仿宋" w:eastAsia="仿宋" w:cs="Times New Roman"/>
          <w:sz w:val="32"/>
          <w:szCs w:val="32"/>
        </w:rPr>
        <w:t>2017</w:t>
      </w:r>
      <w:r>
        <w:rPr>
          <w:rFonts w:hint="eastAsia" w:ascii="仿宋" w:hAnsi="仿宋" w:eastAsia="仿宋" w:cs="方正仿宋_GBK"/>
          <w:sz w:val="32"/>
          <w:szCs w:val="32"/>
        </w:rPr>
        <w:t>年，我单位安排政府采购预算15万元。具体内容见下表。</w:t>
      </w:r>
    </w:p>
    <w:p>
      <w:pPr>
        <w:widowControl/>
        <w:jc w:val="center"/>
        <w:rPr>
          <w:rFonts w:ascii="宋体" w:hAnsi="宋体" w:eastAsia="宋体" w:cs="Times New Roman"/>
          <w:sz w:val="32"/>
          <w:szCs w:val="32"/>
        </w:rPr>
      </w:pPr>
      <w:r>
        <w:rPr>
          <w:rFonts w:hint="eastAsia" w:ascii="楷体" w:hAnsi="楷体" w:eastAsia="楷体" w:cs="宋体"/>
          <w:b/>
          <w:bCs/>
          <w:kern w:val="0"/>
          <w:sz w:val="32"/>
          <w:szCs w:val="32"/>
        </w:rPr>
        <w:t>部门政府采购预算</w:t>
      </w:r>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7"/>
        <w:gridCol w:w="699"/>
        <w:gridCol w:w="1124"/>
        <w:gridCol w:w="598"/>
        <w:gridCol w:w="563"/>
        <w:gridCol w:w="563"/>
        <w:gridCol w:w="749"/>
        <w:gridCol w:w="729"/>
        <w:gridCol w:w="640"/>
        <w:gridCol w:w="640"/>
        <w:gridCol w:w="521"/>
        <w:gridCol w:w="568"/>
        <w:gridCol w:w="572"/>
        <w:gridCol w:w="5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673" w:type="dxa"/>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sz w:val="24"/>
                <w:szCs w:val="24"/>
              </w:rPr>
            </w:pPr>
            <w:r>
              <w:rPr>
                <w:rFonts w:hint="eastAsia" w:ascii="宋体" w:hAnsi="宋体" w:eastAsia="宋体" w:cs="方正小标宋_GBK"/>
                <w:sz w:val="24"/>
                <w:szCs w:val="24"/>
              </w:rPr>
              <w:t>部门（单位）名称：成安县广播电视台</w:t>
            </w:r>
          </w:p>
        </w:tc>
        <w:tc>
          <w:tcPr>
            <w:tcW w:w="4182"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24"/>
                <w:szCs w:val="24"/>
              </w:rPr>
            </w:pPr>
            <w:r>
              <w:rPr>
                <w:rFonts w:hint="eastAsia" w:ascii="宋体" w:hAnsi="宋体" w:eastAsia="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076" w:type="dxa"/>
            <w:gridSpan w:val="2"/>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政府采购项目来源</w:t>
            </w:r>
          </w:p>
        </w:tc>
        <w:tc>
          <w:tcPr>
            <w:tcW w:w="1124"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采购物品名称</w:t>
            </w:r>
          </w:p>
        </w:tc>
        <w:tc>
          <w:tcPr>
            <w:tcW w:w="598"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政府采购目录序号</w:t>
            </w:r>
          </w:p>
        </w:tc>
        <w:tc>
          <w:tcPr>
            <w:tcW w:w="563"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数量</w:t>
            </w:r>
            <w:r>
              <w:rPr>
                <w:rFonts w:ascii="宋体" w:hAnsi="宋体" w:eastAsia="宋体" w:cs="方正书宋_GBK"/>
                <w:b/>
                <w:bCs/>
              </w:rPr>
              <w:t xml:space="preserve">  </w:t>
            </w:r>
            <w:r>
              <w:rPr>
                <w:rFonts w:hint="eastAsia" w:ascii="宋体" w:hAnsi="宋体" w:eastAsia="宋体" w:cs="方正书宋_GBK"/>
                <w:b/>
                <w:bCs/>
              </w:rPr>
              <w:t>单位</w:t>
            </w:r>
          </w:p>
        </w:tc>
        <w:tc>
          <w:tcPr>
            <w:tcW w:w="563"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数量</w:t>
            </w:r>
          </w:p>
        </w:tc>
        <w:tc>
          <w:tcPr>
            <w:tcW w:w="749"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单价</w:t>
            </w:r>
          </w:p>
        </w:tc>
        <w:tc>
          <w:tcPr>
            <w:tcW w:w="4182" w:type="dxa"/>
            <w:gridSpan w:val="7"/>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377"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项目名称</w:t>
            </w:r>
          </w:p>
        </w:tc>
        <w:tc>
          <w:tcPr>
            <w:tcW w:w="699"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预算资金</w:t>
            </w:r>
          </w:p>
        </w:tc>
        <w:tc>
          <w:tcPr>
            <w:tcW w:w="1124" w:type="dxa"/>
            <w:vMerge w:val="continue"/>
            <w:vAlign w:val="center"/>
          </w:tcPr>
          <w:p>
            <w:pPr>
              <w:spacing w:line="560" w:lineRule="exact"/>
              <w:jc w:val="left"/>
              <w:outlineLvl w:val="0"/>
              <w:rPr>
                <w:rFonts w:ascii="宋体" w:hAnsi="宋体" w:eastAsia="宋体" w:cs="Times New Roman"/>
              </w:rPr>
            </w:pPr>
          </w:p>
        </w:tc>
        <w:tc>
          <w:tcPr>
            <w:tcW w:w="598" w:type="dxa"/>
            <w:vMerge w:val="continue"/>
            <w:vAlign w:val="center"/>
          </w:tcPr>
          <w:p>
            <w:pPr>
              <w:spacing w:line="280" w:lineRule="exact"/>
              <w:jc w:val="left"/>
              <w:outlineLvl w:val="0"/>
              <w:rPr>
                <w:rFonts w:ascii="宋体" w:hAnsi="宋体" w:eastAsia="宋体" w:cs="Times New Roman"/>
              </w:rPr>
            </w:pPr>
          </w:p>
        </w:tc>
        <w:tc>
          <w:tcPr>
            <w:tcW w:w="563" w:type="dxa"/>
            <w:vMerge w:val="continue"/>
            <w:vAlign w:val="center"/>
          </w:tcPr>
          <w:p>
            <w:pPr>
              <w:spacing w:line="280" w:lineRule="exact"/>
              <w:jc w:val="left"/>
              <w:outlineLvl w:val="0"/>
              <w:rPr>
                <w:rFonts w:ascii="宋体" w:hAnsi="宋体" w:eastAsia="宋体" w:cs="Times New Roman"/>
              </w:rPr>
            </w:pPr>
          </w:p>
        </w:tc>
        <w:tc>
          <w:tcPr>
            <w:tcW w:w="563" w:type="dxa"/>
            <w:vMerge w:val="continue"/>
            <w:vAlign w:val="center"/>
          </w:tcPr>
          <w:p>
            <w:pPr>
              <w:spacing w:line="280" w:lineRule="exact"/>
              <w:jc w:val="left"/>
              <w:outlineLvl w:val="0"/>
              <w:rPr>
                <w:rFonts w:ascii="宋体" w:hAnsi="宋体" w:eastAsia="宋体" w:cs="Times New Roman"/>
              </w:rPr>
            </w:pPr>
          </w:p>
        </w:tc>
        <w:tc>
          <w:tcPr>
            <w:tcW w:w="749" w:type="dxa"/>
            <w:vMerge w:val="continue"/>
            <w:vAlign w:val="center"/>
          </w:tcPr>
          <w:p>
            <w:pPr>
              <w:spacing w:line="280" w:lineRule="exact"/>
              <w:jc w:val="left"/>
              <w:outlineLvl w:val="0"/>
              <w:rPr>
                <w:rFonts w:ascii="宋体" w:hAnsi="宋体" w:eastAsia="宋体" w:cs="Times New Roman"/>
              </w:rPr>
            </w:pPr>
          </w:p>
        </w:tc>
        <w:tc>
          <w:tcPr>
            <w:tcW w:w="729"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总计</w:t>
            </w:r>
          </w:p>
        </w:tc>
        <w:tc>
          <w:tcPr>
            <w:tcW w:w="2941" w:type="dxa"/>
            <w:gridSpan w:val="5"/>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当年部门预算安排资金</w:t>
            </w:r>
          </w:p>
        </w:tc>
        <w:tc>
          <w:tcPr>
            <w:tcW w:w="512"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1377" w:type="dxa"/>
            <w:vMerge w:val="continue"/>
            <w:vAlign w:val="center"/>
          </w:tcPr>
          <w:p>
            <w:pPr>
              <w:spacing w:line="560" w:lineRule="exact"/>
              <w:jc w:val="left"/>
              <w:outlineLvl w:val="0"/>
              <w:rPr>
                <w:rFonts w:ascii="宋体" w:hAnsi="宋体" w:eastAsia="宋体" w:cs="Times New Roman"/>
              </w:rPr>
            </w:pPr>
          </w:p>
        </w:tc>
        <w:tc>
          <w:tcPr>
            <w:tcW w:w="699" w:type="dxa"/>
            <w:vMerge w:val="continue"/>
            <w:vAlign w:val="center"/>
          </w:tcPr>
          <w:p>
            <w:pPr>
              <w:spacing w:line="560" w:lineRule="exact"/>
              <w:jc w:val="left"/>
              <w:outlineLvl w:val="0"/>
              <w:rPr>
                <w:rFonts w:ascii="宋体" w:hAnsi="宋体" w:eastAsia="宋体" w:cs="Times New Roman"/>
              </w:rPr>
            </w:pPr>
          </w:p>
        </w:tc>
        <w:tc>
          <w:tcPr>
            <w:tcW w:w="1124" w:type="dxa"/>
            <w:vMerge w:val="continue"/>
            <w:vAlign w:val="center"/>
          </w:tcPr>
          <w:p>
            <w:pPr>
              <w:spacing w:line="560" w:lineRule="exact"/>
              <w:jc w:val="left"/>
              <w:outlineLvl w:val="0"/>
              <w:rPr>
                <w:rFonts w:ascii="宋体" w:hAnsi="宋体" w:eastAsia="宋体" w:cs="Times New Roman"/>
              </w:rPr>
            </w:pPr>
          </w:p>
        </w:tc>
        <w:tc>
          <w:tcPr>
            <w:tcW w:w="598" w:type="dxa"/>
            <w:vMerge w:val="continue"/>
            <w:vAlign w:val="center"/>
          </w:tcPr>
          <w:p>
            <w:pPr>
              <w:spacing w:line="280" w:lineRule="exact"/>
              <w:jc w:val="left"/>
              <w:outlineLvl w:val="0"/>
              <w:rPr>
                <w:rFonts w:ascii="宋体" w:hAnsi="宋体" w:eastAsia="宋体" w:cs="Times New Roman"/>
              </w:rPr>
            </w:pPr>
          </w:p>
        </w:tc>
        <w:tc>
          <w:tcPr>
            <w:tcW w:w="563" w:type="dxa"/>
            <w:vMerge w:val="continue"/>
            <w:vAlign w:val="center"/>
          </w:tcPr>
          <w:p>
            <w:pPr>
              <w:spacing w:line="280" w:lineRule="exact"/>
              <w:jc w:val="left"/>
              <w:outlineLvl w:val="0"/>
              <w:rPr>
                <w:rFonts w:ascii="宋体" w:hAnsi="宋体" w:eastAsia="宋体" w:cs="Times New Roman"/>
              </w:rPr>
            </w:pPr>
          </w:p>
        </w:tc>
        <w:tc>
          <w:tcPr>
            <w:tcW w:w="563" w:type="dxa"/>
            <w:vMerge w:val="continue"/>
            <w:vAlign w:val="center"/>
          </w:tcPr>
          <w:p>
            <w:pPr>
              <w:spacing w:line="280" w:lineRule="exact"/>
              <w:jc w:val="left"/>
              <w:outlineLvl w:val="0"/>
              <w:rPr>
                <w:rFonts w:ascii="宋体" w:hAnsi="宋体" w:eastAsia="宋体" w:cs="Times New Roman"/>
              </w:rPr>
            </w:pPr>
          </w:p>
        </w:tc>
        <w:tc>
          <w:tcPr>
            <w:tcW w:w="749" w:type="dxa"/>
            <w:vMerge w:val="continue"/>
            <w:vAlign w:val="center"/>
          </w:tcPr>
          <w:p>
            <w:pPr>
              <w:spacing w:line="280" w:lineRule="exact"/>
              <w:jc w:val="left"/>
              <w:outlineLvl w:val="0"/>
              <w:rPr>
                <w:rFonts w:ascii="宋体" w:hAnsi="宋体" w:eastAsia="宋体" w:cs="Times New Roman"/>
              </w:rPr>
            </w:pPr>
          </w:p>
        </w:tc>
        <w:tc>
          <w:tcPr>
            <w:tcW w:w="729" w:type="dxa"/>
            <w:vMerge w:val="continue"/>
            <w:vAlign w:val="center"/>
          </w:tcPr>
          <w:p>
            <w:pPr>
              <w:spacing w:line="280" w:lineRule="exact"/>
              <w:jc w:val="left"/>
              <w:outlineLvl w:val="0"/>
              <w:rPr>
                <w:rFonts w:ascii="宋体" w:hAnsi="宋体" w:eastAsia="宋体" w:cs="Times New Roman"/>
              </w:rPr>
            </w:pPr>
          </w:p>
        </w:tc>
        <w:tc>
          <w:tcPr>
            <w:tcW w:w="640"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合计</w:t>
            </w:r>
          </w:p>
        </w:tc>
        <w:tc>
          <w:tcPr>
            <w:tcW w:w="640"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一般公共预算拨款</w:t>
            </w:r>
          </w:p>
        </w:tc>
        <w:tc>
          <w:tcPr>
            <w:tcW w:w="521"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基金预算拨款</w:t>
            </w:r>
          </w:p>
        </w:tc>
        <w:tc>
          <w:tcPr>
            <w:tcW w:w="568"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财政专户核拨</w:t>
            </w:r>
          </w:p>
        </w:tc>
        <w:tc>
          <w:tcPr>
            <w:tcW w:w="572"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其他来源收入</w:t>
            </w:r>
          </w:p>
        </w:tc>
        <w:tc>
          <w:tcPr>
            <w:tcW w:w="512" w:type="dxa"/>
            <w:vMerge w:val="continue"/>
            <w:vAlign w:val="center"/>
          </w:tcPr>
          <w:p>
            <w:pPr>
              <w:spacing w:line="560" w:lineRule="exact"/>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7"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　计</w:t>
            </w:r>
          </w:p>
        </w:tc>
        <w:tc>
          <w:tcPr>
            <w:tcW w:w="699"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15</w:t>
            </w:r>
          </w:p>
        </w:tc>
        <w:tc>
          <w:tcPr>
            <w:tcW w:w="1124" w:type="dxa"/>
            <w:vAlign w:val="center"/>
          </w:tcPr>
          <w:p>
            <w:pPr>
              <w:spacing w:line="560" w:lineRule="exact"/>
              <w:jc w:val="left"/>
              <w:rPr>
                <w:rFonts w:ascii="宋体" w:hAnsi="宋体" w:eastAsia="宋体" w:cs="Times New Roman"/>
                <w:b/>
                <w:bCs/>
              </w:rPr>
            </w:pPr>
            <w:r>
              <w:rPr>
                <w:rFonts w:hint="eastAsia" w:ascii="宋体" w:hAnsi="宋体" w:eastAsia="宋体" w:cs="Times New Roman"/>
                <w:b/>
                <w:bCs/>
              </w:rPr>
              <w:t>电脑</w:t>
            </w:r>
          </w:p>
        </w:tc>
        <w:tc>
          <w:tcPr>
            <w:tcW w:w="598" w:type="dxa"/>
            <w:vAlign w:val="center"/>
          </w:tcPr>
          <w:p>
            <w:pPr>
              <w:spacing w:line="560" w:lineRule="exact"/>
              <w:jc w:val="left"/>
              <w:rPr>
                <w:rFonts w:ascii="宋体" w:hAnsi="宋体" w:eastAsia="宋体" w:cs="Times New Roman"/>
                <w:b/>
                <w:bCs/>
              </w:rPr>
            </w:pPr>
          </w:p>
        </w:tc>
        <w:tc>
          <w:tcPr>
            <w:tcW w:w="563" w:type="dxa"/>
            <w:vAlign w:val="center"/>
          </w:tcPr>
          <w:p>
            <w:pPr>
              <w:spacing w:line="560" w:lineRule="exact"/>
              <w:jc w:val="left"/>
              <w:rPr>
                <w:rFonts w:ascii="宋体" w:hAnsi="宋体" w:eastAsia="宋体" w:cs="Times New Roman"/>
                <w:b/>
                <w:bCs/>
              </w:rPr>
            </w:pPr>
          </w:p>
        </w:tc>
        <w:tc>
          <w:tcPr>
            <w:tcW w:w="563" w:type="dxa"/>
            <w:vAlign w:val="center"/>
          </w:tcPr>
          <w:p>
            <w:pPr>
              <w:spacing w:line="560" w:lineRule="exact"/>
              <w:jc w:val="right"/>
              <w:rPr>
                <w:rFonts w:ascii="宋体" w:hAnsi="宋体" w:eastAsia="宋体" w:cs="Times New Roman"/>
                <w:b/>
                <w:bCs/>
              </w:rPr>
            </w:pPr>
          </w:p>
        </w:tc>
        <w:tc>
          <w:tcPr>
            <w:tcW w:w="749" w:type="dxa"/>
            <w:vAlign w:val="center"/>
          </w:tcPr>
          <w:p>
            <w:pPr>
              <w:spacing w:line="560" w:lineRule="exact"/>
              <w:jc w:val="right"/>
              <w:rPr>
                <w:rFonts w:ascii="宋体" w:hAnsi="宋体" w:eastAsia="宋体" w:cs="Times New Roman"/>
                <w:b/>
                <w:bCs/>
              </w:rPr>
            </w:pPr>
          </w:p>
        </w:tc>
        <w:tc>
          <w:tcPr>
            <w:tcW w:w="729"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15</w:t>
            </w:r>
          </w:p>
        </w:tc>
        <w:tc>
          <w:tcPr>
            <w:tcW w:w="640"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15</w:t>
            </w:r>
          </w:p>
        </w:tc>
        <w:tc>
          <w:tcPr>
            <w:tcW w:w="640"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15</w:t>
            </w:r>
          </w:p>
        </w:tc>
        <w:tc>
          <w:tcPr>
            <w:tcW w:w="521" w:type="dxa"/>
            <w:vAlign w:val="center"/>
          </w:tcPr>
          <w:p>
            <w:pPr>
              <w:spacing w:line="560" w:lineRule="exact"/>
              <w:jc w:val="right"/>
              <w:rPr>
                <w:rFonts w:ascii="宋体" w:hAnsi="宋体" w:eastAsia="宋体" w:cs="Times New Roman"/>
                <w:b/>
                <w:bCs/>
              </w:rPr>
            </w:pPr>
          </w:p>
        </w:tc>
        <w:tc>
          <w:tcPr>
            <w:tcW w:w="568" w:type="dxa"/>
            <w:vAlign w:val="center"/>
          </w:tcPr>
          <w:p>
            <w:pPr>
              <w:spacing w:line="560" w:lineRule="exact"/>
              <w:jc w:val="right"/>
              <w:rPr>
                <w:rFonts w:ascii="宋体" w:hAnsi="宋体" w:eastAsia="宋体" w:cs="Times New Roman"/>
                <w:b/>
                <w:bCs/>
              </w:rPr>
            </w:pPr>
          </w:p>
        </w:tc>
        <w:tc>
          <w:tcPr>
            <w:tcW w:w="572" w:type="dxa"/>
            <w:vAlign w:val="center"/>
          </w:tcPr>
          <w:p>
            <w:pPr>
              <w:spacing w:line="560" w:lineRule="exact"/>
              <w:jc w:val="right"/>
              <w:rPr>
                <w:rFonts w:ascii="宋体" w:hAnsi="宋体" w:eastAsia="宋体" w:cs="Times New Roman"/>
                <w:b/>
                <w:bCs/>
              </w:rPr>
            </w:pPr>
          </w:p>
        </w:tc>
        <w:tc>
          <w:tcPr>
            <w:tcW w:w="512"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7" w:type="dxa"/>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电脑</w:t>
            </w:r>
          </w:p>
        </w:tc>
        <w:tc>
          <w:tcPr>
            <w:tcW w:w="699"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4.08</w:t>
            </w:r>
          </w:p>
        </w:tc>
        <w:tc>
          <w:tcPr>
            <w:tcW w:w="1124" w:type="dxa"/>
            <w:vAlign w:val="center"/>
          </w:tcPr>
          <w:p>
            <w:pPr>
              <w:spacing w:line="560" w:lineRule="exact"/>
              <w:jc w:val="left"/>
              <w:rPr>
                <w:rFonts w:ascii="宋体" w:hAnsi="宋体" w:eastAsia="宋体" w:cs="Times New Roman"/>
                <w:b/>
                <w:bCs/>
              </w:rPr>
            </w:pPr>
            <w:r>
              <w:rPr>
                <w:rFonts w:hint="eastAsia" w:ascii="宋体" w:hAnsi="宋体" w:eastAsia="宋体" w:cs="Times New Roman"/>
                <w:b/>
                <w:bCs/>
              </w:rPr>
              <w:t>电脑</w:t>
            </w:r>
          </w:p>
        </w:tc>
        <w:tc>
          <w:tcPr>
            <w:tcW w:w="598" w:type="dxa"/>
            <w:vAlign w:val="center"/>
          </w:tcPr>
          <w:p>
            <w:pPr>
              <w:spacing w:line="560" w:lineRule="exact"/>
              <w:jc w:val="left"/>
              <w:rPr>
                <w:rFonts w:ascii="宋体" w:hAnsi="宋体" w:eastAsia="宋体" w:cs="Times New Roman"/>
                <w:b/>
                <w:bCs/>
              </w:rPr>
            </w:pPr>
          </w:p>
        </w:tc>
        <w:tc>
          <w:tcPr>
            <w:tcW w:w="563" w:type="dxa"/>
            <w:vAlign w:val="center"/>
          </w:tcPr>
          <w:p>
            <w:pPr>
              <w:spacing w:line="560" w:lineRule="exact"/>
              <w:jc w:val="left"/>
              <w:rPr>
                <w:rFonts w:ascii="宋体" w:hAnsi="宋体" w:eastAsia="宋体" w:cs="Times New Roman"/>
                <w:b/>
                <w:bCs/>
              </w:rPr>
            </w:pPr>
            <w:r>
              <w:rPr>
                <w:rFonts w:hint="eastAsia" w:ascii="宋体" w:hAnsi="宋体" w:eastAsia="宋体" w:cs="Times New Roman"/>
                <w:b/>
                <w:bCs/>
              </w:rPr>
              <w:t>台</w:t>
            </w:r>
          </w:p>
        </w:tc>
        <w:tc>
          <w:tcPr>
            <w:tcW w:w="563"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12</w:t>
            </w:r>
          </w:p>
        </w:tc>
        <w:tc>
          <w:tcPr>
            <w:tcW w:w="749"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0.34</w:t>
            </w:r>
          </w:p>
        </w:tc>
        <w:tc>
          <w:tcPr>
            <w:tcW w:w="729"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4.08</w:t>
            </w:r>
          </w:p>
        </w:tc>
        <w:tc>
          <w:tcPr>
            <w:tcW w:w="640"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4.08</w:t>
            </w:r>
          </w:p>
        </w:tc>
        <w:tc>
          <w:tcPr>
            <w:tcW w:w="640"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4.08</w:t>
            </w:r>
          </w:p>
        </w:tc>
        <w:tc>
          <w:tcPr>
            <w:tcW w:w="521" w:type="dxa"/>
            <w:vAlign w:val="center"/>
          </w:tcPr>
          <w:p>
            <w:pPr>
              <w:spacing w:line="560" w:lineRule="exact"/>
              <w:jc w:val="right"/>
              <w:rPr>
                <w:rFonts w:ascii="宋体" w:hAnsi="宋体" w:eastAsia="宋体" w:cs="Times New Roman"/>
                <w:b/>
                <w:bCs/>
              </w:rPr>
            </w:pPr>
          </w:p>
        </w:tc>
        <w:tc>
          <w:tcPr>
            <w:tcW w:w="568" w:type="dxa"/>
            <w:vAlign w:val="center"/>
          </w:tcPr>
          <w:p>
            <w:pPr>
              <w:spacing w:line="560" w:lineRule="exact"/>
              <w:jc w:val="right"/>
              <w:rPr>
                <w:rFonts w:ascii="宋体" w:hAnsi="宋体" w:eastAsia="宋体" w:cs="Times New Roman"/>
                <w:b/>
                <w:bCs/>
              </w:rPr>
            </w:pPr>
          </w:p>
        </w:tc>
        <w:tc>
          <w:tcPr>
            <w:tcW w:w="572" w:type="dxa"/>
            <w:vAlign w:val="center"/>
          </w:tcPr>
          <w:p>
            <w:pPr>
              <w:spacing w:line="560" w:lineRule="exact"/>
              <w:jc w:val="right"/>
              <w:rPr>
                <w:rFonts w:ascii="宋体" w:hAnsi="宋体" w:eastAsia="宋体" w:cs="Times New Roman"/>
                <w:b/>
                <w:bCs/>
              </w:rPr>
            </w:pPr>
          </w:p>
        </w:tc>
        <w:tc>
          <w:tcPr>
            <w:tcW w:w="512"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7"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摄像机</w:t>
            </w:r>
          </w:p>
        </w:tc>
        <w:tc>
          <w:tcPr>
            <w:tcW w:w="699"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5.92</w:t>
            </w:r>
          </w:p>
        </w:tc>
        <w:tc>
          <w:tcPr>
            <w:tcW w:w="112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摄像机</w:t>
            </w:r>
          </w:p>
        </w:tc>
        <w:tc>
          <w:tcPr>
            <w:tcW w:w="598" w:type="dxa"/>
            <w:vAlign w:val="center"/>
          </w:tcPr>
          <w:p>
            <w:pPr>
              <w:spacing w:line="560" w:lineRule="exact"/>
              <w:jc w:val="center"/>
              <w:rPr>
                <w:rFonts w:ascii="宋体" w:hAnsi="宋体" w:eastAsia="宋体" w:cs="方正书宋_GBK"/>
                <w:b/>
                <w:bCs/>
              </w:rPr>
            </w:pPr>
          </w:p>
        </w:tc>
        <w:tc>
          <w:tcPr>
            <w:tcW w:w="563"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台</w:t>
            </w:r>
          </w:p>
        </w:tc>
        <w:tc>
          <w:tcPr>
            <w:tcW w:w="563"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2</w:t>
            </w:r>
          </w:p>
        </w:tc>
        <w:tc>
          <w:tcPr>
            <w:tcW w:w="749"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2.96</w:t>
            </w:r>
          </w:p>
        </w:tc>
        <w:tc>
          <w:tcPr>
            <w:tcW w:w="729"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5.92</w:t>
            </w:r>
          </w:p>
        </w:tc>
        <w:tc>
          <w:tcPr>
            <w:tcW w:w="64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5.92</w:t>
            </w:r>
          </w:p>
        </w:tc>
        <w:tc>
          <w:tcPr>
            <w:tcW w:w="64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5.92</w:t>
            </w:r>
          </w:p>
        </w:tc>
        <w:tc>
          <w:tcPr>
            <w:tcW w:w="521" w:type="dxa"/>
            <w:vAlign w:val="center"/>
          </w:tcPr>
          <w:p>
            <w:pPr>
              <w:spacing w:line="560" w:lineRule="exact"/>
              <w:jc w:val="right"/>
              <w:rPr>
                <w:rFonts w:ascii="宋体" w:hAnsi="宋体" w:eastAsia="宋体" w:cs="Times New Roman"/>
              </w:rPr>
            </w:pPr>
          </w:p>
        </w:tc>
        <w:tc>
          <w:tcPr>
            <w:tcW w:w="568" w:type="dxa"/>
            <w:vAlign w:val="center"/>
          </w:tcPr>
          <w:p>
            <w:pPr>
              <w:spacing w:line="560" w:lineRule="exact"/>
              <w:jc w:val="right"/>
              <w:rPr>
                <w:rFonts w:ascii="宋体" w:hAnsi="宋体" w:eastAsia="宋体" w:cs="Times New Roman"/>
              </w:rPr>
            </w:pPr>
          </w:p>
        </w:tc>
        <w:tc>
          <w:tcPr>
            <w:tcW w:w="572" w:type="dxa"/>
            <w:vAlign w:val="center"/>
          </w:tcPr>
          <w:p>
            <w:pPr>
              <w:spacing w:line="560" w:lineRule="exact"/>
              <w:jc w:val="right"/>
              <w:rPr>
                <w:rFonts w:ascii="宋体" w:hAnsi="宋体" w:eastAsia="宋体" w:cs="Times New Roman"/>
              </w:rPr>
            </w:pPr>
          </w:p>
        </w:tc>
        <w:tc>
          <w:tcPr>
            <w:tcW w:w="512"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377"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办公电脑</w:t>
            </w:r>
          </w:p>
        </w:tc>
        <w:tc>
          <w:tcPr>
            <w:tcW w:w="699"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3.5</w:t>
            </w:r>
          </w:p>
        </w:tc>
        <w:tc>
          <w:tcPr>
            <w:tcW w:w="112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办公电脑</w:t>
            </w:r>
          </w:p>
        </w:tc>
        <w:tc>
          <w:tcPr>
            <w:tcW w:w="598" w:type="dxa"/>
            <w:vAlign w:val="center"/>
          </w:tcPr>
          <w:p>
            <w:pPr>
              <w:spacing w:line="560" w:lineRule="exact"/>
              <w:jc w:val="center"/>
              <w:rPr>
                <w:rFonts w:ascii="宋体" w:hAnsi="宋体" w:eastAsia="宋体" w:cs="方正书宋_GBK"/>
                <w:b/>
                <w:bCs/>
              </w:rPr>
            </w:pPr>
          </w:p>
        </w:tc>
        <w:tc>
          <w:tcPr>
            <w:tcW w:w="563"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台</w:t>
            </w:r>
          </w:p>
        </w:tc>
        <w:tc>
          <w:tcPr>
            <w:tcW w:w="563"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10</w:t>
            </w:r>
          </w:p>
        </w:tc>
        <w:tc>
          <w:tcPr>
            <w:tcW w:w="749"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0.35</w:t>
            </w:r>
          </w:p>
        </w:tc>
        <w:tc>
          <w:tcPr>
            <w:tcW w:w="729"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3.5</w:t>
            </w:r>
          </w:p>
        </w:tc>
        <w:tc>
          <w:tcPr>
            <w:tcW w:w="64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3.5</w:t>
            </w:r>
          </w:p>
        </w:tc>
        <w:tc>
          <w:tcPr>
            <w:tcW w:w="64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3.5</w:t>
            </w:r>
          </w:p>
        </w:tc>
        <w:tc>
          <w:tcPr>
            <w:tcW w:w="521" w:type="dxa"/>
            <w:vAlign w:val="center"/>
          </w:tcPr>
          <w:p>
            <w:pPr>
              <w:spacing w:line="560" w:lineRule="exact"/>
              <w:jc w:val="right"/>
              <w:rPr>
                <w:rFonts w:ascii="宋体" w:hAnsi="宋体" w:eastAsia="宋体" w:cs="Times New Roman"/>
              </w:rPr>
            </w:pPr>
          </w:p>
        </w:tc>
        <w:tc>
          <w:tcPr>
            <w:tcW w:w="568" w:type="dxa"/>
            <w:vAlign w:val="center"/>
          </w:tcPr>
          <w:p>
            <w:pPr>
              <w:spacing w:line="560" w:lineRule="exact"/>
              <w:jc w:val="right"/>
              <w:rPr>
                <w:rFonts w:ascii="宋体" w:hAnsi="宋体" w:eastAsia="宋体" w:cs="Times New Roman"/>
              </w:rPr>
            </w:pPr>
          </w:p>
        </w:tc>
        <w:tc>
          <w:tcPr>
            <w:tcW w:w="572" w:type="dxa"/>
            <w:vAlign w:val="center"/>
          </w:tcPr>
          <w:p>
            <w:pPr>
              <w:spacing w:line="560" w:lineRule="exact"/>
              <w:jc w:val="right"/>
              <w:rPr>
                <w:rFonts w:ascii="宋体" w:hAnsi="宋体" w:eastAsia="宋体" w:cs="Times New Roman"/>
              </w:rPr>
            </w:pPr>
          </w:p>
        </w:tc>
        <w:tc>
          <w:tcPr>
            <w:tcW w:w="512"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7"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办公桌</w:t>
            </w:r>
          </w:p>
        </w:tc>
        <w:tc>
          <w:tcPr>
            <w:tcW w:w="699"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0.24</w:t>
            </w:r>
          </w:p>
        </w:tc>
        <w:tc>
          <w:tcPr>
            <w:tcW w:w="112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办公桌</w:t>
            </w:r>
          </w:p>
        </w:tc>
        <w:tc>
          <w:tcPr>
            <w:tcW w:w="598" w:type="dxa"/>
            <w:vAlign w:val="center"/>
          </w:tcPr>
          <w:p>
            <w:pPr>
              <w:spacing w:line="560" w:lineRule="exact"/>
              <w:jc w:val="center"/>
              <w:rPr>
                <w:rFonts w:ascii="宋体" w:hAnsi="宋体" w:eastAsia="宋体" w:cs="方正书宋_GBK"/>
                <w:b/>
                <w:bCs/>
              </w:rPr>
            </w:pPr>
          </w:p>
        </w:tc>
        <w:tc>
          <w:tcPr>
            <w:tcW w:w="563"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张</w:t>
            </w:r>
          </w:p>
        </w:tc>
        <w:tc>
          <w:tcPr>
            <w:tcW w:w="563"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3</w:t>
            </w:r>
          </w:p>
        </w:tc>
        <w:tc>
          <w:tcPr>
            <w:tcW w:w="749"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0.08</w:t>
            </w:r>
          </w:p>
        </w:tc>
        <w:tc>
          <w:tcPr>
            <w:tcW w:w="729"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0.24</w:t>
            </w:r>
          </w:p>
        </w:tc>
        <w:tc>
          <w:tcPr>
            <w:tcW w:w="64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0.24</w:t>
            </w:r>
          </w:p>
        </w:tc>
        <w:tc>
          <w:tcPr>
            <w:tcW w:w="64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0.24</w:t>
            </w:r>
          </w:p>
        </w:tc>
        <w:tc>
          <w:tcPr>
            <w:tcW w:w="521" w:type="dxa"/>
            <w:vAlign w:val="center"/>
          </w:tcPr>
          <w:p>
            <w:pPr>
              <w:spacing w:line="560" w:lineRule="exact"/>
              <w:jc w:val="right"/>
              <w:rPr>
                <w:rFonts w:ascii="宋体" w:hAnsi="宋体" w:eastAsia="宋体" w:cs="Times New Roman"/>
              </w:rPr>
            </w:pPr>
          </w:p>
        </w:tc>
        <w:tc>
          <w:tcPr>
            <w:tcW w:w="568" w:type="dxa"/>
            <w:vAlign w:val="center"/>
          </w:tcPr>
          <w:p>
            <w:pPr>
              <w:spacing w:line="560" w:lineRule="exact"/>
              <w:jc w:val="right"/>
              <w:rPr>
                <w:rFonts w:ascii="宋体" w:hAnsi="宋体" w:eastAsia="宋体" w:cs="Times New Roman"/>
              </w:rPr>
            </w:pPr>
          </w:p>
        </w:tc>
        <w:tc>
          <w:tcPr>
            <w:tcW w:w="572" w:type="dxa"/>
            <w:vAlign w:val="center"/>
          </w:tcPr>
          <w:p>
            <w:pPr>
              <w:spacing w:line="560" w:lineRule="exact"/>
              <w:jc w:val="right"/>
              <w:rPr>
                <w:rFonts w:ascii="宋体" w:hAnsi="宋体" w:eastAsia="宋体" w:cs="Times New Roman"/>
              </w:rPr>
            </w:pPr>
          </w:p>
        </w:tc>
        <w:tc>
          <w:tcPr>
            <w:tcW w:w="512"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7"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椅子</w:t>
            </w:r>
          </w:p>
        </w:tc>
        <w:tc>
          <w:tcPr>
            <w:tcW w:w="699"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0.26</w:t>
            </w:r>
          </w:p>
        </w:tc>
        <w:tc>
          <w:tcPr>
            <w:tcW w:w="112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椅子</w:t>
            </w:r>
          </w:p>
        </w:tc>
        <w:tc>
          <w:tcPr>
            <w:tcW w:w="598" w:type="dxa"/>
            <w:vAlign w:val="center"/>
          </w:tcPr>
          <w:p>
            <w:pPr>
              <w:spacing w:line="560" w:lineRule="exact"/>
              <w:jc w:val="center"/>
              <w:rPr>
                <w:rFonts w:ascii="宋体" w:hAnsi="宋体" w:eastAsia="宋体" w:cs="方正书宋_GBK"/>
                <w:b/>
                <w:bCs/>
              </w:rPr>
            </w:pPr>
          </w:p>
        </w:tc>
        <w:tc>
          <w:tcPr>
            <w:tcW w:w="563"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把</w:t>
            </w:r>
          </w:p>
        </w:tc>
        <w:tc>
          <w:tcPr>
            <w:tcW w:w="563"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10</w:t>
            </w:r>
          </w:p>
        </w:tc>
        <w:tc>
          <w:tcPr>
            <w:tcW w:w="749"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0.026</w:t>
            </w:r>
          </w:p>
        </w:tc>
        <w:tc>
          <w:tcPr>
            <w:tcW w:w="729"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0.26</w:t>
            </w:r>
          </w:p>
        </w:tc>
        <w:tc>
          <w:tcPr>
            <w:tcW w:w="64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0.26</w:t>
            </w:r>
          </w:p>
        </w:tc>
        <w:tc>
          <w:tcPr>
            <w:tcW w:w="64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0.26</w:t>
            </w:r>
          </w:p>
        </w:tc>
        <w:tc>
          <w:tcPr>
            <w:tcW w:w="521" w:type="dxa"/>
            <w:vAlign w:val="center"/>
          </w:tcPr>
          <w:p>
            <w:pPr>
              <w:spacing w:line="560" w:lineRule="exact"/>
              <w:jc w:val="right"/>
              <w:rPr>
                <w:rFonts w:ascii="宋体" w:hAnsi="宋体" w:eastAsia="宋体" w:cs="Times New Roman"/>
              </w:rPr>
            </w:pPr>
          </w:p>
        </w:tc>
        <w:tc>
          <w:tcPr>
            <w:tcW w:w="568" w:type="dxa"/>
            <w:vAlign w:val="center"/>
          </w:tcPr>
          <w:p>
            <w:pPr>
              <w:spacing w:line="560" w:lineRule="exact"/>
              <w:jc w:val="right"/>
              <w:rPr>
                <w:rFonts w:ascii="宋体" w:hAnsi="宋体" w:eastAsia="宋体" w:cs="Times New Roman"/>
              </w:rPr>
            </w:pPr>
          </w:p>
        </w:tc>
        <w:tc>
          <w:tcPr>
            <w:tcW w:w="572" w:type="dxa"/>
            <w:vAlign w:val="center"/>
          </w:tcPr>
          <w:p>
            <w:pPr>
              <w:spacing w:line="560" w:lineRule="exact"/>
              <w:jc w:val="right"/>
              <w:rPr>
                <w:rFonts w:ascii="宋体" w:hAnsi="宋体" w:eastAsia="宋体" w:cs="Times New Roman"/>
              </w:rPr>
            </w:pPr>
          </w:p>
        </w:tc>
        <w:tc>
          <w:tcPr>
            <w:tcW w:w="512"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7"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打印机</w:t>
            </w:r>
          </w:p>
        </w:tc>
        <w:tc>
          <w:tcPr>
            <w:tcW w:w="699"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0.4</w:t>
            </w:r>
          </w:p>
        </w:tc>
        <w:tc>
          <w:tcPr>
            <w:tcW w:w="112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打印机</w:t>
            </w:r>
          </w:p>
        </w:tc>
        <w:tc>
          <w:tcPr>
            <w:tcW w:w="598" w:type="dxa"/>
            <w:vAlign w:val="center"/>
          </w:tcPr>
          <w:p>
            <w:pPr>
              <w:spacing w:line="560" w:lineRule="exact"/>
              <w:jc w:val="center"/>
              <w:rPr>
                <w:rFonts w:ascii="宋体" w:hAnsi="宋体" w:eastAsia="宋体" w:cs="方正书宋_GBK"/>
                <w:b/>
                <w:bCs/>
              </w:rPr>
            </w:pPr>
          </w:p>
        </w:tc>
        <w:tc>
          <w:tcPr>
            <w:tcW w:w="563"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台</w:t>
            </w:r>
          </w:p>
        </w:tc>
        <w:tc>
          <w:tcPr>
            <w:tcW w:w="563"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2</w:t>
            </w:r>
          </w:p>
        </w:tc>
        <w:tc>
          <w:tcPr>
            <w:tcW w:w="749"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w:t>
            </w:r>
          </w:p>
        </w:tc>
        <w:tc>
          <w:tcPr>
            <w:tcW w:w="729"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0.4</w:t>
            </w:r>
          </w:p>
        </w:tc>
        <w:tc>
          <w:tcPr>
            <w:tcW w:w="64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0.4</w:t>
            </w:r>
          </w:p>
        </w:tc>
        <w:tc>
          <w:tcPr>
            <w:tcW w:w="64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0.4</w:t>
            </w:r>
          </w:p>
        </w:tc>
        <w:tc>
          <w:tcPr>
            <w:tcW w:w="521" w:type="dxa"/>
            <w:vAlign w:val="center"/>
          </w:tcPr>
          <w:p>
            <w:pPr>
              <w:spacing w:line="560" w:lineRule="exact"/>
              <w:jc w:val="right"/>
              <w:rPr>
                <w:rFonts w:ascii="宋体" w:hAnsi="宋体" w:eastAsia="宋体" w:cs="Times New Roman"/>
              </w:rPr>
            </w:pPr>
          </w:p>
        </w:tc>
        <w:tc>
          <w:tcPr>
            <w:tcW w:w="568" w:type="dxa"/>
            <w:vAlign w:val="center"/>
          </w:tcPr>
          <w:p>
            <w:pPr>
              <w:spacing w:line="560" w:lineRule="exact"/>
              <w:jc w:val="right"/>
              <w:rPr>
                <w:rFonts w:ascii="宋体" w:hAnsi="宋体" w:eastAsia="宋体" w:cs="Times New Roman"/>
              </w:rPr>
            </w:pPr>
          </w:p>
        </w:tc>
        <w:tc>
          <w:tcPr>
            <w:tcW w:w="572" w:type="dxa"/>
            <w:vAlign w:val="center"/>
          </w:tcPr>
          <w:p>
            <w:pPr>
              <w:spacing w:line="560" w:lineRule="exact"/>
              <w:jc w:val="right"/>
              <w:rPr>
                <w:rFonts w:ascii="宋体" w:hAnsi="宋体" w:eastAsia="宋体" w:cs="Times New Roman"/>
              </w:rPr>
            </w:pPr>
          </w:p>
        </w:tc>
        <w:tc>
          <w:tcPr>
            <w:tcW w:w="512"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377"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文件柜</w:t>
            </w:r>
          </w:p>
        </w:tc>
        <w:tc>
          <w:tcPr>
            <w:tcW w:w="699"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0.4</w:t>
            </w:r>
          </w:p>
        </w:tc>
        <w:tc>
          <w:tcPr>
            <w:tcW w:w="112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文件柜</w:t>
            </w:r>
          </w:p>
        </w:tc>
        <w:tc>
          <w:tcPr>
            <w:tcW w:w="598" w:type="dxa"/>
            <w:vAlign w:val="center"/>
          </w:tcPr>
          <w:p>
            <w:pPr>
              <w:spacing w:line="560" w:lineRule="exact"/>
              <w:jc w:val="center"/>
              <w:rPr>
                <w:rFonts w:ascii="宋体" w:hAnsi="宋体" w:eastAsia="宋体" w:cs="方正书宋_GBK"/>
                <w:b/>
                <w:bCs/>
              </w:rPr>
            </w:pPr>
          </w:p>
        </w:tc>
        <w:tc>
          <w:tcPr>
            <w:tcW w:w="563"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个</w:t>
            </w:r>
          </w:p>
        </w:tc>
        <w:tc>
          <w:tcPr>
            <w:tcW w:w="563"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4</w:t>
            </w:r>
          </w:p>
        </w:tc>
        <w:tc>
          <w:tcPr>
            <w:tcW w:w="749"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0.1</w:t>
            </w:r>
          </w:p>
        </w:tc>
        <w:tc>
          <w:tcPr>
            <w:tcW w:w="729"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0.4</w:t>
            </w:r>
          </w:p>
        </w:tc>
        <w:tc>
          <w:tcPr>
            <w:tcW w:w="64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0.4</w:t>
            </w:r>
          </w:p>
        </w:tc>
        <w:tc>
          <w:tcPr>
            <w:tcW w:w="64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0.4</w:t>
            </w:r>
          </w:p>
        </w:tc>
        <w:tc>
          <w:tcPr>
            <w:tcW w:w="521" w:type="dxa"/>
            <w:vAlign w:val="center"/>
          </w:tcPr>
          <w:p>
            <w:pPr>
              <w:spacing w:line="560" w:lineRule="exact"/>
              <w:jc w:val="right"/>
              <w:rPr>
                <w:rFonts w:ascii="宋体" w:hAnsi="宋体" w:eastAsia="宋体" w:cs="Times New Roman"/>
              </w:rPr>
            </w:pPr>
          </w:p>
        </w:tc>
        <w:tc>
          <w:tcPr>
            <w:tcW w:w="568" w:type="dxa"/>
            <w:vAlign w:val="center"/>
          </w:tcPr>
          <w:p>
            <w:pPr>
              <w:spacing w:line="560" w:lineRule="exact"/>
              <w:jc w:val="right"/>
              <w:rPr>
                <w:rFonts w:ascii="宋体" w:hAnsi="宋体" w:eastAsia="宋体" w:cs="Times New Roman"/>
              </w:rPr>
            </w:pPr>
          </w:p>
        </w:tc>
        <w:tc>
          <w:tcPr>
            <w:tcW w:w="572" w:type="dxa"/>
            <w:vAlign w:val="center"/>
          </w:tcPr>
          <w:p>
            <w:pPr>
              <w:spacing w:line="560" w:lineRule="exact"/>
              <w:jc w:val="right"/>
              <w:rPr>
                <w:rFonts w:ascii="宋体" w:hAnsi="宋体" w:eastAsia="宋体" w:cs="Times New Roman"/>
              </w:rPr>
            </w:pPr>
          </w:p>
        </w:tc>
        <w:tc>
          <w:tcPr>
            <w:tcW w:w="512"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77"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传真机</w:t>
            </w:r>
          </w:p>
        </w:tc>
        <w:tc>
          <w:tcPr>
            <w:tcW w:w="699"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w:t>
            </w:r>
          </w:p>
        </w:tc>
        <w:tc>
          <w:tcPr>
            <w:tcW w:w="1124"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传真机</w:t>
            </w:r>
          </w:p>
        </w:tc>
        <w:tc>
          <w:tcPr>
            <w:tcW w:w="598" w:type="dxa"/>
            <w:vAlign w:val="center"/>
          </w:tcPr>
          <w:p>
            <w:pPr>
              <w:spacing w:line="560" w:lineRule="exact"/>
              <w:jc w:val="center"/>
              <w:rPr>
                <w:rFonts w:ascii="宋体" w:hAnsi="宋体" w:eastAsia="宋体" w:cs="方正书宋_GBK"/>
                <w:b/>
                <w:bCs/>
              </w:rPr>
            </w:pPr>
          </w:p>
        </w:tc>
        <w:tc>
          <w:tcPr>
            <w:tcW w:w="563"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台</w:t>
            </w:r>
          </w:p>
        </w:tc>
        <w:tc>
          <w:tcPr>
            <w:tcW w:w="563"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1</w:t>
            </w:r>
          </w:p>
        </w:tc>
        <w:tc>
          <w:tcPr>
            <w:tcW w:w="749"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w:t>
            </w:r>
          </w:p>
        </w:tc>
        <w:tc>
          <w:tcPr>
            <w:tcW w:w="729"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w:t>
            </w:r>
          </w:p>
        </w:tc>
        <w:tc>
          <w:tcPr>
            <w:tcW w:w="64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w:t>
            </w:r>
          </w:p>
        </w:tc>
        <w:tc>
          <w:tcPr>
            <w:tcW w:w="640" w:type="dxa"/>
            <w:vAlign w:val="center"/>
          </w:tcPr>
          <w:p>
            <w:pPr>
              <w:spacing w:line="560" w:lineRule="exact"/>
              <w:jc w:val="center"/>
              <w:rPr>
                <w:rFonts w:ascii="宋体" w:hAnsi="宋体" w:eastAsia="宋体" w:cs="方正书宋_GBK"/>
                <w:b/>
                <w:bCs/>
              </w:rPr>
            </w:pPr>
            <w:r>
              <w:rPr>
                <w:rFonts w:hint="eastAsia" w:ascii="宋体" w:hAnsi="宋体" w:eastAsia="宋体" w:cs="方正书宋_GBK"/>
                <w:b/>
                <w:bCs/>
              </w:rPr>
              <w:t>0.2</w:t>
            </w:r>
          </w:p>
        </w:tc>
        <w:tc>
          <w:tcPr>
            <w:tcW w:w="521" w:type="dxa"/>
            <w:vAlign w:val="center"/>
          </w:tcPr>
          <w:p>
            <w:pPr>
              <w:spacing w:line="560" w:lineRule="exact"/>
              <w:jc w:val="right"/>
              <w:rPr>
                <w:rFonts w:ascii="宋体" w:hAnsi="宋体" w:eastAsia="宋体" w:cs="Times New Roman"/>
              </w:rPr>
            </w:pPr>
          </w:p>
        </w:tc>
        <w:tc>
          <w:tcPr>
            <w:tcW w:w="568" w:type="dxa"/>
            <w:vAlign w:val="center"/>
          </w:tcPr>
          <w:p>
            <w:pPr>
              <w:spacing w:line="560" w:lineRule="exact"/>
              <w:jc w:val="right"/>
              <w:rPr>
                <w:rFonts w:ascii="宋体" w:hAnsi="宋体" w:eastAsia="宋体" w:cs="Times New Roman"/>
              </w:rPr>
            </w:pPr>
          </w:p>
        </w:tc>
        <w:tc>
          <w:tcPr>
            <w:tcW w:w="572" w:type="dxa"/>
            <w:vAlign w:val="center"/>
          </w:tcPr>
          <w:p>
            <w:pPr>
              <w:spacing w:line="560" w:lineRule="exact"/>
              <w:jc w:val="right"/>
              <w:rPr>
                <w:rFonts w:ascii="宋体" w:hAnsi="宋体" w:eastAsia="宋体" w:cs="Times New Roman"/>
              </w:rPr>
            </w:pPr>
          </w:p>
        </w:tc>
        <w:tc>
          <w:tcPr>
            <w:tcW w:w="512" w:type="dxa"/>
            <w:vAlign w:val="center"/>
          </w:tcPr>
          <w:p>
            <w:pPr>
              <w:spacing w:line="560" w:lineRule="exact"/>
              <w:jc w:val="right"/>
              <w:rPr>
                <w:rFonts w:ascii="宋体" w:hAnsi="宋体" w:eastAsia="宋体" w:cs="Times New Roman"/>
              </w:rPr>
            </w:pPr>
          </w:p>
        </w:tc>
      </w:tr>
    </w:tbl>
    <w:p>
      <w:pPr>
        <w:pStyle w:val="5"/>
        <w:widowControl/>
        <w:spacing w:line="360" w:lineRule="auto"/>
        <w:ind w:left="1440" w:firstLine="0" w:firstLineChars="0"/>
        <w:jc w:val="left"/>
        <w:rPr>
          <w:rFonts w:ascii="Calibri" w:hAnsi="Calibri" w:eastAsia="仿宋_GB2312" w:cs="Calibri"/>
          <w:b/>
          <w:kern w:val="0"/>
          <w:sz w:val="32"/>
          <w:szCs w:val="32"/>
        </w:rPr>
      </w:pPr>
    </w:p>
    <w:p>
      <w:pPr>
        <w:widowControl/>
        <w:spacing w:line="360" w:lineRule="auto"/>
        <w:jc w:val="left"/>
        <w:rPr>
          <w:rFonts w:ascii="仿宋" w:hAnsi="仿宋" w:eastAsia="仿宋" w:cs="Calibri"/>
          <w:b/>
          <w:kern w:val="0"/>
          <w:sz w:val="32"/>
          <w:szCs w:val="32"/>
        </w:rPr>
      </w:pPr>
      <w:r>
        <w:rPr>
          <w:rFonts w:hint="eastAsia" w:ascii="Calibri" w:hAnsi="Calibri" w:eastAsia="仿宋_GB2312" w:cs="Calibri"/>
          <w:b/>
          <w:kern w:val="0"/>
          <w:sz w:val="32"/>
          <w:szCs w:val="32"/>
        </w:rPr>
        <w:t xml:space="preserve">     </w:t>
      </w:r>
      <w:r>
        <w:rPr>
          <w:rFonts w:hint="eastAsia" w:ascii="仿宋" w:hAnsi="仿宋" w:eastAsia="仿宋" w:cs="Calibri"/>
          <w:b/>
          <w:kern w:val="0"/>
          <w:sz w:val="32"/>
          <w:szCs w:val="32"/>
        </w:rPr>
        <w:t xml:space="preserve">   </w:t>
      </w:r>
      <w:r>
        <w:rPr>
          <w:rFonts w:ascii="仿宋" w:hAnsi="仿宋" w:eastAsia="仿宋"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w:t>
      </w:r>
      <w:r>
        <w:rPr>
          <w:rFonts w:hint="eastAsia" w:ascii="仿宋" w:hAnsi="仿宋" w:eastAsia="仿宋" w:cs="微软雅黑"/>
          <w:kern w:val="0"/>
          <w:sz w:val="24"/>
          <w:szCs w:val="24"/>
        </w:rPr>
        <w:t xml:space="preserve"> </w:t>
      </w:r>
      <w:r>
        <w:rPr>
          <w:rFonts w:ascii="仿宋" w:hAnsi="仿宋" w:eastAsia="仿宋" w:cs="仿宋_GB2312"/>
          <w:kern w:val="0"/>
          <w:sz w:val="32"/>
          <w:szCs w:val="32"/>
        </w:rPr>
        <w:t>按照政府采购相关法律法规要求，结合我局实际，201</w:t>
      </w:r>
      <w:r>
        <w:rPr>
          <w:rFonts w:hint="eastAsia" w:ascii="仿宋" w:hAnsi="仿宋" w:eastAsia="仿宋" w:cs="仿宋_GB2312"/>
          <w:kern w:val="0"/>
          <w:sz w:val="32"/>
          <w:szCs w:val="32"/>
        </w:rPr>
        <w:t>7</w:t>
      </w:r>
      <w:r>
        <w:rPr>
          <w:rFonts w:ascii="仿宋" w:hAnsi="仿宋" w:eastAsia="仿宋" w:cs="仿宋_GB2312"/>
          <w:kern w:val="0"/>
          <w:sz w:val="32"/>
          <w:szCs w:val="32"/>
        </w:rPr>
        <w:t>年我</w:t>
      </w:r>
      <w:r>
        <w:rPr>
          <w:rFonts w:hint="eastAsia" w:ascii="仿宋" w:hAnsi="仿宋" w:eastAsia="仿宋" w:cs="仿宋_GB2312"/>
          <w:kern w:val="0"/>
          <w:sz w:val="32"/>
          <w:szCs w:val="32"/>
        </w:rPr>
        <w:t>台</w:t>
      </w:r>
      <w:r>
        <w:rPr>
          <w:rFonts w:ascii="仿宋" w:hAnsi="仿宋" w:eastAsia="仿宋" w:cs="仿宋_GB2312"/>
          <w:kern w:val="0"/>
          <w:sz w:val="32"/>
          <w:szCs w:val="32"/>
        </w:rPr>
        <w:t>政府采购事项为</w:t>
      </w:r>
      <w:r>
        <w:rPr>
          <w:rFonts w:hint="eastAsia" w:ascii="仿宋" w:hAnsi="仿宋" w:eastAsia="仿宋" w:cs="仿宋_GB2312"/>
          <w:kern w:val="0"/>
          <w:sz w:val="32"/>
          <w:szCs w:val="32"/>
        </w:rPr>
        <w:t>10万元（其中：电脑12台，3400元，计40800元，摄像机2台，单价29600元，计59200元），</w:t>
      </w:r>
      <w:r>
        <w:rPr>
          <w:rFonts w:ascii="仿宋" w:hAnsi="仿宋" w:eastAsia="仿宋" w:cs="仿宋_GB2312"/>
          <w:kern w:val="0"/>
          <w:sz w:val="32"/>
          <w:szCs w:val="32"/>
        </w:rPr>
        <w:t>本年拟用于政府采购微机等办公设备</w:t>
      </w:r>
      <w:r>
        <w:rPr>
          <w:rFonts w:hint="eastAsia" w:ascii="仿宋" w:hAnsi="仿宋" w:eastAsia="仿宋" w:cs="仿宋_GB2312"/>
          <w:kern w:val="0"/>
          <w:sz w:val="32"/>
          <w:szCs w:val="32"/>
        </w:rPr>
        <w:t>5</w:t>
      </w:r>
      <w:r>
        <w:rPr>
          <w:rFonts w:ascii="仿宋" w:hAnsi="仿宋" w:eastAsia="仿宋" w:cs="仿宋_GB2312"/>
          <w:kern w:val="0"/>
          <w:sz w:val="32"/>
          <w:szCs w:val="32"/>
        </w:rPr>
        <w:t>万元</w:t>
      </w:r>
      <w:r>
        <w:rPr>
          <w:rFonts w:hint="eastAsia" w:ascii="仿宋" w:hAnsi="仿宋" w:eastAsia="仿宋" w:cs="仿宋_GB2312"/>
          <w:kern w:val="0"/>
          <w:sz w:val="32"/>
          <w:szCs w:val="32"/>
        </w:rPr>
        <w:t>（其中：电脑10台，单价：3500元，计35000元；办公桌3张，单价800，计2400；椅子10把，单价260元，计2600元，打印机2台，单价2000元，计4000元；文件柜4个，单价1000元，计4000元，传真机1台，单价2000元，计2000元。）</w:t>
      </w:r>
    </w:p>
    <w:p>
      <w:pPr>
        <w:pStyle w:val="4"/>
        <w:widowControl/>
        <w:numPr>
          <w:ilvl w:val="0"/>
          <w:numId w:val="2"/>
        </w:numPr>
        <w:spacing w:line="360" w:lineRule="auto"/>
        <w:ind w:firstLineChars="0"/>
        <w:jc w:val="left"/>
        <w:rPr>
          <w:rFonts w:ascii="黑体" w:hAnsi="黑体" w:eastAsia="黑体" w:cs="Calibri"/>
          <w:b/>
          <w:kern w:val="0"/>
          <w:sz w:val="32"/>
          <w:szCs w:val="32"/>
        </w:rPr>
      </w:pPr>
      <w:r>
        <w:rPr>
          <w:rFonts w:hint="eastAsia" w:ascii="黑体" w:hAnsi="黑体" w:eastAsia="黑体" w:cs="Calibri"/>
          <w:b/>
          <w:kern w:val="0"/>
          <w:sz w:val="32"/>
          <w:szCs w:val="32"/>
        </w:rPr>
        <w:t>国有资产信息</w:t>
      </w:r>
    </w:p>
    <w:p>
      <w:pPr>
        <w:pStyle w:val="4"/>
        <w:widowControl/>
        <w:spacing w:line="360" w:lineRule="auto"/>
        <w:ind w:firstLineChars="0"/>
        <w:jc w:val="left"/>
        <w:rPr>
          <w:rFonts w:ascii="仿宋" w:hAnsi="仿宋" w:eastAsia="仿宋" w:cs="仿宋_GB2312"/>
          <w:sz w:val="32"/>
          <w:szCs w:val="32"/>
        </w:rPr>
      </w:pPr>
      <w:r>
        <w:rPr>
          <w:rFonts w:hint="eastAsia" w:ascii="仿宋" w:hAnsi="仿宋" w:eastAsia="仿宋" w:cs="仿宋_GB2312"/>
          <w:sz w:val="32"/>
          <w:szCs w:val="32"/>
        </w:rPr>
        <w:t>成安县广播电视台上年末固定资产金额为2166万元，本年度拟购置固定资产主要为摄像机、计算机设备、打印设备、空调、办公家具等，已列入政府采购预算。详见下表。</w:t>
      </w:r>
    </w:p>
    <w:tbl>
      <w:tblPr>
        <w:tblStyle w:val="2"/>
        <w:tblW w:w="9855"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2"/>
        <w:gridCol w:w="930"/>
        <w:gridCol w:w="4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9855" w:type="dxa"/>
            <w:gridSpan w:val="3"/>
            <w:tcBorders>
              <w:top w:val="nil"/>
              <w:left w:val="nil"/>
              <w:bottom w:val="nil"/>
              <w:right w:val="nil"/>
            </w:tcBorders>
            <w:vAlign w:val="center"/>
          </w:tcPr>
          <w:p>
            <w:pPr>
              <w:widowControl/>
              <w:rPr>
                <w:rFonts w:ascii="宋体" w:hAnsi="宋体" w:eastAsia="宋体" w:cs="Times New Roman"/>
                <w:b/>
                <w:bCs/>
                <w:kern w:val="0"/>
                <w:sz w:val="32"/>
                <w:szCs w:val="32"/>
              </w:rPr>
            </w:pPr>
          </w:p>
          <w:p>
            <w:pPr>
              <w:widowControl/>
              <w:jc w:val="center"/>
              <w:rPr>
                <w:rFonts w:ascii="楷体" w:hAnsi="楷体" w:eastAsia="楷体" w:cs="Times New Roman"/>
                <w:b/>
                <w:bCs/>
                <w:kern w:val="0"/>
                <w:sz w:val="32"/>
                <w:szCs w:val="32"/>
              </w:rPr>
            </w:pPr>
            <w:r>
              <w:rPr>
                <w:rFonts w:hint="eastAsia" w:ascii="楷体" w:hAnsi="楷体" w:eastAsia="楷体" w:cs="宋体"/>
                <w:b/>
                <w:bCs/>
                <w:kern w:val="0"/>
                <w:sz w:val="32"/>
                <w:szCs w:val="32"/>
              </w:rPr>
              <w:t>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32" w:type="dxa"/>
            <w:gridSpan w:val="2"/>
            <w:tcBorders>
              <w:top w:val="nil"/>
              <w:left w:val="nil"/>
              <w:bottom w:val="nil"/>
              <w:right w:val="nil"/>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rPr>
              <w:t>编制部门：成安县广播电视台</w:t>
            </w:r>
          </w:p>
        </w:tc>
        <w:tc>
          <w:tcPr>
            <w:tcW w:w="4423" w:type="dxa"/>
            <w:tcBorders>
              <w:top w:val="nil"/>
              <w:left w:val="nil"/>
              <w:bottom w:val="nil"/>
              <w:right w:val="nil"/>
            </w:tcBorders>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rPr>
              <w:t>截止时间：</w:t>
            </w:r>
            <w:r>
              <w:rPr>
                <w:rFonts w:ascii="宋体" w:hAnsi="宋体" w:eastAsia="宋体" w:cs="宋体"/>
                <w:kern w:val="0"/>
                <w:sz w:val="22"/>
              </w:rPr>
              <w:t>2016</w:t>
            </w:r>
            <w:r>
              <w:rPr>
                <w:rFonts w:hint="eastAsia" w:ascii="宋体" w:hAnsi="宋体" w:eastAsia="宋体" w:cs="宋体"/>
                <w:kern w:val="0"/>
                <w:sz w:val="22"/>
              </w:rPr>
              <w:t>年</w:t>
            </w:r>
            <w:r>
              <w:rPr>
                <w:rFonts w:ascii="宋体" w:hAnsi="宋体" w:eastAsia="宋体" w:cs="宋体"/>
                <w:kern w:val="0"/>
                <w:sz w:val="22"/>
              </w:rPr>
              <w:t>12</w:t>
            </w:r>
            <w:r>
              <w:rPr>
                <w:rFonts w:hint="eastAsia" w:ascii="宋体" w:hAnsi="宋体" w:eastAsia="宋体" w:cs="宋体"/>
                <w:kern w:val="0"/>
                <w:sz w:val="22"/>
              </w:rPr>
              <w:t>月</w:t>
            </w:r>
            <w:r>
              <w:rPr>
                <w:rFonts w:ascii="宋体" w:hAnsi="宋体" w:eastAsia="宋体" w:cs="宋体"/>
                <w:kern w:val="0"/>
                <w:sz w:val="22"/>
              </w:rPr>
              <w:t>31</w:t>
            </w:r>
            <w:r>
              <w:rPr>
                <w:rFonts w:hint="eastAsia" w:ascii="宋体" w:hAnsi="宋体" w:eastAsia="宋体" w:cs="宋体"/>
                <w:kern w:val="0"/>
                <w:sz w:val="22"/>
              </w:rPr>
              <w:t>日</w:t>
            </w:r>
            <w:r>
              <w:rPr>
                <w:rFonts w:ascii="宋体" w:hAnsi="宋体" w:eastAsia="宋体" w:cs="宋体"/>
                <w:kern w:val="0"/>
                <w:sz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5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rPr>
              <w:t>项</w:t>
            </w:r>
            <w:r>
              <w:rPr>
                <w:rFonts w:ascii="宋体" w:hAnsi="宋体" w:eastAsia="宋体" w:cs="宋体"/>
                <w:b/>
                <w:bCs/>
                <w:kern w:val="0"/>
                <w:sz w:val="22"/>
              </w:rPr>
              <w:t xml:space="preserve">   </w:t>
            </w:r>
            <w:r>
              <w:rPr>
                <w:rFonts w:hint="eastAsia" w:ascii="宋体" w:hAnsi="宋体" w:eastAsia="宋体" w:cs="宋体"/>
                <w:b/>
                <w:bCs/>
                <w:kern w:val="0"/>
                <w:sz w:val="22"/>
              </w:rPr>
              <w:t>目</w:t>
            </w:r>
          </w:p>
        </w:tc>
        <w:tc>
          <w:tcPr>
            <w:tcW w:w="93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rPr>
              <w:t>数量</w:t>
            </w:r>
          </w:p>
        </w:tc>
        <w:tc>
          <w:tcPr>
            <w:tcW w:w="442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宋体"/>
                <w:kern w:val="0"/>
                <w:sz w:val="22"/>
              </w:rPr>
              <w:t>资产总额</w:t>
            </w:r>
          </w:p>
        </w:tc>
        <w:tc>
          <w:tcPr>
            <w:tcW w:w="93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ascii="宋体" w:hAnsi="宋体" w:eastAsia="宋体" w:cs="宋体"/>
                <w:kern w:val="0"/>
                <w:sz w:val="22"/>
              </w:rPr>
              <w:t>——</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rPr>
              <w:t>1</w:t>
            </w:r>
            <w:r>
              <w:rPr>
                <w:rFonts w:hint="eastAsia" w:ascii="宋体" w:hAnsi="宋体" w:eastAsia="宋体" w:cs="宋体"/>
                <w:kern w:val="0"/>
                <w:sz w:val="22"/>
              </w:rPr>
              <w:t>、房屋（平方米）</w:t>
            </w:r>
          </w:p>
        </w:tc>
        <w:tc>
          <w:tcPr>
            <w:tcW w:w="93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3900</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460.4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rPr>
              <w:t xml:space="preserve">   </w:t>
            </w:r>
            <w:r>
              <w:rPr>
                <w:rFonts w:hint="eastAsia" w:ascii="宋体" w:hAnsi="宋体" w:eastAsia="宋体" w:cs="宋体"/>
                <w:kern w:val="0"/>
                <w:sz w:val="22"/>
              </w:rPr>
              <w:t>其中：办公用房（平方米）</w:t>
            </w:r>
          </w:p>
        </w:tc>
        <w:tc>
          <w:tcPr>
            <w:tcW w:w="93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3900</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460.4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rPr>
              <w:t>2</w:t>
            </w:r>
            <w:r>
              <w:rPr>
                <w:rFonts w:hint="eastAsia" w:ascii="宋体" w:hAnsi="宋体" w:eastAsia="宋体" w:cs="宋体"/>
                <w:kern w:val="0"/>
                <w:sz w:val="22"/>
              </w:rPr>
              <w:t>、车辆（台、辆）</w:t>
            </w:r>
          </w:p>
        </w:tc>
        <w:tc>
          <w:tcPr>
            <w:tcW w:w="93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rPr>
              <w:t>3</w:t>
            </w:r>
            <w:r>
              <w:rPr>
                <w:rFonts w:hint="eastAsia" w:ascii="宋体" w:hAnsi="宋体" w:eastAsia="宋体" w:cs="宋体"/>
                <w:kern w:val="0"/>
                <w:sz w:val="22"/>
              </w:rPr>
              <w:t>、单价在</w:t>
            </w:r>
            <w:r>
              <w:rPr>
                <w:rFonts w:ascii="宋体" w:hAnsi="宋体" w:eastAsia="宋体" w:cs="宋体"/>
                <w:kern w:val="0"/>
                <w:sz w:val="22"/>
              </w:rPr>
              <w:t>50</w:t>
            </w:r>
            <w:r>
              <w:rPr>
                <w:rFonts w:hint="eastAsia" w:ascii="宋体" w:hAnsi="宋体" w:eastAsia="宋体" w:cs="宋体"/>
                <w:kern w:val="0"/>
                <w:sz w:val="22"/>
              </w:rPr>
              <w:t>万元以上的设备</w:t>
            </w:r>
          </w:p>
        </w:tc>
        <w:tc>
          <w:tcPr>
            <w:tcW w:w="93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0</w:t>
            </w:r>
          </w:p>
        </w:tc>
        <w:tc>
          <w:tcPr>
            <w:tcW w:w="4423"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rPr>
              <w:t>4</w:t>
            </w:r>
            <w:r>
              <w:rPr>
                <w:rFonts w:hint="eastAsia" w:ascii="宋体" w:hAnsi="宋体" w:eastAsia="宋体" w:cs="宋体"/>
                <w:kern w:val="0"/>
                <w:sz w:val="22"/>
              </w:rPr>
              <w:t>、其他固定资产</w:t>
            </w:r>
          </w:p>
        </w:tc>
        <w:tc>
          <w:tcPr>
            <w:tcW w:w="93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4423"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1451</w:t>
            </w:r>
          </w:p>
        </w:tc>
      </w:tr>
    </w:tbl>
    <w:p>
      <w:pPr>
        <w:widowControl/>
        <w:spacing w:line="360" w:lineRule="auto"/>
        <w:ind w:firstLine="640" w:firstLineChars="200"/>
        <w:jc w:val="left"/>
        <w:rPr>
          <w:rFonts w:ascii="仿宋" w:hAnsi="仿宋" w:eastAsia="仿宋" w:cs="仿宋_GB2312"/>
          <w:kern w:val="0"/>
          <w:sz w:val="32"/>
          <w:szCs w:val="32"/>
        </w:rPr>
      </w:pPr>
      <w:r>
        <w:rPr>
          <w:rFonts w:ascii="仿宋" w:hAnsi="仿宋" w:eastAsia="仿宋" w:cs="宋体"/>
          <w:color w:val="333333"/>
          <w:kern w:val="0"/>
          <w:sz w:val="32"/>
          <w:szCs w:val="32"/>
        </w:rPr>
        <w:t>截止上年</w:t>
      </w:r>
      <w:r>
        <w:rPr>
          <w:rFonts w:ascii="仿宋" w:hAnsi="仿宋" w:eastAsia="仿宋" w:cs="仿宋_GB2312"/>
          <w:kern w:val="0"/>
          <w:sz w:val="32"/>
          <w:szCs w:val="32"/>
        </w:rPr>
        <w:t>末固定资产帐面结余</w:t>
      </w:r>
      <w:r>
        <w:rPr>
          <w:rFonts w:hint="eastAsia" w:ascii="仿宋" w:hAnsi="仿宋" w:eastAsia="仿宋" w:cs="仿宋_GB2312"/>
          <w:kern w:val="0"/>
          <w:sz w:val="32"/>
          <w:szCs w:val="32"/>
        </w:rPr>
        <w:t>2166</w:t>
      </w:r>
      <w:r>
        <w:rPr>
          <w:rFonts w:ascii="仿宋" w:hAnsi="仿宋" w:eastAsia="仿宋" w:cs="仿宋_GB2312"/>
          <w:kern w:val="0"/>
          <w:sz w:val="32"/>
          <w:szCs w:val="32"/>
        </w:rPr>
        <w:t>万元。</w:t>
      </w:r>
      <w:r>
        <w:rPr>
          <w:rFonts w:hint="eastAsia" w:ascii="仿宋" w:hAnsi="仿宋" w:eastAsia="仿宋" w:cs="仿宋_GB2312"/>
          <w:kern w:val="0"/>
          <w:sz w:val="32"/>
          <w:szCs w:val="32"/>
        </w:rPr>
        <w:t>其中：房屋价值460.4万元，车辆价值23万元，其它资产办公用电脑、办公家具、专用设备等价值1451万元。2017年我单位拟购置10万元。</w:t>
      </w:r>
    </w:p>
    <w:p>
      <w:pPr>
        <w:widowControl/>
        <w:spacing w:line="360" w:lineRule="auto"/>
        <w:ind w:firstLine="640" w:firstLineChars="200"/>
        <w:jc w:val="left"/>
        <w:rPr>
          <w:rFonts w:ascii="黑体" w:hAnsi="黑体" w:eastAsia="黑体" w:cs="仿宋"/>
          <w:kern w:val="0"/>
          <w:sz w:val="32"/>
          <w:szCs w:val="32"/>
        </w:rPr>
      </w:pPr>
      <w:r>
        <w:rPr>
          <w:rFonts w:hint="eastAsia" w:ascii="黑体" w:hAnsi="黑体" w:eastAsia="黑体" w:cs="仿宋_GB2312"/>
          <w:kern w:val="0"/>
          <w:sz w:val="32"/>
          <w:szCs w:val="32"/>
        </w:rPr>
        <w:t>八、</w:t>
      </w:r>
      <w:r>
        <w:rPr>
          <w:rFonts w:hint="eastAsia" w:ascii="黑体" w:hAnsi="黑体" w:eastAsia="黑体" w:cs="仿宋"/>
          <w:kern w:val="0"/>
          <w:sz w:val="32"/>
          <w:szCs w:val="32"/>
        </w:rPr>
        <w:t>名词解释</w:t>
      </w:r>
      <w:r>
        <w:rPr>
          <w:rFonts w:hint="eastAsia" w:ascii="黑体" w:hAnsi="黑体" w:eastAsia="黑体" w:cs="微软雅黑"/>
          <w:kern w:val="0"/>
          <w:sz w:val="24"/>
          <w:szCs w:val="24"/>
        </w:rPr>
        <w:t xml:space="preserve"> </w:t>
      </w:r>
      <w:r>
        <w:rPr>
          <w:rFonts w:hint="eastAsia" w:ascii="黑体" w:hAnsi="黑体" w:eastAsia="黑体" w:cs="仿宋"/>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bCs/>
          <w:kern w:val="0"/>
          <w:sz w:val="32"/>
          <w:szCs w:val="32"/>
        </w:rPr>
        <w:t>1、财政拨款收入：指</w:t>
      </w:r>
      <w:r>
        <w:rPr>
          <w:rFonts w:hint="eastAsia" w:ascii="仿宋" w:hAnsi="仿宋" w:eastAsia="仿宋" w:cs="仿宋"/>
          <w:kern w:val="0"/>
          <w:sz w:val="32"/>
          <w:szCs w:val="32"/>
        </w:rPr>
        <w:t>财政当年拨付的资金。</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640" w:firstLineChars="200"/>
        <w:jc w:val="left"/>
        <w:rPr>
          <w:rFonts w:ascii="仿宋" w:hAnsi="仿宋" w:eastAsia="仿宋" w:cs="仿宋"/>
          <w:b/>
          <w:kern w:val="0"/>
          <w:sz w:val="32"/>
          <w:szCs w:val="32"/>
        </w:rPr>
      </w:pPr>
      <w:r>
        <w:rPr>
          <w:rFonts w:hint="eastAsia" w:ascii="仿宋" w:hAnsi="仿宋" w:eastAsia="仿宋" w:cs="微软雅黑"/>
          <w:kern w:val="0"/>
          <w:sz w:val="32"/>
          <w:szCs w:val="32"/>
        </w:rPr>
        <w:t xml:space="preserve"> 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w:t>
      </w:r>
      <w:r>
        <w:rPr>
          <w:rFonts w:hint="eastAsia" w:ascii="仿宋" w:hAnsi="仿宋" w:eastAsia="仿宋" w:cs="微软雅黑"/>
          <w:kern w:val="0"/>
          <w:sz w:val="32"/>
          <w:szCs w:val="32"/>
        </w:rPr>
        <w:t xml:space="preserve"> </w:t>
      </w:r>
      <w:r>
        <w:rPr>
          <w:rFonts w:hint="eastAsia" w:ascii="仿宋" w:hAnsi="仿宋" w:eastAsia="仿宋" w:cs="仿宋"/>
          <w:b/>
          <w:kern w:val="0"/>
          <w:sz w:val="32"/>
          <w:szCs w:val="32"/>
        </w:rPr>
        <w:t> </w:t>
      </w:r>
    </w:p>
    <w:p>
      <w:pPr>
        <w:widowControl/>
        <w:spacing w:line="360" w:lineRule="auto"/>
        <w:ind w:firstLine="640" w:firstLineChars="200"/>
        <w:jc w:val="left"/>
        <w:rPr>
          <w:rFonts w:ascii="仿宋" w:hAnsi="仿宋" w:eastAsia="仿宋" w:cs="仿宋"/>
          <w:b/>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w:t>
      </w:r>
      <w:r>
        <w:rPr>
          <w:rFonts w:hint="eastAsia" w:ascii="仿宋" w:hAnsi="仿宋" w:eastAsia="仿宋" w:cs="微软雅黑"/>
          <w:kern w:val="0"/>
          <w:sz w:val="32"/>
          <w:szCs w:val="32"/>
        </w:rPr>
        <w:t xml:space="preserve"> </w:t>
      </w:r>
      <w:r>
        <w:rPr>
          <w:rFonts w:hint="eastAsia" w:ascii="仿宋" w:hAnsi="仿宋" w:eastAsia="仿宋" w:cs="仿宋"/>
          <w:b/>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5、项目支出：指单位为了特定的工作任务和事业发展目标，在基本支出之外所发生的支出。</w:t>
      </w:r>
    </w:p>
    <w:p>
      <w:pPr>
        <w:widowControl/>
        <w:spacing w:line="360" w:lineRule="auto"/>
        <w:ind w:firstLine="640" w:firstLineChars="200"/>
        <w:jc w:val="left"/>
        <w:rPr>
          <w:rFonts w:ascii="黑体" w:hAnsi="黑体" w:eastAsia="黑体" w:cs="仿宋"/>
          <w:kern w:val="0"/>
          <w:sz w:val="32"/>
          <w:szCs w:val="32"/>
        </w:rPr>
      </w:pPr>
      <w:r>
        <w:rPr>
          <w:rFonts w:hint="eastAsia" w:ascii="黑体" w:hAnsi="黑体" w:eastAsia="黑体" w:cs="仿宋"/>
          <w:kern w:val="0"/>
          <w:sz w:val="32"/>
          <w:szCs w:val="32"/>
        </w:rPr>
        <w:t>九、其他需要说明的事项</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无其他需要说明的事项。</w:t>
      </w:r>
    </w:p>
    <w:p>
      <w:pPr>
        <w:widowControl/>
        <w:spacing w:line="360" w:lineRule="auto"/>
        <w:ind w:firstLine="420" w:firstLineChars="200"/>
        <w:jc w:val="left"/>
      </w:pPr>
    </w:p>
    <w:sectPr>
      <w:pgSz w:w="11907" w:h="16839"/>
      <w:pgMar w:top="1020" w:right="1134" w:bottom="102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altName w:val="宋体"/>
    <w:panose1 w:val="00000000000000000000"/>
    <w:charset w:val="86"/>
    <w:family w:val="auto"/>
    <w:pitch w:val="default"/>
    <w:sig w:usb0="00000000" w:usb1="00000000" w:usb2="00000000" w:usb3="00000000" w:csb0="00040001" w:csb1="00000000"/>
  </w:font>
  <w:font w:name="方正书宋_GBK">
    <w:altName w:val="宋体"/>
    <w:panose1 w:val="00000000000000000000"/>
    <w:charset w:val="86"/>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7"/>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00000008"/>
    <w:multiLevelType w:val="multilevel"/>
    <w:tmpl w:val="00000008"/>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HorizontalSpacing w:val="105"/>
  <w:drawingGridVerticalSpacing w:val="159"/>
  <w:displayHorizontalDrawingGridEvery w:val="2"/>
  <w:displayVerticalDrawingGridEvery w:val="2"/>
  <w:noPunctuationKerning w:val="1"/>
  <w:characterSpacingControl w:val="compressPunctuation"/>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76253"/>
    <w:rsid w:val="14E44553"/>
    <w:rsid w:val="1BA7556B"/>
    <w:rsid w:val="1BAD7475"/>
    <w:rsid w:val="3E5D15DE"/>
    <w:rsid w:val="485D4FC6"/>
    <w:rsid w:val="48BD0863"/>
    <w:rsid w:val="55147C23"/>
    <w:rsid w:val="5AAF7ED4"/>
    <w:rsid w:val="5E3D25C0"/>
    <w:rsid w:val="7DD020F8"/>
    <w:rsid w:val="7EF91D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uiPriority w:val="0"/>
    <w:pPr>
      <w:ind w:firstLine="420" w:firstLineChars="200"/>
    </w:pPr>
  </w:style>
  <w:style w:type="paragraph" w:customStyle="1" w:styleId="5">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700</Words>
  <Characters>3996</Characters>
  <Lines>33</Lines>
  <Paragraphs>9</Paragraphs>
  <TotalTime>14</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2017-06-23T17:20:00Z</dcterms:created>
  <dc:creator>lenovo</dc:creator>
  <cp:lastModifiedBy>Administrator</cp:lastModifiedBy>
  <dcterms:modified xsi:type="dcterms:W3CDTF">2024-05-23T02:53:56Z</dcterms:modified>
  <dc:title>lenovo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7F1F16645BA74186AD9FA49341A202A1</vt:lpwstr>
  </property>
</Properties>
</file>