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p>
    <w:p>
      <w:pPr>
        <w:jc w:val="center"/>
        <w:rPr>
          <w:rFonts w:ascii="宋体" w:hAnsi="宋体" w:eastAsia="宋体" w:cs="黑体"/>
          <w:b/>
          <w:sz w:val="44"/>
          <w:szCs w:val="44"/>
        </w:rPr>
      </w:pPr>
      <w:r>
        <w:rPr>
          <w:rFonts w:hint="eastAsia" w:ascii="宋体" w:hAnsi="宋体" w:eastAsia="宋体" w:cs="黑体"/>
          <w:b/>
          <w:sz w:val="44"/>
          <w:szCs w:val="44"/>
        </w:rPr>
        <w:t>成安县人民政府办公室2017年部门预算公开</w:t>
      </w:r>
    </w:p>
    <w:p>
      <w:pPr>
        <w:jc w:val="center"/>
        <w:rPr>
          <w:rFonts w:ascii="宋体" w:hAnsi="宋体" w:eastAsia="宋体" w:cs="黑体"/>
          <w:b/>
          <w:sz w:val="44"/>
          <w:szCs w:val="44"/>
        </w:rPr>
      </w:pPr>
      <w:r>
        <w:rPr>
          <w:rFonts w:hint="eastAsia" w:ascii="宋体" w:hAnsi="宋体" w:eastAsia="宋体" w:cs="黑体"/>
          <w:b/>
          <w:sz w:val="44"/>
          <w:szCs w:val="44"/>
        </w:rPr>
        <w:t>情况说明</w:t>
      </w:r>
    </w:p>
    <w:p>
      <w:pPr>
        <w:ind w:firstLine="640" w:firstLineChars="200"/>
        <w:rPr>
          <w:rFonts w:ascii="黑体" w:hAnsi="黑体" w:eastAsia="黑体" w:cs="黑体"/>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11"/>
        <w:snapToGrid w:val="0"/>
        <w:spacing w:line="560" w:lineRule="exact"/>
        <w:ind w:firstLine="643"/>
        <w:rPr>
          <w:rFonts w:ascii="楷体" w:hAnsi="楷体" w:eastAsia="楷体" w:cs="楷体"/>
          <w:b/>
          <w:bCs/>
          <w:sz w:val="32"/>
          <w:szCs w:val="32"/>
        </w:rPr>
      </w:pPr>
      <w:r>
        <w:rPr>
          <w:rFonts w:hint="eastAsia" w:ascii="楷体" w:hAnsi="楷体" w:eastAsia="楷体" w:cs="楷体"/>
          <w:b/>
          <w:bCs/>
          <w:sz w:val="32"/>
          <w:szCs w:val="32"/>
        </w:rPr>
        <w:t>部门职责：</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一）围绕县政府中心工作和重点工作，加强调查研究，及时收集、整理全县社会经济发展情况和县政府工作情况，超前研究分析各方面的动向，为领导科学决策和正确指导工作提供有参考价值的信息、资料、建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（二）对我县经济社会发展中重大问题进行调查研究，提出政策性建议。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(三）负责县政府各种会议的准备工作，协助县政府领导同志组织各类会议。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（四）负责来访群众的接待、疏导工作。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（五）负责文件、明传电报和其他材料呈送及县领导批示件的交办工作。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（六）负责县政府及办公室文件的起草、审核把关和政府机关的文书处理工作，负责政府机关的文件档案管理、印信管理和保密工作。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（七）负责组织县政府工作报告、领导同志重要讲话及其他材料的起草、修改工作。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（八）根据县政府的要求或办理文件的需要，协助领导协调上下之间、部门之间的关系，协调处理在权限内能够解决的问题，负责工农关系的协调。</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（九）负责县政府及办公室的政务接待、机关值班及办公室的印信管理工作。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（十）督促检查县政府各部门、各乡（镇）人民政府对国务院、省政府、市政府、县政府重要文件、县政府会议议定事项及县政府领导同志重要批示的执行、落实情况，并向县政府领导同志报告。</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（十一）负责县政府法律库的管理工作；负责监督检查县政府行政许可审批部门的法制建设和依法行政工作；承办县依法行政工作领导小组交办的其他事项。</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（十二）负责组织编制政府突发公共事件总体应急预案，组织审核专项预案，指导乡镇、政府有关部门的应急体系、应急信息平台建设等工作。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（十三）负责贯彻落实国家和省、市有关金融工作的方针、政策和法律法规；研究制定全县金融产业中长期规划，提出促进金融产业发展的政策建议；引进各类金融机构，组织开展银企对接等工作。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（十四）负责全县项目建设、工业园区提档升级工作的整体谋划、综合协调、督导推进、工作落实。</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（十五）贯彻落实国家和省、市有关对外贸易、国际经济合作和招商引资的发展战略、方针、政策；拟订全县相应的发展规划以及规定、办法和措施。</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（十六）研究提出流通体制改革意见，培育发展城乡市场，推进流通产业结构调整。</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（十七）负责全县整顿和规范市场经济秩序的具体实施工作，建立健全统一、开放、竞争、有序的市场体系。</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（十八）负责成品油等主要生活用品的流通和拍卖、典当等行业的监督管理。</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（十九）负责进出口配额计划的编报、下达和组织实施及配额、许可证管理工作。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（二十）贯彻执行国家和省对外技术贸易、进出口管制以及鼓励技术和成套设备出口的政策。</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（二十一）贯彻执行国家和省、市有关对外开放、招商引资等方面的法律法规。</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（二十二）负责全县对外经济合作工作。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（二十三）指导监督以成安县名义在境内外举办的各种外经贸交易会、展览会、展销会等活动；拟订并实施赴境外举办上述活动的管理办法。</w:t>
      </w:r>
    </w:p>
    <w:p>
      <w:pPr>
        <w:pStyle w:val="11"/>
        <w:spacing w:line="560" w:lineRule="exact"/>
        <w:ind w:firstLineChars="0"/>
        <w:rPr>
          <w:rFonts w:ascii="仿宋" w:hAnsi="仿宋" w:eastAsia="仿宋" w:cs="仿宋"/>
          <w:sz w:val="32"/>
          <w:szCs w:val="32"/>
        </w:rPr>
      </w:pPr>
      <w:r>
        <w:rPr>
          <w:rFonts w:hint="eastAsia" w:ascii="仿宋" w:hAnsi="仿宋" w:eastAsia="仿宋" w:cs="仿宋"/>
          <w:sz w:val="32"/>
          <w:szCs w:val="32"/>
        </w:rPr>
        <w:t>（二十四）负责全县政务公开工作。承担县政务公开领导小组有关工作；研究制定全县政务工作实施方案；</w:t>
      </w:r>
      <w:r>
        <w:rPr>
          <w:rFonts w:hint="eastAsia" w:ascii="仿宋" w:hAnsi="仿宋" w:eastAsia="仿宋" w:cs="仿宋"/>
          <w:spacing w:val="10"/>
          <w:sz w:val="32"/>
          <w:szCs w:val="32"/>
        </w:rPr>
        <w:t>承办县政府信息公开事宜，组织编制县政府信息公开指南、公开目录和年度报告，对拟公开的政府信息进行保密审查。</w:t>
      </w:r>
    </w:p>
    <w:p>
      <w:pPr>
        <w:widowControl/>
        <w:spacing w:line="360" w:lineRule="auto"/>
        <w:ind w:firstLine="627" w:firstLineChars="196"/>
        <w:jc w:val="left"/>
        <w:rPr>
          <w:rFonts w:hint="eastAsia" w:ascii="仿宋" w:hAnsi="仿宋" w:eastAsia="仿宋" w:cs="仿宋"/>
          <w:sz w:val="32"/>
          <w:szCs w:val="32"/>
        </w:rPr>
      </w:pPr>
      <w:r>
        <w:rPr>
          <w:rFonts w:hint="eastAsia" w:ascii="仿宋" w:hAnsi="仿宋" w:eastAsia="仿宋" w:cs="仿宋"/>
          <w:sz w:val="32"/>
          <w:szCs w:val="32"/>
        </w:rPr>
        <w:t>（二十五）承办县委、县政府交办的其他事项。</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人员编制26名，其中领导职数9个。</w:t>
      </w:r>
    </w:p>
    <w:p>
      <w:pPr>
        <w:widowControl/>
        <w:spacing w:line="360" w:lineRule="auto"/>
        <w:ind w:firstLine="640" w:firstLineChars="200"/>
        <w:jc w:val="left"/>
        <w:rPr>
          <w:rFonts w:ascii="仿宋_GB2312" w:hAnsi="Calibri" w:eastAsia="仿宋_GB2312" w:cs="仿宋_GB2312"/>
          <w:kern w:val="0"/>
          <w:sz w:val="32"/>
          <w:szCs w:val="32"/>
        </w:rPr>
      </w:pPr>
      <w:r>
        <w:rPr>
          <w:rFonts w:hint="eastAsia" w:ascii="仿宋" w:hAnsi="仿宋" w:eastAsia="仿宋" w:cs="仿宋"/>
          <w:sz w:val="32"/>
          <w:szCs w:val="32"/>
        </w:rPr>
        <w:t>机构设置：</w:t>
      </w:r>
    </w:p>
    <w:p>
      <w:pPr>
        <w:jc w:val="center"/>
        <w:outlineLvl w:val="0"/>
        <w:rPr>
          <w:rFonts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部门机构设置情况</w:t>
      </w:r>
    </w:p>
    <w:tbl>
      <w:tblPr>
        <w:tblStyle w:val="6"/>
        <w:tblW w:w="91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3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409"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3409"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成安县人民政府县志办公室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成安县金融办公室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成安县老区建设促进会</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成安县节能监察中心</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成安县人民政府办公室行政执法监督检查科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3317" w:type="dxa"/>
          </w:tcPr>
          <w:p>
            <w:pPr>
              <w:jc w:val="center"/>
              <w:rPr>
                <w:rFonts w:ascii="仿宋" w:hAnsi="仿宋" w:eastAsia="仿宋"/>
              </w:rPr>
            </w:pPr>
            <w:r>
              <w:rPr>
                <w:rFonts w:hint="eastAsia" w:ascii="仿宋" w:hAnsi="仿宋" w:eastAsia="仿宋"/>
              </w:rPr>
              <w:t>成安县工业管理服务中心</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3317" w:type="dxa"/>
          </w:tcPr>
          <w:p>
            <w:pPr>
              <w:jc w:val="center"/>
              <w:rPr>
                <w:rFonts w:ascii="仿宋" w:hAnsi="仿宋" w:eastAsia="仿宋"/>
              </w:rPr>
            </w:pPr>
            <w:r>
              <w:rPr>
                <w:rFonts w:hint="eastAsia" w:ascii="仿宋" w:hAnsi="仿宋" w:eastAsia="仿宋"/>
              </w:rPr>
              <w:t>成安县人民政府应急管理办公室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tcPr>
          <w:p>
            <w:pPr>
              <w:jc w:val="center"/>
              <w:rPr>
                <w:rFonts w:ascii="仿宋" w:hAnsi="仿宋" w:eastAsia="仿宋"/>
              </w:rPr>
            </w:pPr>
            <w:r>
              <w:rPr>
                <w:rFonts w:hint="eastAsia" w:ascii="仿宋" w:hAnsi="仿宋" w:eastAsia="仿宋"/>
              </w:rPr>
              <w:t>成安县人民政府项目推进办</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、收入说明及支出说明</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2017年部门收入预算总额为2076.7万元，部门支出预算总额为2076.7万元（其中人员经费1132.93万元，公用经费218万元，项目经费725.77万元）。</w:t>
      </w:r>
      <w:r>
        <w:rPr>
          <w:rFonts w:ascii="仿宋_GB2312" w:hAnsi="Calibri" w:eastAsia="仿宋_GB2312" w:cs="仿宋_GB2312"/>
          <w:kern w:val="0"/>
          <w:sz w:val="32"/>
          <w:szCs w:val="32"/>
          <w:lang w:bidi="ar"/>
        </w:rPr>
        <w:t>2016年</w:t>
      </w:r>
      <w:r>
        <w:rPr>
          <w:rFonts w:hint="eastAsia" w:ascii="仿宋_GB2312" w:hAnsi="Calibri" w:eastAsia="仿宋_GB2312" w:cs="仿宋_GB2312"/>
          <w:kern w:val="0"/>
          <w:sz w:val="32"/>
          <w:szCs w:val="32"/>
          <w:lang w:bidi="ar"/>
        </w:rPr>
        <w:t>成安县人民政府</w:t>
      </w:r>
      <w:r>
        <w:rPr>
          <w:rFonts w:ascii="仿宋_GB2312" w:hAnsi="Calibri" w:eastAsia="仿宋_GB2312" w:cs="仿宋_GB2312"/>
          <w:kern w:val="0"/>
          <w:sz w:val="32"/>
          <w:szCs w:val="32"/>
          <w:lang w:bidi="ar"/>
        </w:rPr>
        <w:t>财政拨款收入</w:t>
      </w:r>
      <w:r>
        <w:rPr>
          <w:rFonts w:hint="eastAsia" w:ascii="仿宋_GB2312" w:hAnsi="Calibri" w:eastAsia="仿宋_GB2312" w:cs="仿宋_GB2312"/>
          <w:kern w:val="0"/>
          <w:sz w:val="32"/>
          <w:szCs w:val="32"/>
          <w:lang w:bidi="ar"/>
        </w:rPr>
        <w:t>2342.52</w:t>
      </w:r>
      <w:r>
        <w:rPr>
          <w:rFonts w:ascii="仿宋_GB2312" w:hAnsi="Calibri" w:eastAsia="仿宋_GB2312" w:cs="仿宋_GB2312"/>
          <w:kern w:val="0"/>
          <w:sz w:val="32"/>
          <w:szCs w:val="32"/>
          <w:lang w:bidi="ar"/>
        </w:rPr>
        <w:t>万元，总支出</w:t>
      </w:r>
      <w:r>
        <w:rPr>
          <w:rFonts w:hint="eastAsia" w:ascii="仿宋_GB2312" w:hAnsi="Calibri" w:eastAsia="仿宋_GB2312" w:cs="仿宋_GB2312"/>
          <w:kern w:val="0"/>
          <w:sz w:val="32"/>
          <w:szCs w:val="32"/>
          <w:lang w:bidi="ar"/>
        </w:rPr>
        <w:t>2342.52</w:t>
      </w:r>
      <w:r>
        <w:rPr>
          <w:rFonts w:ascii="仿宋_GB2312" w:hAnsi="Calibri" w:eastAsia="仿宋_GB2312" w:cs="仿宋_GB2312"/>
          <w:kern w:val="0"/>
          <w:sz w:val="32"/>
          <w:szCs w:val="32"/>
          <w:lang w:bidi="ar"/>
        </w:rPr>
        <w:t>万元。</w:t>
      </w:r>
      <w:r>
        <w:rPr>
          <w:rFonts w:hint="eastAsia" w:ascii="仿宋_GB2312" w:hAnsi="Calibri" w:eastAsia="仿宋_GB2312" w:cs="仿宋_GB2312"/>
          <w:kern w:val="0"/>
          <w:sz w:val="32"/>
          <w:szCs w:val="32"/>
          <w:lang w:bidi="ar"/>
        </w:rPr>
        <w:t>与去年相比降低了265.82万元，积极贯彻落实新</w:t>
      </w:r>
      <w:bookmarkStart w:id="2" w:name="_GoBack"/>
      <w:bookmarkEnd w:id="2"/>
      <w:r>
        <w:rPr>
          <w:rFonts w:hint="eastAsia" w:ascii="仿宋_GB2312" w:hAnsi="Calibri" w:eastAsia="仿宋_GB2312" w:cs="仿宋_GB2312"/>
          <w:kern w:val="0"/>
          <w:sz w:val="32"/>
          <w:szCs w:val="32"/>
          <w:lang w:eastAsia="zh-CN" w:bidi="ar"/>
        </w:rPr>
        <w:t>《中华人民共和国预算法》</w:t>
      </w:r>
      <w:r>
        <w:rPr>
          <w:rFonts w:hint="eastAsia" w:ascii="仿宋_GB2312" w:hAnsi="Calibri" w:eastAsia="仿宋_GB2312" w:cs="仿宋_GB2312"/>
          <w:kern w:val="0"/>
          <w:sz w:val="32"/>
          <w:szCs w:val="32"/>
          <w:lang w:bidi="ar"/>
        </w:rPr>
        <w:t>，按照讲求绩效的原则，对于当年未使用的预算，在调整预算中予以调减。</w:t>
      </w:r>
    </w:p>
    <w:p>
      <w:pPr>
        <w:pStyle w:val="12"/>
        <w:widowControl/>
        <w:numPr>
          <w:ilvl w:val="0"/>
          <w:numId w:val="1"/>
        </w:numPr>
        <w:spacing w:line="360" w:lineRule="auto"/>
        <w:ind w:left="0" w:firstLine="643"/>
        <w:jc w:val="left"/>
        <w:rPr>
          <w:rFonts w:ascii="仿宋_GB2312" w:eastAsia="仿宋_GB2312" w:cs="仿宋_GB2312"/>
          <w:b/>
          <w:kern w:val="0"/>
          <w:sz w:val="32"/>
          <w:szCs w:val="32"/>
        </w:rPr>
      </w:pPr>
      <w:bookmarkStart w:id="0" w:name="_Toc471398463"/>
      <w:r>
        <w:rPr>
          <w:rFonts w:hint="eastAsia" w:ascii="仿宋_GB2312" w:eastAsia="仿宋_GB2312" w:cs="仿宋_GB2312"/>
          <w:b/>
          <w:kern w:val="0"/>
          <w:sz w:val="32"/>
          <w:szCs w:val="32"/>
        </w:rPr>
        <w:t>机关运行经费情况</w:t>
      </w:r>
    </w:p>
    <w:p>
      <w:pPr>
        <w:widowControl/>
        <w:spacing w:line="360" w:lineRule="auto"/>
        <w:ind w:firstLine="640" w:firstLineChars="200"/>
        <w:jc w:val="left"/>
        <w:rPr>
          <w:rFonts w:ascii="Calibri" w:hAnsi="Calibri" w:eastAsia="仿宋_GB2312" w:cs="Calibri"/>
          <w:kern w:val="0"/>
          <w:sz w:val="32"/>
          <w:szCs w:val="32"/>
        </w:rPr>
      </w:pPr>
      <w:r>
        <w:rPr>
          <w:rFonts w:hint="eastAsia" w:ascii="仿宋_GB2312" w:hAnsi="Calibri" w:eastAsia="仿宋_GB2312" w:cs="仿宋_GB2312"/>
          <w:kern w:val="0"/>
          <w:sz w:val="32"/>
          <w:szCs w:val="32"/>
        </w:rPr>
        <w:t>日常公用经费安排218万元，包括：办公费、差旅费、水费、电费、会议费、招待费、转移支付，其他支出等。</w:t>
      </w:r>
      <w:r>
        <w:rPr>
          <w:rFonts w:ascii="Calibri" w:hAnsi="Calibri" w:eastAsia="仿宋_GB2312" w:cs="Calibri"/>
          <w:kern w:val="0"/>
          <w:sz w:val="32"/>
          <w:szCs w:val="32"/>
        </w:rPr>
        <w:t>人员经费支出</w:t>
      </w:r>
      <w:r>
        <w:rPr>
          <w:rFonts w:hint="eastAsia" w:ascii="Calibri" w:hAnsi="Calibri" w:eastAsia="仿宋_GB2312" w:cs="Calibri"/>
          <w:kern w:val="0"/>
          <w:sz w:val="32"/>
          <w:szCs w:val="32"/>
        </w:rPr>
        <w:t>1183.02</w:t>
      </w:r>
      <w:r>
        <w:rPr>
          <w:rFonts w:ascii="Calibri" w:hAnsi="Calibri" w:eastAsia="仿宋_GB2312" w:cs="Calibri"/>
          <w:kern w:val="0"/>
          <w:sz w:val="32"/>
          <w:szCs w:val="32"/>
        </w:rPr>
        <w:t>万元，同比去年增长</w:t>
      </w:r>
      <w:r>
        <w:rPr>
          <w:rFonts w:hint="eastAsia" w:ascii="Calibri" w:hAnsi="Calibri" w:eastAsia="仿宋_GB2312" w:cs="Calibri"/>
          <w:kern w:val="0"/>
          <w:sz w:val="32"/>
          <w:szCs w:val="32"/>
        </w:rPr>
        <w:t>23</w:t>
      </w:r>
      <w:r>
        <w:rPr>
          <w:rFonts w:ascii="Calibri" w:hAnsi="Calibri" w:eastAsia="仿宋_GB2312" w:cs="Calibri"/>
          <w:kern w:val="0"/>
          <w:sz w:val="32"/>
          <w:szCs w:val="32"/>
        </w:rPr>
        <w:t>%。增长原因是201</w:t>
      </w:r>
      <w:r>
        <w:rPr>
          <w:rFonts w:hint="eastAsia" w:ascii="Calibri" w:hAnsi="Calibri" w:eastAsia="仿宋_GB2312" w:cs="Calibri"/>
          <w:kern w:val="0"/>
          <w:sz w:val="32"/>
          <w:szCs w:val="32"/>
        </w:rPr>
        <w:t>6</w:t>
      </w:r>
      <w:r>
        <w:rPr>
          <w:rFonts w:ascii="Calibri" w:hAnsi="Calibri" w:eastAsia="仿宋_GB2312" w:cs="Calibri"/>
          <w:kern w:val="0"/>
          <w:sz w:val="32"/>
          <w:szCs w:val="32"/>
        </w:rPr>
        <w:t>年机关事业单位统一调高了工资标准。其中，工资福利支出</w:t>
      </w:r>
      <w:r>
        <w:rPr>
          <w:rFonts w:hint="eastAsia" w:ascii="Calibri" w:hAnsi="Calibri" w:eastAsia="仿宋_GB2312" w:cs="Calibri"/>
          <w:kern w:val="0"/>
          <w:sz w:val="32"/>
          <w:szCs w:val="32"/>
        </w:rPr>
        <w:t>975.32</w:t>
      </w:r>
      <w:r>
        <w:rPr>
          <w:rFonts w:ascii="Calibri" w:hAnsi="Calibri" w:eastAsia="仿宋_GB2312" w:cs="Calibri"/>
          <w:kern w:val="0"/>
          <w:sz w:val="32"/>
          <w:szCs w:val="32"/>
        </w:rPr>
        <w:t>万元，对个人和家庭的补助支出</w:t>
      </w:r>
      <w:r>
        <w:rPr>
          <w:rFonts w:hint="eastAsia" w:ascii="Calibri" w:hAnsi="Calibri" w:eastAsia="仿宋_GB2312" w:cs="Calibri"/>
          <w:kern w:val="0"/>
          <w:sz w:val="32"/>
          <w:szCs w:val="32"/>
        </w:rPr>
        <w:t>157.61</w:t>
      </w:r>
      <w:r>
        <w:rPr>
          <w:rFonts w:ascii="Calibri" w:hAnsi="Calibri" w:eastAsia="仿宋_GB2312" w:cs="Calibri"/>
          <w:kern w:val="0"/>
          <w:sz w:val="32"/>
          <w:szCs w:val="32"/>
        </w:rPr>
        <w:t>万元。</w:t>
      </w:r>
    </w:p>
    <w:p>
      <w:pPr>
        <w:widowControl/>
        <w:spacing w:line="360" w:lineRule="auto"/>
        <w:ind w:left="567" w:firstLine="321" w:firstLineChars="100"/>
        <w:jc w:val="left"/>
        <w:rPr>
          <w:rFonts w:ascii="仿宋_GB2312" w:hAnsi="Calibri" w:eastAsia="仿宋_GB2312" w:cs="仿宋_GB2312"/>
          <w:b/>
          <w:kern w:val="0"/>
          <w:sz w:val="32"/>
          <w:szCs w:val="32"/>
        </w:rPr>
      </w:pPr>
      <w:r>
        <w:rPr>
          <w:rFonts w:hint="eastAsia" w:ascii="仿宋_GB2312" w:hAnsi="Calibri" w:eastAsia="仿宋_GB2312" w:cs="仿宋_GB2312"/>
          <w:b/>
          <w:kern w:val="0"/>
          <w:sz w:val="32"/>
          <w:szCs w:val="32"/>
        </w:rPr>
        <w:t>四、“三公”经费预算情况</w:t>
      </w:r>
    </w:p>
    <w:p>
      <w:pPr>
        <w:widowControl/>
        <w:spacing w:line="360" w:lineRule="auto"/>
        <w:ind w:left="420" w:left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2017年度“三公”预算支出63.1万元，其中，因公出国（境）费0元，安排公务用车维护费60.9元，（其中公务用车购置费0元，公务用车运行维护费60.9万元），公务接等费2.2万元，2017年“三公”经费预算减少了13%。由于2016年公车拍卖，2017年实行车补，油修费用预算</w:t>
      </w:r>
      <w:r>
        <w:rPr>
          <w:rFonts w:hint="eastAsia" w:ascii="仿宋_GB2312" w:hAnsi="Calibri" w:eastAsia="仿宋_GB2312" w:cs="仿宋_GB2312"/>
          <w:kern w:val="0"/>
          <w:sz w:val="32"/>
          <w:szCs w:val="32"/>
          <w:lang w:eastAsia="zh-CN"/>
        </w:rPr>
        <w:t>安</w:t>
      </w:r>
      <w:r>
        <w:rPr>
          <w:rFonts w:hint="eastAsia" w:ascii="仿宋_GB2312" w:hAnsi="Calibri" w:eastAsia="仿宋_GB2312" w:cs="仿宋_GB2312"/>
          <w:kern w:val="0"/>
          <w:sz w:val="32"/>
          <w:szCs w:val="32"/>
        </w:rPr>
        <w:t>排减少。</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政务公开、县政府会议管理、督察督办、政务联络等工作。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政务公开</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承担县政务公开暨行政权力公开透明运行工作领导小组的日常工作，指导和协调全县政务公开及政务服务中心建设、推进行政服务体系标准化建设工作。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通过完成县政务信息公开工作的指导监督工作，使全县政府信息公开业务队伍素质不断提高，业务水平进一步提升；政府政务信息公开范围不断扩大，公开内容得到进一步细化。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会议管理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县政府会议的准备和服务工作，协助县政府领导组织会议决定事项的落实。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做好县政府会议保障；严格县直各部门以县政府名义召开的会议审批，控制会议费开支规模。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督查督办</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督促检查县政府各部门对政府决定事项及政府领导重要指示的执行落实情况并跟踪调研，及时向县政府领导报告。组织承办人大代表和政协提案工作。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确保县政府决定事项及县政府领导重要指示得到贯彻落实。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政务联络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负责县领导、县有关部门公务活动的接待安排。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做好县际间与我县政务往来服务保障工作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应急管理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县政府值班工作，及时报告重要情况，传达和督促落实县政府领导指示。协助县政府领导做好需由县政府组织处理的突发事件应急处置工作。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县政府应急平台，实现各种实用功能，有效保证县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应急管理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县政府值班工作，及时报告重要情况，传达和督促落实县政府领导指示。协助县政府领导做好需由县政府组织处理的突发事件应急处置工作。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维护好县政府应急平台，确保全县应急工作顺利完成；各类突发事件得到及时妥善处置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应急平台互联互通率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地方志事务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全县地方志事务管理。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w:t>
            </w:r>
            <w:r>
              <w:rPr>
                <w:rFonts w:hint="cs" w:ascii="方正书宋_GBK" w:eastAsia="方正书宋_GBK"/>
              </w:rPr>
              <w:t>“</w:t>
            </w:r>
            <w:r>
              <w:rPr>
                <w:rFonts w:hint="eastAsia" w:ascii="方正书宋_GBK" w:eastAsia="方正书宋_GBK"/>
              </w:rPr>
              <w:t>资政、存史、教化</w:t>
            </w:r>
            <w:r>
              <w:rPr>
                <w:rFonts w:hint="cs" w:ascii="方正书宋_GBK" w:eastAsia="方正书宋_GBK"/>
              </w:rPr>
              <w:t>”</w:t>
            </w:r>
            <w:r>
              <w:rPr>
                <w:rFonts w:hint="eastAsia" w:ascii="方正书宋_GBK" w:eastAsia="方正书宋_GBK"/>
              </w:rPr>
              <w:t>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地方志事务管理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拟订全县地方志工作规划并组织实施；搜集、保存、管理地方文献和资料；组织开发利用地方志资源；建设和维护县地方志县情网络。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为社会各界方便快捷提供县情，为经济社会建设服务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政府办公室政务管理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农业综合开发</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贯彻国家农业综合开发方针，执行全县农业综合开发政策及项目立项、实施、检查验收等管理办法，管理县农业综合开发资金和各类农业综合开发项目。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在全县实施农业综合开发土地治理、产业化经营、示范区等项目</w:t>
            </w:r>
            <w:r>
              <w:rPr>
                <w:rFonts w:ascii="方正书宋_GBK" w:eastAsia="方正书宋_GBK"/>
              </w:rPr>
              <w:t>,</w:t>
            </w:r>
            <w:r>
              <w:rPr>
                <w:rFonts w:hint="eastAsia" w:ascii="方正书宋_GBK" w:eastAsia="方正书宋_GBK"/>
              </w:rPr>
              <w:t>依据省、市确定的项目配套比例，筹集县级配套资金；在全县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农业发展路径，示范引导全县现代农业发展，促进农业增效、农民增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农业土地治理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组织土地治理项目建设及资金使用情况检查，对土地治理项目进行县级验收；对土地治理项目建设情况和资金管理情况进行大排查，提前发现并消灭问题隐患。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有效改善农业生产条件和生态环境，提高农业综合生产能力；探索现代农业发展路径，示范引导全县现代农业发展。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年度土地治理项目实施计划中各项分类措施的建设任务验收完成率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农业产业化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组织年度产业化项目建设及资金使用情况检查，对年度农业产业化项目进行验收；对农业产业化项目建设情况和资金管理情况进行大排查，提前发现并消灭问题隐患。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扶持农业龙头企业和新型经营主体，带动农业特色主导产业发展，提高我县农业产业化整体水平。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年度产业化经营项目实施计划中各项分类措施的任务完成率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规上企业统计员补助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研究制定资料开发应用计划，进行业务培训，组织开展深层次课题研究，发布普查主要数据公报。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专项统计调查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专项统计调查</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成安县商务局对外贸易促进会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依法监督技术引进、设备进口、国家限制出口的技术工作，拟订县级服务贸易发展规划并组织实施；负责对外贸易相关行政审批。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p>
            <w:pPr>
              <w:spacing w:line="300" w:lineRule="exact"/>
              <w:jc w:val="left"/>
              <w:rPr>
                <w:rFonts w:ascii="方正书宋_GBK" w:eastAsia="方正书宋_GBK"/>
              </w:rPr>
            </w:pPr>
            <w:r>
              <w:rPr>
                <w:rFonts w:hint="eastAsia" w:ascii="方正书宋_GBK" w:eastAsia="方正书宋_GBK"/>
              </w:rPr>
              <w:t>规范县级对外招商引资活动，组织实施投资贸易洽谈会等活动。借助我国对美、对俄、对台、多边贸易政策以及自贸区平台，组织县级企业走出去，开展贸易洽谈、招商合作等活动，促进贸易往来。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高新产品进出口管理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县级高新技术产品对外推广，引导县级企业进口国外先进技术、关键设备和紧缺的资源产品，提高企业技术装备水平，推动企业转变增长方式，调整产品结构、提高产品质量和附加值。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促进高科技企业开拓国际市场，增加出口。</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高新技术产品及成果交易数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发展服务贸易和服务外包</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依法监督技术引进、设备进口、国家限制出口的技术工作，拟订县级服务贸易发展规划并组织实施；负责对外贸易相关行政审批。</w:t>
            </w: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促进服务贸易进出口额增长，结构不断优化，对外开放水平日益提升，加速推进全县服务业的对外开放水平</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促进对外经贸服务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做好进出口数据采集、贸易救济措施调查、产业损害预警、出口信用保险、开发区利用外资管理等工作。完善开发区建设发展管理体系，开展招商引资、培训。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完成县政府下达目标，确保对外投资和经济合作业务稳定增长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对外投资额增长率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提高外贸市场竞争能力</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打造以技术、质量、品牌、服务为核心的竞争新优势，支持外贸基地、品牌、境外营销网络建设，发展跨境电子商务、内外贸结合商品市场、外贸综合服务企业等新业态。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扩大高新技术产品出口、提高国际市场竞争力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达成协议及意向个数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招商引资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到会客商人数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赴外国家地区数量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推进全省信息化建设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推进信息化和工业化融合，指导协调电子政务发展，促进</w:t>
            </w:r>
            <w:r>
              <w:rPr>
                <w:rFonts w:hint="cs" w:ascii="方正书宋_GBK" w:eastAsia="方正书宋_GBK"/>
              </w:rPr>
              <w:t>“</w:t>
            </w:r>
            <w:r>
              <w:rPr>
                <w:rFonts w:hint="eastAsia" w:ascii="方正书宋_GBK" w:eastAsia="方正书宋_GBK"/>
              </w:rPr>
              <w:t>三网</w:t>
            </w:r>
            <w:r>
              <w:rPr>
                <w:rFonts w:hint="cs" w:ascii="方正书宋_GBK" w:eastAsia="方正书宋_GBK"/>
              </w:rPr>
              <w:t>”</w:t>
            </w:r>
            <w:r>
              <w:rPr>
                <w:rFonts w:hint="eastAsia" w:ascii="方正书宋_GBK" w:eastAsia="方正书宋_GBK"/>
              </w:rPr>
              <w:t>（电信、广播电视和计算机网络）融合、信息消费和物联网发展，维护网络与信息安全。推动全县软件业、信息服务业发展。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提升全县信息化建设和发展水平：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电子政务信息化建设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组织协调规划党政机关网建设，审核信息化项目，协调推动跨行业、跨部门互联互通，推动重要信息资源的开发利用、共享。</w:t>
            </w:r>
          </w:p>
          <w:p>
            <w:pPr>
              <w:spacing w:line="300" w:lineRule="exact"/>
              <w:jc w:val="left"/>
              <w:rPr>
                <w:rFonts w:ascii="方正书宋_GBK" w:eastAsia="方正书宋_GBK"/>
              </w:rPr>
            </w:pPr>
            <w:r>
              <w:rPr>
                <w:rFonts w:hint="eastAsia" w:ascii="方正书宋_GBK" w:eastAsia="方正书宋_GBK"/>
              </w:rPr>
              <w:t>拟定电子政务发展规划，统筹电子政务建设和管理，组织协调规划党政机关网建设，审核信息化项目，协调推动跨行业、跨部门互联互通，推动重要信息资源的开发利用、共享。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提高全县政务信息化水平，提升信息资源利用水平。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信息化项目审核率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推进信息化与工业化深度融合</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拟定信息化与工业化融合战略，提出并组织实施信息化与工业化融合的总体规划、实施计划、标准规划和政策措施，组织实施有关监测和评估工作。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提升产业信息化水平，增强企业综合竞争力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标准和政策出台数量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计划和报告完成数量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示范试点建设数量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服务机构个数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企业户数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宣传培训次数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促进信息消费和物联网发展</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指导协调和促进培育信息消费，支持信息消费示范项目建设，推动三网融合；加强物联网技术研发，推进物联网产品产业化和应用示范，加强物联网公共服务平台建设。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促进信息消费持续稳定增长的长效机制，推动面向生产、生活和管理的信息消费快速健康增长；建立物联网产业体系，提升物联网在经济社会重要领域的应用水平；加强双软认定和资质管理，完善信息服务体系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示范项目建设和应用推广数量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示范工程数量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物联网平台数量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物联网标准数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服务体系完成率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支持新型工业化发展</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加大我省工业转型升级步伐，提升工业发展的质量和效益。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研究提出全县新型工业和信息化发展战略和政策</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加强全县工业和信息化发展战略、规划、法规、政策等研究制定和实施；制定并组织实施全县工业产业政策。</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建立完善工业和信息化政策法规、规划、标准体系，规范、引导、指导工业和信息化健康发展。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研究课题完成数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产业结构调整方案实施数量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产业政策出台情况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支持工业技术改造</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组织全县工业技术改造工作，推进现代产业体系建设；通过贴息、补助、股权投资等方式支持全县重点工业技术改造项目。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采用新技术、新工艺、新材料改造提升全省传统产业水平，调整产业结构，转变经济发展方式。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四新成果利用率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工业技术改造投资增速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技改项目实施数量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工业技改项目管理信息系统覆盖率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工业强基示范项目建设数量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服务平台建设数量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扶持企业技术创新</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组织实施全县工业行业技术基础工作，加快以企业为主体的技术创新体系建设。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建立工业企业技术创新体系，提升工业企业技术水平。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创新示范企业数量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认定实验室数量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指导开发千项新产品、新技术数量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优评选数量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产学研合作项目数量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促进工业节能减排与资源综合利用</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指导企业节能管理，组织节能减排新产品、新技术、新设备、新材料的推广应用。组织实施工业</w:t>
            </w:r>
            <w:r>
              <w:rPr>
                <w:rFonts w:hint="cs" w:ascii="方正书宋_GBK" w:eastAsia="方正书宋_GBK"/>
              </w:rPr>
              <w:t>“</w:t>
            </w:r>
            <w:r>
              <w:rPr>
                <w:rFonts w:hint="eastAsia" w:ascii="方正书宋_GBK" w:eastAsia="方正书宋_GBK"/>
              </w:rPr>
              <w:t>三废</w:t>
            </w:r>
            <w:r>
              <w:rPr>
                <w:rFonts w:hint="cs" w:ascii="方正书宋_GBK" w:eastAsia="方正书宋_GBK"/>
              </w:rPr>
              <w:t>”</w:t>
            </w:r>
            <w:r>
              <w:rPr>
                <w:rFonts w:hint="eastAsia" w:ascii="方正书宋_GBK" w:eastAsia="方正书宋_GBK"/>
              </w:rPr>
              <w:t>资源综合利用项目管理、全县尾矿综合利用试点示范工程，推进企业能源管理中心建设。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推动工业企业节能降耗减排，提升资源综合利用，促进绿色循环低碳发展。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工业能耗降低率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大宗工业固废综合利用率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示范企业创建数量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清洁生产园区创建数量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能源管理中心建设数量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新能源汽车推广应用计划完成程度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节能环保技术应用数量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推进工业行业淘汰落后产能、压减过剩产能</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指导全县工业行业淘汰落后产能和化解过剩产能工作，制定下达年度淘汰落后和过剩产能计划并组织实施，开展监督检查。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消化一批、转移一批、整合一批、淘汰一批过剩产能，推进产业转型升级。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计划下达情况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协调推进工业强县建设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协调推进实施工业强县战略，打好工业转型升级攻坚战。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完善工业协调推进机制，推进产业结构战略性调整和优化升级，走新型工业化道路。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十大工业基地收入占规模以上企业工业总产值的比重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工业增加值增长率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示范基地创建数量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实施工业和信息化运行监测管理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监测分析全县工业运行；负责全县钢铁、石化、建材、装备、纺织、医药、轻工食品、电子信息、软件信息服务业等工业行业管理。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工业经济运行监测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监测分析工业日常运行，协调解决行业运行发展中的问题。指导全县减轻企业负担工作，组织协调和监督检查。开展电子信息产业和相关服务业统计工作。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做好工业运行监测分析、预警，切实减轻企业负担，确保完成全县工业经济增长目标，促进工业持续健康平稳发展。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经济运行质量评价情况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经济运行分析和预测预警及时率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培育规模以上企业的目标任务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产需对接方案目标任务的完成率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工业运行监测率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政策落实评估情况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组织开展工业和信息化对外交流与合作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开展对外经济交流与合作，指导和推动工业企业参加展洽活动，积极开拓国内、国外市场，促进贸易成交和技术交流，追踪前沿动态。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促进工业企业开展对外经济交流与合作，提升工业对外开放水平。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产业转移平台建设数量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企业参加展洽数量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展会贸易成交同比增长</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组织各类展洽会次数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境外招商、洽谈次数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组织开展工业企业对标行动</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开展对标示范工程，建立政策驱动和督导考核机制，指导企业在研发、制造、经营等环节与同行业先进水平对标。开展管理提升工程，推进工业企业管理创新。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建立完善对标体系，逐步缩小与国内外同行业先进水平的差距，创建一批行业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和</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培育示范企业数量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指标更新和公布个数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为企业免费咨询服务数量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国家或省级行业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或</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加强工业行业质量管理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实施质量兴县战略，制定完善质量政策，推广应用先进质量管理方法，开展品牌培育试点工作；推进全县工业体制改革和管理创新</w:t>
            </w:r>
            <w:r>
              <w:rPr>
                <w:rFonts w:ascii="方正书宋_GBK" w:eastAsia="方正书宋_GBK"/>
              </w:rPr>
              <w:t>,</w:t>
            </w:r>
            <w:r>
              <w:rPr>
                <w:rFonts w:hint="eastAsia" w:ascii="方正书宋_GBK" w:eastAsia="方正书宋_GBK"/>
              </w:rPr>
              <w:t>提高行业综合素质和核心竞争力。推进食品诚信体系建设。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加强企业质量管理，构建工业产品质量和品牌发展长效机制。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名牌数量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诚信体系认定率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指导工业行业安全生产、应急管理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指导全县工业加强安全管理和重点行业排查治理隐患，负责工业安全生产信息管理和宣传教育工作，负责烟花爆竹企业的新建、扩建、改建审批等；负责应急管理、医药储备、产业安全和国防动员相关工作。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加强安全生产管理，严防发生重特大生产安全责任事故；协调相关工业及医药流通企业落实工业应急物资和医药储备任务。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目标管理责任落实</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促进中小企业和民营经济发展</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推动中小微企业和民营经济持续、健康发展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中小和民营企业公共服务体系建设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推动中小和民营企业公共服务平台网络建设，为中小企业提供融资担保（包括金融机构风险补偿）、人才引进与培养、诚信评价、法律服务等公共服务。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为中小和民营企业提供的公共服务事项和效果不断提高；提高融资担保规模，贷款担保逐年增加；中小和民营企业规模数量及效益水平明显改善；提升中小、民营企业从业人员经营管理水平。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平台网络服务企业数量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w:t>
            </w:r>
            <w:r>
              <w:rPr>
                <w:rFonts w:hint="cs" w:ascii="方正书宋_GBK" w:eastAsia="方正书宋_GBK"/>
              </w:rPr>
              <w:t>“</w:t>
            </w:r>
            <w:r>
              <w:rPr>
                <w:rFonts w:hint="eastAsia" w:ascii="方正书宋_GBK" w:eastAsia="方正书宋_GBK"/>
              </w:rPr>
              <w:t>订单式</w:t>
            </w:r>
            <w:r>
              <w:rPr>
                <w:rFonts w:hint="cs" w:ascii="方正书宋_GBK" w:eastAsia="方正书宋_GBK"/>
              </w:rPr>
              <w:t>”</w:t>
            </w:r>
            <w:r>
              <w:rPr>
                <w:rFonts w:hint="eastAsia" w:ascii="方正书宋_GBK" w:eastAsia="方正书宋_GBK"/>
              </w:rPr>
              <w:t>服务场次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行政许可办结率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年度完成担保贷款额</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人才培训基地数量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网络学堂建设个数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百千万</w:t>
            </w:r>
            <w:r>
              <w:rPr>
                <w:rFonts w:hint="cs" w:ascii="方正书宋_GBK" w:eastAsia="方正书宋_GBK"/>
              </w:rPr>
              <w:t>”</w:t>
            </w:r>
            <w:r>
              <w:rPr>
                <w:rFonts w:hint="eastAsia" w:ascii="方正书宋_GBK" w:eastAsia="方正书宋_GBK"/>
              </w:rPr>
              <w:t>人才工程培训人数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金色阳光</w:t>
            </w:r>
            <w:r>
              <w:rPr>
                <w:rFonts w:hint="cs" w:ascii="方正书宋_GBK" w:eastAsia="方正书宋_GBK"/>
              </w:rPr>
              <w:t>”</w:t>
            </w:r>
            <w:r>
              <w:rPr>
                <w:rFonts w:hint="eastAsia" w:ascii="方正书宋_GBK" w:eastAsia="方正书宋_GBK"/>
              </w:rPr>
              <w:t>法律服务行动场数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促进产业集群和县域工业发展</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指导集群内公共技术服务平台建设，促进中小企业专业化发展及为大企业配套，统筹指导创业辅导机构和辅导队伍的建设和管理。促进县域工业发展。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提升产业集群发展档次和水平，加强创业辅导建设，促进县域工业发展。推进创业辅导基地建设</w:t>
            </w:r>
            <w:r>
              <w:rPr>
                <w:rFonts w:ascii="方正书宋_GBK" w:eastAsia="方正书宋_GBK"/>
              </w:rPr>
              <w:t>,</w:t>
            </w:r>
            <w:r>
              <w:rPr>
                <w:rFonts w:hint="eastAsia" w:ascii="方正书宋_GBK" w:eastAsia="方正书宋_GBK"/>
              </w:rPr>
              <w:t>激发全民创业热情。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公共技术服务平台数量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产业集群区域品牌增加量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创业辅导基地增加量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开展中小企业和民营经济运行监测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建立健全民营经济运行统计和监测分析体系；加强规划引导，促进中小企业、民营经济健康发展。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出台规划</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监测点上报率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数据分析和发布及时性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专题宣传期数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课题研究数量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实施无线电行业监管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贯彻执行国家无线电管理有关法律法规，拟定全县无线电管理具体规定并监督实施，为促进经济社会发展和保障国家安全服务。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加强无线电管理，保障各项无线电业务的正常运行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无线电行业运行监管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审批权限和业务范围审核全县无线电台（站）的建设布局和台址，规划和指配无线电台（站）频率和呼号，核发无线电台执照；对全县无线电台（站）的设置、使用和无线电发射设备的研制、生产、进口、销售实施监督和管理；按规定核收和上缴无线电频谱、卫星轨道资源有偿使用相关费用；组织实施无线电监测，协调处理电磁环境干扰事宜，维护空中电波秩序，依法组织实施无线电管制以及重大活动无线电安全保障、航空及铁路、水上无线电频率保护、无线电干扰查处、无线电频率国际和国内协调等。组织专业技术人员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无线电安全保障高效、干扰查处及时、频率协调有力，保持全县优良电磁环境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违规行为查处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处置准确率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人员培训率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提升无线电监管条件和技术手段</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不断加强无线电监管条件和技术手段建设和设升级改造与运行维护，包括无线电专用的房屋建筑物、特种车辆、技术设备、网络建设等，为行业监管提供必备的基础条件和先进的技术手段。</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监测网覆盖率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捕捉违规信号准确率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监测故障率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工信政务管理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负责系统（内部）综合业务管理和机关（内部）综合事务管理。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提升工业和信息化综合事务管理水平。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依法做好监控化学品日常监管和行政许可审批；完善工业和信息化政策法规体系建设；培育专业化人才，提升工业和信息化人才队伍水平。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专家入库数量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职业技能鉴定人数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金融生态环境建设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地方金融机构建设与协调合作，金融生态环境建设。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提高我县金融业对外开放水平，净化金融市场，维护社会稳定，促进金融产业健康发展。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金融生态环境建设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依法加强金融监管，整顿和规范金融市场秩序，协调非法集资、非法证券、非法保险等案件的查处、善后处置和维护金融稳定，指导全县金融生态环境和社会信用体系建设。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严守不发生系统性、区域性金融风险的底线，净化金融市场，防止非法集资活动的蔓延，维护社会稳定。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完成考核评级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jc w:val="left"/>
        <w:rPr>
          <w:rFonts w:ascii="仿宋" w:hAnsi="仿宋" w:eastAsia="仿宋" w:cs="Times New Roman"/>
          <w:sz w:val="32"/>
          <w:szCs w:val="32"/>
        </w:rPr>
      </w:pPr>
      <w:bookmarkStart w:id="1" w:name="_Toc471398468"/>
      <w:r>
        <w:rPr>
          <w:rFonts w:ascii="Times New Roman" w:hAnsi="Times New Roman" w:eastAsia="方正仿宋_GBK" w:cs="Times New Roman"/>
          <w:sz w:val="32"/>
          <w:szCs w:val="32"/>
        </w:rPr>
        <w:t xml:space="preserve">  </w:t>
      </w:r>
      <w:r>
        <w:rPr>
          <w:rFonts w:ascii="仿宋" w:hAnsi="仿宋" w:eastAsia="仿宋" w:cs="Times New Roman"/>
          <w:sz w:val="32"/>
          <w:szCs w:val="32"/>
        </w:rPr>
        <w:t xml:space="preserve"> </w:t>
      </w: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cs="微软雅黑"/>
          <w:kern w:val="0"/>
          <w:sz w:val="24"/>
          <w:szCs w:val="24"/>
        </w:rPr>
        <w:t xml:space="preserve"> </w:t>
      </w:r>
      <w:r>
        <w:rPr>
          <w:rFonts w:ascii="仿宋" w:hAnsi="仿宋" w:eastAsia="仿宋" w:cs="仿宋_GB2312"/>
          <w:kern w:val="0"/>
          <w:sz w:val="32"/>
          <w:szCs w:val="32"/>
        </w:rPr>
        <w:t>按照政府采购相关法律法规要求，结合我局实际，201</w:t>
      </w:r>
      <w:r>
        <w:rPr>
          <w:rFonts w:hint="eastAsia" w:ascii="仿宋" w:hAnsi="仿宋" w:eastAsia="仿宋" w:cs="仿宋_GB2312"/>
          <w:kern w:val="0"/>
          <w:sz w:val="32"/>
          <w:szCs w:val="32"/>
        </w:rPr>
        <w:t>7</w:t>
      </w:r>
      <w:r>
        <w:rPr>
          <w:rFonts w:ascii="仿宋" w:hAnsi="仿宋" w:eastAsia="仿宋" w:cs="仿宋_GB2312"/>
          <w:kern w:val="0"/>
          <w:sz w:val="32"/>
          <w:szCs w:val="32"/>
        </w:rPr>
        <w:t>年我局政府采购事项为</w:t>
      </w:r>
      <w:r>
        <w:rPr>
          <w:rFonts w:hint="eastAsia" w:ascii="仿宋" w:hAnsi="仿宋" w:eastAsia="仿宋" w:cs="仿宋_GB2312"/>
          <w:kern w:val="0"/>
          <w:sz w:val="32"/>
          <w:szCs w:val="32"/>
        </w:rPr>
        <w:t>5万元，</w:t>
      </w:r>
      <w:r>
        <w:rPr>
          <w:rFonts w:ascii="仿宋" w:hAnsi="仿宋" w:eastAsia="仿宋" w:cs="仿宋_GB2312"/>
          <w:kern w:val="0"/>
          <w:sz w:val="32"/>
          <w:szCs w:val="32"/>
        </w:rPr>
        <w:t>本年拟用于政府采购微机等办公设备</w:t>
      </w:r>
      <w:r>
        <w:rPr>
          <w:rFonts w:hint="eastAsia" w:ascii="仿宋" w:hAnsi="仿宋" w:eastAsia="仿宋" w:cs="仿宋_GB2312"/>
          <w:kern w:val="0"/>
          <w:sz w:val="32"/>
          <w:szCs w:val="32"/>
        </w:rPr>
        <w:t>3</w:t>
      </w:r>
      <w:r>
        <w:rPr>
          <w:rFonts w:ascii="仿宋" w:hAnsi="仿宋" w:eastAsia="仿宋" w:cs="仿宋_GB2312"/>
          <w:kern w:val="0"/>
          <w:sz w:val="32"/>
          <w:szCs w:val="32"/>
        </w:rPr>
        <w:t>万元。</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0"/>
        <w:gridCol w:w="955"/>
        <w:gridCol w:w="786"/>
        <w:gridCol w:w="1250"/>
        <w:gridCol w:w="786"/>
        <w:gridCol w:w="786"/>
        <w:gridCol w:w="807"/>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部门（单位）名称成安县人民政府办公室</w:t>
            </w:r>
          </w:p>
        </w:tc>
        <w:tc>
          <w:tcPr>
            <w:tcW w:w="2105" w:type="pct"/>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303" w:type="pct"/>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采购物品名称</w:t>
            </w:r>
          </w:p>
        </w:tc>
        <w:tc>
          <w:tcPr>
            <w:tcW w:w="482"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r>
              <w:rPr>
                <w:rFonts w:ascii="宋体" w:hAnsi="宋体" w:eastAsia="宋体" w:cs="方正书宋_GBK"/>
                <w:b/>
                <w:bCs/>
              </w:rPr>
              <w:t xml:space="preserve">  </w:t>
            </w:r>
            <w:r>
              <w:rPr>
                <w:rFonts w:hint="eastAsia" w:ascii="宋体" w:hAnsi="宋体" w:eastAsia="宋体" w:cs="方正书宋_GBK"/>
                <w:b/>
                <w:bCs/>
              </w:rPr>
              <w:t>单位</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311"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2105" w:type="pct"/>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368"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1510" w:type="pct"/>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285" w:type="pct"/>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pPr>
              <w:spacing w:line="560" w:lineRule="exact"/>
              <w:jc w:val="left"/>
              <w:outlineLvl w:val="0"/>
              <w:rPr>
                <w:rFonts w:ascii="宋体" w:hAnsi="宋体" w:eastAsia="宋体" w:cs="Times New Roman"/>
              </w:rPr>
            </w:pPr>
          </w:p>
        </w:tc>
        <w:tc>
          <w:tcPr>
            <w:tcW w:w="368"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continue"/>
            <w:vAlign w:val="center"/>
          </w:tcPr>
          <w:p>
            <w:pPr>
              <w:spacing w:line="560" w:lineRule="exact"/>
              <w:jc w:val="left"/>
              <w:outlineLvl w:val="0"/>
              <w:rPr>
                <w:rFonts w:ascii="宋体" w:hAnsi="宋体" w:eastAsia="宋体" w:cs="Times New Roman"/>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310" w:type="pc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282" w:type="pc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304" w:type="pc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304" w:type="pc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285" w:type="pct"/>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368"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303" w:type="pct"/>
            <w:vAlign w:val="center"/>
          </w:tcPr>
          <w:p>
            <w:pPr>
              <w:spacing w:line="560" w:lineRule="exact"/>
              <w:jc w:val="left"/>
              <w:rPr>
                <w:rFonts w:ascii="宋体" w:hAnsi="宋体" w:eastAsia="宋体" w:cs="Times New Roman"/>
                <w:b/>
                <w:bCs/>
              </w:rPr>
            </w:pPr>
            <w:r>
              <w:rPr>
                <w:rFonts w:ascii="宋体" w:hAnsi="宋体" w:eastAsia="宋体" w:cs="方正书宋_GBK"/>
                <w:b/>
                <w:bCs/>
              </w:rPr>
              <w:t>微机</w:t>
            </w:r>
          </w:p>
        </w:tc>
        <w:tc>
          <w:tcPr>
            <w:tcW w:w="482" w:type="pct"/>
            <w:vAlign w:val="center"/>
          </w:tcPr>
          <w:p>
            <w:pPr>
              <w:spacing w:line="560" w:lineRule="exact"/>
              <w:jc w:val="left"/>
              <w:rPr>
                <w:rFonts w:ascii="宋体" w:hAnsi="宋体" w:eastAsia="宋体" w:cs="Times New Roman"/>
                <w:b/>
                <w:bCs/>
              </w:rPr>
            </w:pPr>
          </w:p>
        </w:tc>
        <w:tc>
          <w:tcPr>
            <w:tcW w:w="303" w:type="pct"/>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303"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10</w:t>
            </w:r>
          </w:p>
        </w:tc>
        <w:tc>
          <w:tcPr>
            <w:tcW w:w="311"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w:t>
            </w:r>
          </w:p>
        </w:tc>
        <w:tc>
          <w:tcPr>
            <w:tcW w:w="310" w:type="pct"/>
            <w:vAlign w:val="center"/>
          </w:tcPr>
          <w:p>
            <w:pPr>
              <w:spacing w:line="560" w:lineRule="exact"/>
              <w:jc w:val="right"/>
              <w:rPr>
                <w:rFonts w:ascii="宋体" w:hAnsi="宋体" w:eastAsia="宋体" w:cs="Times New Roman"/>
                <w:b/>
                <w:bCs/>
              </w:rPr>
            </w:pPr>
          </w:p>
        </w:tc>
        <w:tc>
          <w:tcPr>
            <w:tcW w:w="310"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310"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282"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285" w:type="pct"/>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p>
        </w:tc>
        <w:tc>
          <w:tcPr>
            <w:tcW w:w="368"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303" w:type="pct"/>
            <w:vAlign w:val="center"/>
          </w:tcPr>
          <w:p>
            <w:pPr>
              <w:spacing w:line="560" w:lineRule="exact"/>
              <w:jc w:val="left"/>
              <w:rPr>
                <w:rFonts w:ascii="宋体" w:hAnsi="宋体" w:eastAsia="宋体" w:cs="Times New Roman"/>
                <w:b/>
                <w:bCs/>
              </w:rPr>
            </w:pPr>
            <w:r>
              <w:rPr>
                <w:rFonts w:ascii="宋体" w:hAnsi="宋体" w:eastAsia="宋体" w:cs="方正书宋_GBK"/>
                <w:b/>
                <w:bCs/>
              </w:rPr>
              <w:t>微机</w:t>
            </w:r>
          </w:p>
        </w:tc>
        <w:tc>
          <w:tcPr>
            <w:tcW w:w="482" w:type="pct"/>
            <w:vAlign w:val="center"/>
          </w:tcPr>
          <w:p>
            <w:pPr>
              <w:spacing w:line="560" w:lineRule="exact"/>
              <w:jc w:val="left"/>
              <w:rPr>
                <w:rFonts w:ascii="宋体" w:hAnsi="宋体" w:eastAsia="宋体" w:cs="Times New Roman"/>
                <w:b/>
                <w:bCs/>
              </w:rPr>
            </w:pPr>
          </w:p>
        </w:tc>
        <w:tc>
          <w:tcPr>
            <w:tcW w:w="303" w:type="pct"/>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303"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10</w:t>
            </w:r>
          </w:p>
        </w:tc>
        <w:tc>
          <w:tcPr>
            <w:tcW w:w="311"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w:t>
            </w:r>
          </w:p>
        </w:tc>
        <w:tc>
          <w:tcPr>
            <w:tcW w:w="310" w:type="pct"/>
            <w:vAlign w:val="center"/>
          </w:tcPr>
          <w:p>
            <w:pPr>
              <w:spacing w:line="560" w:lineRule="exact"/>
              <w:jc w:val="right"/>
              <w:rPr>
                <w:rFonts w:ascii="宋体" w:hAnsi="宋体" w:eastAsia="宋体" w:cs="Times New Roman"/>
                <w:b/>
                <w:bCs/>
              </w:rPr>
            </w:pPr>
          </w:p>
        </w:tc>
        <w:tc>
          <w:tcPr>
            <w:tcW w:w="310"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310"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282"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285" w:type="pct"/>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left"/>
              <w:rPr>
                <w:rFonts w:ascii="宋体" w:hAnsi="宋体" w:eastAsia="宋体" w:cs="Times New Roman"/>
              </w:rPr>
            </w:pPr>
          </w:p>
        </w:tc>
        <w:tc>
          <w:tcPr>
            <w:tcW w:w="368" w:type="pct"/>
            <w:vAlign w:val="center"/>
          </w:tcPr>
          <w:p>
            <w:pPr>
              <w:spacing w:line="560" w:lineRule="exact"/>
              <w:jc w:val="right"/>
              <w:rPr>
                <w:rFonts w:ascii="宋体" w:hAnsi="宋体" w:eastAsia="宋体" w:cs="Times New Roman"/>
              </w:rPr>
            </w:pPr>
          </w:p>
        </w:tc>
        <w:tc>
          <w:tcPr>
            <w:tcW w:w="303" w:type="pct"/>
            <w:vAlign w:val="center"/>
          </w:tcPr>
          <w:p>
            <w:pPr>
              <w:spacing w:line="560" w:lineRule="exact"/>
              <w:jc w:val="left"/>
              <w:rPr>
                <w:rFonts w:ascii="宋体" w:hAnsi="宋体" w:eastAsia="宋体" w:cs="Times New Roman"/>
              </w:rPr>
            </w:pPr>
          </w:p>
        </w:tc>
        <w:tc>
          <w:tcPr>
            <w:tcW w:w="482" w:type="pct"/>
            <w:vAlign w:val="center"/>
          </w:tcPr>
          <w:p>
            <w:pPr>
              <w:spacing w:line="560" w:lineRule="exact"/>
              <w:jc w:val="left"/>
              <w:rPr>
                <w:rFonts w:ascii="宋体" w:hAnsi="宋体" w:eastAsia="宋体" w:cs="Times New Roman"/>
              </w:rPr>
            </w:pPr>
          </w:p>
        </w:tc>
        <w:tc>
          <w:tcPr>
            <w:tcW w:w="303" w:type="pct"/>
            <w:vAlign w:val="center"/>
          </w:tcPr>
          <w:p>
            <w:pPr>
              <w:spacing w:line="560" w:lineRule="exact"/>
              <w:jc w:val="left"/>
              <w:rPr>
                <w:rFonts w:ascii="宋体" w:hAnsi="宋体" w:eastAsia="宋体" w:cs="Times New Roman"/>
              </w:rPr>
            </w:pPr>
          </w:p>
        </w:tc>
        <w:tc>
          <w:tcPr>
            <w:tcW w:w="303" w:type="pct"/>
            <w:vAlign w:val="center"/>
          </w:tcPr>
          <w:p>
            <w:pPr>
              <w:spacing w:line="560" w:lineRule="exact"/>
              <w:jc w:val="right"/>
              <w:rPr>
                <w:rFonts w:ascii="宋体" w:hAnsi="宋体" w:eastAsia="宋体" w:cs="Times New Roman"/>
              </w:rPr>
            </w:pPr>
          </w:p>
        </w:tc>
        <w:tc>
          <w:tcPr>
            <w:tcW w:w="311"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282"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285" w:type="pct"/>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left"/>
              <w:rPr>
                <w:rFonts w:ascii="宋体" w:hAnsi="宋体" w:eastAsia="宋体" w:cs="Times New Roman"/>
              </w:rPr>
            </w:pPr>
          </w:p>
        </w:tc>
        <w:tc>
          <w:tcPr>
            <w:tcW w:w="368" w:type="pct"/>
            <w:vAlign w:val="center"/>
          </w:tcPr>
          <w:p>
            <w:pPr>
              <w:spacing w:line="560" w:lineRule="exact"/>
              <w:jc w:val="right"/>
              <w:rPr>
                <w:rFonts w:ascii="宋体" w:hAnsi="宋体" w:eastAsia="宋体" w:cs="Times New Roman"/>
              </w:rPr>
            </w:pPr>
          </w:p>
        </w:tc>
        <w:tc>
          <w:tcPr>
            <w:tcW w:w="303" w:type="pct"/>
            <w:vAlign w:val="center"/>
          </w:tcPr>
          <w:p>
            <w:pPr>
              <w:spacing w:line="560" w:lineRule="exact"/>
              <w:jc w:val="left"/>
              <w:rPr>
                <w:rFonts w:ascii="宋体" w:hAnsi="宋体" w:eastAsia="宋体" w:cs="Times New Roman"/>
              </w:rPr>
            </w:pPr>
          </w:p>
        </w:tc>
        <w:tc>
          <w:tcPr>
            <w:tcW w:w="482" w:type="pct"/>
            <w:vAlign w:val="center"/>
          </w:tcPr>
          <w:p>
            <w:pPr>
              <w:spacing w:line="560" w:lineRule="exact"/>
              <w:jc w:val="left"/>
              <w:rPr>
                <w:rFonts w:ascii="宋体" w:hAnsi="宋体" w:eastAsia="宋体" w:cs="Times New Roman"/>
              </w:rPr>
            </w:pPr>
          </w:p>
        </w:tc>
        <w:tc>
          <w:tcPr>
            <w:tcW w:w="303" w:type="pct"/>
            <w:vAlign w:val="center"/>
          </w:tcPr>
          <w:p>
            <w:pPr>
              <w:spacing w:line="560" w:lineRule="exact"/>
              <w:jc w:val="left"/>
              <w:rPr>
                <w:rFonts w:ascii="宋体" w:hAnsi="宋体" w:eastAsia="宋体" w:cs="Times New Roman"/>
              </w:rPr>
            </w:pPr>
          </w:p>
        </w:tc>
        <w:tc>
          <w:tcPr>
            <w:tcW w:w="303" w:type="pct"/>
            <w:vAlign w:val="center"/>
          </w:tcPr>
          <w:p>
            <w:pPr>
              <w:spacing w:line="560" w:lineRule="exact"/>
              <w:jc w:val="right"/>
              <w:rPr>
                <w:rFonts w:ascii="宋体" w:hAnsi="宋体" w:eastAsia="宋体" w:cs="Times New Roman"/>
              </w:rPr>
            </w:pPr>
          </w:p>
        </w:tc>
        <w:tc>
          <w:tcPr>
            <w:tcW w:w="311"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282"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285" w:type="pct"/>
            <w:vAlign w:val="center"/>
          </w:tcPr>
          <w:p>
            <w:pPr>
              <w:spacing w:line="560" w:lineRule="exact"/>
              <w:jc w:val="right"/>
              <w:rPr>
                <w:rFonts w:ascii="宋体" w:hAnsi="宋体" w:eastAsia="宋体" w:cs="Times New Roman"/>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tbl>
      <w:tblPr>
        <w:tblStyle w:val="6"/>
        <w:tblW w:w="5000" w:type="pct"/>
        <w:tblInd w:w="-106" w:type="dxa"/>
        <w:tblLayout w:type="autofit"/>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宋体" w:hAnsi="宋体" w:eastAsia="宋体" w:cs="Times New Roman"/>
                <w:b/>
                <w:bCs/>
                <w:kern w:val="0"/>
                <w:sz w:val="32"/>
                <w:szCs w:val="32"/>
              </w:rPr>
            </w:pPr>
            <w:r>
              <w:rPr>
                <w:rFonts w:hint="eastAsia" w:ascii="仿宋_GB2312" w:hAnsi="宋体" w:eastAsia="仿宋_GB2312" w:cs="宋体"/>
                <w:color w:val="333333"/>
                <w:kern w:val="0"/>
                <w:sz w:val="32"/>
                <w:szCs w:val="32"/>
              </w:rPr>
              <w:t xml:space="preserve">     </w:t>
            </w: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329</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其中：房屋价值259万元，车辆价值35万元，其它资产办公用电脑、办公家具、专用设备等价值35万元。2017年我单位拟购置10万元。</w:t>
            </w: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编制部门：成安县人民政府办公室</w:t>
            </w:r>
          </w:p>
        </w:tc>
        <w:tc>
          <w:tcPr>
            <w:tcW w:w="2244" w:type="pct"/>
            <w:tcBorders>
              <w:top w:val="nil"/>
              <w:left w:val="nil"/>
              <w:bottom w:val="nil"/>
              <w:right w:val="nil"/>
            </w:tcBorders>
            <w:noWrap/>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2016</w:t>
            </w:r>
            <w:r>
              <w:rPr>
                <w:rFonts w:hint="eastAsia" w:ascii="宋体" w:hAnsi="宋体" w:eastAsia="宋体" w:cs="宋体"/>
                <w:kern w:val="0"/>
                <w:sz w:val="22"/>
                <w:szCs w:val="22"/>
              </w:rPr>
              <w:t>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r>
              <w:rPr>
                <w:rFonts w:ascii="宋体" w:hAnsi="宋体" w:eastAsia="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22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w:t>
            </w:r>
            <w:r>
              <w:rPr>
                <w:rFonts w:ascii="宋体" w:hAnsi="宋体" w:eastAsia="宋体" w:cs="宋体"/>
                <w:b/>
                <w:bCs/>
                <w:kern w:val="0"/>
                <w:sz w:val="22"/>
                <w:szCs w:val="22"/>
              </w:rPr>
              <w:t xml:space="preserve">   </w:t>
            </w:r>
            <w:r>
              <w:rPr>
                <w:rFonts w:hint="eastAsia" w:ascii="宋体" w:hAnsi="宋体" w:eastAsia="宋体" w:cs="宋体"/>
                <w:b/>
                <w:bCs/>
                <w:kern w:val="0"/>
                <w:sz w:val="22"/>
                <w:szCs w:val="22"/>
              </w:rPr>
              <w:t>目</w:t>
            </w:r>
          </w:p>
        </w:tc>
        <w:tc>
          <w:tcPr>
            <w:tcW w:w="472"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224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szCs w:val="22"/>
              </w:rPr>
              <w:t xml:space="preserve">   </w:t>
            </w:r>
            <w:r>
              <w:rPr>
                <w:rFonts w:hint="eastAsia" w:ascii="宋体" w:hAnsi="宋体" w:eastAsia="宋体" w:cs="宋体"/>
                <w:kern w:val="0"/>
                <w:sz w:val="22"/>
                <w:szCs w:val="22"/>
              </w:rPr>
              <w:t>其中：办公用房（平方米）</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35</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bl>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autoSpaceDE w:val="0"/>
        <w:autoSpaceDN w:val="0"/>
        <w:adjustRightInd w:val="0"/>
        <w:ind w:left="198"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autoSpaceDE w:val="0"/>
        <w:autoSpaceDN w:val="0"/>
        <w:adjustRightInd w:val="0"/>
        <w:ind w:left="198"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hint="eastAsia" w:ascii="微软雅黑" w:hAnsi="微软雅黑" w:eastAsia="微软雅黑" w:cs="微软雅黑"/>
          <w:kern w:val="0"/>
          <w:sz w:val="24"/>
          <w:szCs w:val="24"/>
        </w:rPr>
        <w:t xml:space="preserve"> </w:t>
      </w:r>
    </w:p>
    <w:p>
      <w:pPr>
        <w:autoSpaceDE w:val="0"/>
        <w:autoSpaceDN w:val="0"/>
        <w:adjustRightInd w:val="0"/>
        <w:ind w:left="198" w:firstLine="600" w:firstLineChars="250"/>
        <w:jc w:val="left"/>
        <w:rPr>
          <w:rFonts w:ascii="宋体" w:hAnsi="宋体" w:eastAsia="宋体" w:cs="宋体"/>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微软雅黑" w:hAnsi="微软雅黑" w:eastAsia="微软雅黑" w:cs="微软雅黑"/>
          <w:kern w:val="0"/>
          <w:sz w:val="24"/>
          <w:szCs w:val="24"/>
        </w:rPr>
        <w:t xml:space="preserve"> </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宋体" w:hAnsi="宋体" w:eastAsia="宋体" w:cs="宋体"/>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微软雅黑" w:hAnsi="微软雅黑" w:eastAsia="微软雅黑" w:cs="微软雅黑"/>
          <w:kern w:val="0"/>
          <w:sz w:val="24"/>
          <w:szCs w:val="24"/>
        </w:rPr>
        <w:t xml:space="preserve"> </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firstLineChars="200"/>
        <w:rPr>
          <w:rFonts w:ascii="宋体" w:hAnsi="宋体" w:eastAsia="宋体" w:cs="Times New Roman"/>
          <w:sz w:val="32"/>
          <w:szCs w:val="32"/>
        </w:rPr>
      </w:pPr>
      <w:r>
        <w:rPr>
          <w:rFonts w:hint="eastAsia" w:ascii="黑体" w:hAnsi="黑体" w:eastAsia="黑体" w:cs="黑体"/>
          <w:sz w:val="32"/>
          <w:szCs w:val="32"/>
        </w:rPr>
        <w:t>九、</w:t>
      </w:r>
      <w:r>
        <w:rPr>
          <w:rFonts w:hint="eastAsia" w:ascii="宋体" w:hAnsi="宋体" w:eastAsia="宋体" w:cs="方正仿宋_GBK"/>
          <w:b/>
          <w:bCs/>
          <w:sz w:val="32"/>
          <w:szCs w:val="32"/>
        </w:rPr>
        <w:t>其它需要说明的事项。</w:t>
      </w:r>
    </w:p>
    <w:p>
      <w:pPr>
        <w:spacing w:line="560" w:lineRule="exact"/>
        <w:ind w:firstLine="645"/>
        <w:rPr>
          <w:rFonts w:ascii="仿宋" w:hAnsi="仿宋" w:eastAsia="仿宋" w:cs="Times New Roman"/>
          <w:sz w:val="32"/>
          <w:szCs w:val="32"/>
        </w:rPr>
      </w:pPr>
      <w:r>
        <w:rPr>
          <w:rFonts w:hint="eastAsia" w:ascii="仿宋" w:hAnsi="仿宋" w:eastAsia="仿宋" w:cs="Times New Roman"/>
          <w:bCs/>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B5A2D"/>
    <w:multiLevelType w:val="multilevel"/>
    <w:tmpl w:val="4AEB5A2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YWYyOWJiZDI2ZjczZWMzMzg2MzIxNmEwYjZkZDcifQ=="/>
  </w:docVars>
  <w:rsids>
    <w:rsidRoot w:val="00524AAA"/>
    <w:rsid w:val="00015E72"/>
    <w:rsid w:val="000A796E"/>
    <w:rsid w:val="000E7888"/>
    <w:rsid w:val="00101C7A"/>
    <w:rsid w:val="00131928"/>
    <w:rsid w:val="001A3CB4"/>
    <w:rsid w:val="001E0232"/>
    <w:rsid w:val="00206B22"/>
    <w:rsid w:val="0022450F"/>
    <w:rsid w:val="002307B5"/>
    <w:rsid w:val="00274FC3"/>
    <w:rsid w:val="00293823"/>
    <w:rsid w:val="002C0317"/>
    <w:rsid w:val="003014AD"/>
    <w:rsid w:val="00325594"/>
    <w:rsid w:val="0037750D"/>
    <w:rsid w:val="003944D5"/>
    <w:rsid w:val="003C4C5D"/>
    <w:rsid w:val="003D1126"/>
    <w:rsid w:val="003D1369"/>
    <w:rsid w:val="003D22B1"/>
    <w:rsid w:val="00453A06"/>
    <w:rsid w:val="00524AAA"/>
    <w:rsid w:val="005412A2"/>
    <w:rsid w:val="005730D6"/>
    <w:rsid w:val="005C54E9"/>
    <w:rsid w:val="005F4345"/>
    <w:rsid w:val="0068144F"/>
    <w:rsid w:val="007442FE"/>
    <w:rsid w:val="00747D9E"/>
    <w:rsid w:val="007775CB"/>
    <w:rsid w:val="007B4EB3"/>
    <w:rsid w:val="007C484E"/>
    <w:rsid w:val="007F0D2E"/>
    <w:rsid w:val="00825F97"/>
    <w:rsid w:val="008327A0"/>
    <w:rsid w:val="00933068"/>
    <w:rsid w:val="00973104"/>
    <w:rsid w:val="00990CB9"/>
    <w:rsid w:val="009B2D48"/>
    <w:rsid w:val="009C264C"/>
    <w:rsid w:val="009F0612"/>
    <w:rsid w:val="00A12AE7"/>
    <w:rsid w:val="00A15ADE"/>
    <w:rsid w:val="00A6455D"/>
    <w:rsid w:val="00A95F51"/>
    <w:rsid w:val="00AC6968"/>
    <w:rsid w:val="00B13EFE"/>
    <w:rsid w:val="00B50088"/>
    <w:rsid w:val="00B500A4"/>
    <w:rsid w:val="00B51ADF"/>
    <w:rsid w:val="00B74748"/>
    <w:rsid w:val="00BA40C6"/>
    <w:rsid w:val="00BA6B82"/>
    <w:rsid w:val="00C7442A"/>
    <w:rsid w:val="00CD0F72"/>
    <w:rsid w:val="00D27A25"/>
    <w:rsid w:val="00D312BA"/>
    <w:rsid w:val="00D65964"/>
    <w:rsid w:val="00D73351"/>
    <w:rsid w:val="00D92570"/>
    <w:rsid w:val="00E000C9"/>
    <w:rsid w:val="00E24B37"/>
    <w:rsid w:val="00E474B2"/>
    <w:rsid w:val="00E87B0C"/>
    <w:rsid w:val="00E91C36"/>
    <w:rsid w:val="00F14752"/>
    <w:rsid w:val="00F311AF"/>
    <w:rsid w:val="00F66032"/>
    <w:rsid w:val="00FB5EA2"/>
    <w:rsid w:val="0CA144BA"/>
    <w:rsid w:val="270626F1"/>
    <w:rsid w:val="614C1E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locked/>
    <w:uiPriority w:val="39"/>
    <w:rPr>
      <w:rFonts w:ascii="Calibri" w:hAnsi="Calibri" w:eastAsia="宋体" w:cs="Times New Roman"/>
      <w:szCs w:val="22"/>
    </w:rPr>
  </w:style>
  <w:style w:type="paragraph" w:styleId="5">
    <w:name w:val="toc 2"/>
    <w:basedOn w:val="1"/>
    <w:next w:val="1"/>
    <w:unhideWhenUsed/>
    <w:qFormat/>
    <w:locked/>
    <w:uiPriority w:val="39"/>
    <w:pPr>
      <w:ind w:left="420" w:leftChars="200"/>
    </w:pPr>
    <w:rPr>
      <w:rFonts w:ascii="Calibri" w:hAnsi="Calibri" w:eastAsia="宋体" w:cs="Times New Roman"/>
      <w:szCs w:val="22"/>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34"/>
    <w:pPr>
      <w:ind w:firstLine="420" w:firstLineChars="200"/>
    </w:pPr>
    <w:rPr>
      <w:rFonts w:ascii="Calibri" w:hAnsi="Calibri" w:eastAsia="宋体" w:cs="Times New Roman"/>
      <w:szCs w:val="22"/>
    </w:rPr>
  </w:style>
  <w:style w:type="paragraph" w:customStyle="1" w:styleId="12">
    <w:name w:val="列出段落2"/>
    <w:basedOn w:val="1"/>
    <w:unhideWhenUsed/>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2185</Words>
  <Characters>12456</Characters>
  <Lines>103</Lines>
  <Paragraphs>29</Paragraphs>
  <TotalTime>108</TotalTime>
  <ScaleCrop>false</ScaleCrop>
  <LinksUpToDate>false</LinksUpToDate>
  <CharactersWithSpaces>14612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2024-05-24T03:43:03Z</dcterms:modified>
  <dc:title>2017年部门预算公开督导整改要求</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F38A5958E08D4E2DB7F30448236103A1</vt:lpwstr>
  </property>
</Properties>
</file>