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7" w:rsidRPr="000D2767" w:rsidRDefault="000D2767" w:rsidP="000D2767">
      <w:pPr>
        <w:jc w:val="center"/>
        <w:rPr>
          <w:rFonts w:ascii="宋体" w:eastAsia="宋体" w:hAnsi="宋体"/>
          <w:b/>
          <w:sz w:val="44"/>
          <w:szCs w:val="44"/>
        </w:rPr>
      </w:pPr>
      <w:r w:rsidRPr="000D2767">
        <w:rPr>
          <w:rFonts w:ascii="宋体" w:eastAsia="宋体" w:hAnsi="宋体" w:hint="eastAsia"/>
          <w:b/>
          <w:sz w:val="44"/>
          <w:szCs w:val="44"/>
        </w:rPr>
        <w:t>成安县</w:t>
      </w:r>
      <w:r>
        <w:rPr>
          <w:rFonts w:ascii="宋体" w:eastAsia="宋体" w:hAnsi="宋体" w:hint="eastAsia"/>
          <w:b/>
          <w:sz w:val="44"/>
          <w:szCs w:val="44"/>
        </w:rPr>
        <w:t>乡镇企业局</w:t>
      </w:r>
      <w:r w:rsidRPr="000D2767">
        <w:rPr>
          <w:rFonts w:ascii="宋体" w:eastAsia="宋体" w:hAnsi="宋体" w:hint="eastAsia"/>
          <w:b/>
          <w:sz w:val="44"/>
          <w:szCs w:val="44"/>
        </w:rPr>
        <w:t>2017年部门预算公开</w:t>
      </w:r>
    </w:p>
    <w:p w:rsidR="000D2767" w:rsidRPr="000D2767" w:rsidRDefault="000D2767" w:rsidP="000D2767">
      <w:pPr>
        <w:jc w:val="center"/>
        <w:rPr>
          <w:rFonts w:ascii="宋体" w:eastAsia="宋体" w:hAnsi="宋体"/>
          <w:b/>
          <w:sz w:val="44"/>
          <w:szCs w:val="44"/>
        </w:rPr>
      </w:pPr>
      <w:r w:rsidRPr="000D2767">
        <w:rPr>
          <w:rFonts w:ascii="宋体" w:eastAsia="宋体" w:hAnsi="宋体" w:hint="eastAsia"/>
          <w:b/>
          <w:sz w:val="44"/>
          <w:szCs w:val="44"/>
        </w:rPr>
        <w:t>情况说明</w:t>
      </w:r>
    </w:p>
    <w:p w:rsidR="004C3CD6" w:rsidRDefault="004C3CD6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4C3CD6" w:rsidRDefault="0064078B">
      <w:pPr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</w:t>
      </w:r>
      <w:r>
        <w:rPr>
          <w:rFonts w:ascii="仿宋_GB2312" w:eastAsia="仿宋_GB2312" w:hAnsi="黑体" w:cs="仿宋_GB2312" w:hint="eastAsia"/>
          <w:sz w:val="32"/>
          <w:szCs w:val="32"/>
        </w:rPr>
        <w:t>《预算法》</w:t>
      </w:r>
      <w:r>
        <w:rPr>
          <w:rFonts w:ascii="仿宋" w:eastAsia="仿宋" w:hAnsi="仿宋" w:cs="仿宋_GB2312" w:hint="eastAsia"/>
          <w:sz w:val="32"/>
          <w:szCs w:val="32"/>
        </w:rPr>
        <w:t>有关规定和</w:t>
      </w:r>
      <w:r>
        <w:rPr>
          <w:rFonts w:ascii="仿宋" w:eastAsia="仿宋" w:hAnsi="仿宋" w:cs="楷体_GB2312" w:hint="eastAsia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现将成安县乡镇企业局2017年部门预算公开如下：</w:t>
      </w:r>
      <w:bookmarkStart w:id="0" w:name="_GoBack"/>
      <w:bookmarkEnd w:id="0"/>
    </w:p>
    <w:p w:rsidR="004C3CD6" w:rsidRDefault="0064078B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4C3CD6" w:rsidRDefault="0064078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贯彻落实国家有关发展中小企业（含乡镇企业、民营企业，下同）的法律法规和方针政策，组织起草发展中小企业的地方性法规和规章，研究提出扶持中小企业发展的政策；负责对全县中小企业的综合协调、指导和服务。</w:t>
      </w:r>
    </w:p>
    <w:p w:rsidR="004C3CD6" w:rsidRDefault="0064078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2、拟定全县中小企业的反战战略、中长期发展规划并组织实施；指导和推进中小企业产业结构、组织机构和产品结构的调整。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3、检测、分析中小企业运行态势，承担中小企业分类、信息收集和发布等工作，拟定并落实中小企业发展调控目标和措施。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4、指导和推进中小企业改革与发展；指导中小企业发展科技进步、新产品开发和技术改造工作。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5、指导中小企业开展国外经济技术交流与合作；指导中小企业对外贸易工作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 xml:space="preserve">    6、指导中小企业服务体系建设；指导、规范为中小企业提供服务的各类中介组织工作；促进金融机构建立与中小企业的融资渠道。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7、承担成安县民营经济领导小组办公室的日常工作。</w:t>
      </w:r>
    </w:p>
    <w:p w:rsidR="004C3CD6" w:rsidRDefault="0064078B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8、承办县政府交办的其他事项。</w:t>
      </w:r>
    </w:p>
    <w:p w:rsidR="004C3CD6" w:rsidRDefault="0064078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</w:p>
    <w:p w:rsidR="004C3CD6" w:rsidRDefault="0064078B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1、单位职责及构成情况</w:t>
      </w:r>
    </w:p>
    <w:p w:rsidR="004C3CD6" w:rsidRDefault="0064078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人员情况：单位编制数为36个（含工勤编制1个），编制内实有人数为36人、财政统发工资人数为14人，在编单位参改总人数为7人，其中，正科级2人，副科级3人，科员及以下1人，正式在编在岗工勤人员1人，目前在岗人员8人。</w:t>
      </w:r>
    </w:p>
    <w:p w:rsidR="004C3CD6" w:rsidRDefault="0064078B" w:rsidP="000D2767">
      <w:pPr>
        <w:autoSpaceDE w:val="0"/>
        <w:autoSpaceDN w:val="0"/>
        <w:adjustRightInd w:val="0"/>
        <w:ind w:firstLineChars="200" w:firstLine="643"/>
        <w:jc w:val="left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机构设置：</w:t>
      </w:r>
    </w:p>
    <w:p w:rsidR="004C3CD6" w:rsidRDefault="0064078B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4C3CD6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4C3CD6" w:rsidRDefault="0064078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4C3CD6" w:rsidRDefault="0064078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4C3CD6" w:rsidRDefault="0064078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4C3CD6" w:rsidRDefault="0064078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经费保障形式</w:t>
            </w:r>
          </w:p>
        </w:tc>
      </w:tr>
      <w:tr w:rsidR="004C3CD6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4C3CD6" w:rsidRDefault="004C3CD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C3CD6" w:rsidRDefault="004C3CD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C3CD6" w:rsidRDefault="004C3CD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4C3CD6" w:rsidRDefault="004C3CD6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4C3CD6">
        <w:trPr>
          <w:trHeight w:val="227"/>
          <w:jc w:val="center"/>
        </w:trPr>
        <w:tc>
          <w:tcPr>
            <w:tcW w:w="3317" w:type="dxa"/>
            <w:vAlign w:val="center"/>
          </w:tcPr>
          <w:p w:rsidR="004C3CD6" w:rsidRDefault="0064078B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乡镇企业局</w:t>
            </w:r>
          </w:p>
        </w:tc>
        <w:tc>
          <w:tcPr>
            <w:tcW w:w="1134" w:type="dxa"/>
            <w:vAlign w:val="center"/>
          </w:tcPr>
          <w:p w:rsidR="004C3CD6" w:rsidRDefault="0064078B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4C3CD6" w:rsidRDefault="0064078B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正科</w:t>
            </w:r>
          </w:p>
        </w:tc>
        <w:tc>
          <w:tcPr>
            <w:tcW w:w="2902" w:type="dxa"/>
            <w:vAlign w:val="center"/>
          </w:tcPr>
          <w:p w:rsidR="004C3CD6" w:rsidRDefault="0064078B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财政拨款</w:t>
            </w:r>
          </w:p>
        </w:tc>
      </w:tr>
      <w:tr w:rsidR="004C3CD6">
        <w:trPr>
          <w:trHeight w:val="227"/>
          <w:jc w:val="center"/>
        </w:trPr>
        <w:tc>
          <w:tcPr>
            <w:tcW w:w="3317" w:type="dxa"/>
            <w:vAlign w:val="center"/>
          </w:tcPr>
          <w:p w:rsidR="004C3CD6" w:rsidRDefault="004C3CD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3CD6" w:rsidRDefault="004C3CD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3CD6" w:rsidRDefault="004C3CD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4C3CD6" w:rsidRDefault="004C3CD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</w:tbl>
    <w:p w:rsidR="004C3CD6" w:rsidRDefault="0064078B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4C3CD6" w:rsidRDefault="0064078B">
      <w:pPr>
        <w:widowControl/>
        <w:spacing w:line="360" w:lineRule="auto"/>
        <w:ind w:firstLineChars="196" w:firstLine="627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lastRenderedPageBreak/>
        <w:t>2017年部门收入预算总额为608.27万元，部门支出预算总额为608.27万元（其中人员经费101.27万元，项目经费493万元，公用经费7万元）。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2016年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成安县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财政局财政拨款收入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617.56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万元，总支出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617.56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万元。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与去年相比降低了9.29万元，积极贯彻落实新《预算法》，按照讲求绩效的原则，对于当年未使用的预算，在调整预算中予以调减。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1、收入说明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2017年预算收入</w:t>
      </w:r>
      <w:r>
        <w:rPr>
          <w:rFonts w:ascii="仿宋" w:eastAsia="仿宋" w:hAnsi="仿宋" w:cs="仿宋" w:hint="eastAsia"/>
          <w:kern w:val="0"/>
          <w:sz w:val="32"/>
          <w:szCs w:val="32"/>
        </w:rPr>
        <w:t>608.27</w:t>
      </w:r>
      <w:r>
        <w:rPr>
          <w:rFonts w:ascii="仿宋" w:eastAsia="仿宋" w:hAnsi="仿宋" w:cs="仿宋" w:hint="eastAsia"/>
          <w:sz w:val="32"/>
          <w:szCs w:val="32"/>
        </w:rPr>
        <w:t>万元，其中：一般公共预算收入</w:t>
      </w:r>
      <w:r>
        <w:rPr>
          <w:rFonts w:ascii="仿宋" w:eastAsia="仿宋" w:hAnsi="仿宋" w:cs="仿宋" w:hint="eastAsia"/>
          <w:kern w:val="0"/>
          <w:sz w:val="32"/>
          <w:szCs w:val="32"/>
        </w:rPr>
        <w:t>608.27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2、支出说明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2017年支出预算</w:t>
      </w:r>
      <w:r>
        <w:rPr>
          <w:rFonts w:ascii="仿宋" w:eastAsia="仿宋" w:hAnsi="仿宋" w:cs="仿宋" w:hint="eastAsia"/>
          <w:kern w:val="0"/>
          <w:sz w:val="32"/>
          <w:szCs w:val="32"/>
        </w:rPr>
        <w:t>608.27</w:t>
      </w:r>
      <w:r>
        <w:rPr>
          <w:rFonts w:ascii="仿宋" w:eastAsia="仿宋" w:hAnsi="仿宋" w:cs="仿宋" w:hint="eastAsia"/>
          <w:sz w:val="32"/>
          <w:szCs w:val="32"/>
        </w:rPr>
        <w:t>万元，其中基本支出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108.27</w:t>
      </w:r>
      <w:r>
        <w:rPr>
          <w:rFonts w:ascii="仿宋" w:eastAsia="仿宋" w:hAnsi="仿宋" w:cs="仿宋" w:hint="eastAsia"/>
          <w:sz w:val="32"/>
          <w:szCs w:val="32"/>
        </w:rPr>
        <w:t>万元，包括人员经费和日常公用经费；项目支出493万元。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3、比上年增减变化情况</w:t>
      </w:r>
    </w:p>
    <w:p w:rsidR="004C3CD6" w:rsidRDefault="0064078B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2017年预算收支安排608.27万元，较2016年预算增加30万元，其中：基本支出增加30万元，主要为增加人员经费支出。</w:t>
      </w:r>
    </w:p>
    <w:p w:rsidR="004C3CD6" w:rsidRDefault="0064078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4C3CD6" w:rsidRDefault="0064078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机关运行经费共计安排7万元，主要用于办公区的日常维修、办公用房水电费、邮电费、办公用房取暖费、办公用房物业管理费等日常运行支出。</w:t>
      </w:r>
    </w:p>
    <w:p w:rsidR="004C3CD6" w:rsidRDefault="0064078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4C3CD6" w:rsidRDefault="0064078B">
      <w:pPr>
        <w:widowControl/>
        <w:spacing w:line="360" w:lineRule="auto"/>
        <w:ind w:leftChars="200" w:left="4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lastRenderedPageBreak/>
        <w:t>2017年度“三公”预算支出0万元，其中，因公出国（境）费0元，安排公务用车维护费0万元，（其中公务用车购置费0元，公务用车运行维护费0万元），公务接等费0万元，2017年“三公”经费预算减少了20%。由于2016年公车拍卖，2017年实行车补，油修费用预算</w:t>
      </w:r>
      <w:r w:rsidR="00DE370E">
        <w:rPr>
          <w:rFonts w:ascii="仿宋_GB2312" w:eastAsia="仿宋_GB2312" w:hAnsi="Calibri" w:cs="仿宋_GB2312" w:hint="eastAsia"/>
          <w:kern w:val="0"/>
          <w:sz w:val="32"/>
          <w:szCs w:val="32"/>
        </w:rPr>
        <w:t>安排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减少。</w:t>
      </w:r>
    </w:p>
    <w:p w:rsidR="004C3CD6" w:rsidRDefault="0064078B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4C3CD6" w:rsidRDefault="0064078B">
      <w:pPr>
        <w:spacing w:line="560" w:lineRule="exact"/>
        <w:ind w:firstLineChars="200" w:firstLine="643"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bookmarkStart w:id="1" w:name="_Toc471398463"/>
      <w:r>
        <w:rPr>
          <w:rFonts w:ascii="宋体" w:eastAsia="宋体" w:hAnsi="宋体" w:cs="方正仿宋_GBK" w:hint="eastAsia"/>
          <w:b/>
          <w:bCs/>
          <w:sz w:val="32"/>
          <w:szCs w:val="32"/>
        </w:rPr>
        <w:t>总体绩效目标：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4C3CD6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bookmarkEnd w:id="1"/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评价标准</w:t>
            </w:r>
          </w:p>
        </w:tc>
      </w:tr>
      <w:tr w:rsidR="004C3CD6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4C3CD6" w:rsidRDefault="004C3CD6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3CD6" w:rsidRDefault="004C3CD6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C3CD6" w:rsidRDefault="004C3CD6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C3CD6" w:rsidRDefault="004C3CD6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3CD6" w:rsidRDefault="004C3CD6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差</w:t>
            </w:r>
          </w:p>
        </w:tc>
      </w:tr>
      <w:tr w:rsidR="004C3CD6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创新技术改造项目支撑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500.00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健全技术创新市场导向机制，创新政府投入方式，组织实施自然科学基金和重点基础研究；以促进产业转型升级、治理生态环境、改善民生等重大科技需求为重点，在高新技术、现代农业发展、生态环境治理与科技惠民等领域，实施关键共性技术研究；围绕京津冀科技协同创新实施科技合作项目；支持重大科技成果转化和</w:t>
            </w:r>
            <w:r>
              <w:rPr>
                <w:rFonts w:ascii="宋体" w:eastAsia="宋体" w:hAnsi="宋体" w:cs="Calibri" w:hint="eastAsia"/>
                <w:kern w:val="0"/>
              </w:rPr>
              <w:lastRenderedPageBreak/>
              <w:t>产业化。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lastRenderedPageBreak/>
              <w:t>获得一批重要原始创新成果，培养一批高层次科技人才和创新团队，提升基础研究能力。为产业转型升级、现代农业建设、和谐宜居环境创建和民生改善提供创新支撑；提升科技开放与合作的水平，提高科技成果转化和产业化能力，促进京津冀科技协同创新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Calibri" w:eastAsia="仿宋_GB2312" w:hAnsi="Calibri" w:cs="Calibri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促进京津冀科技协同创新。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50</w:t>
            </w:r>
          </w:p>
        </w:tc>
      </w:tr>
      <w:tr w:rsidR="004C3CD6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lastRenderedPageBreak/>
              <w:t>产业结构调整与升级改造技术研究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500.00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面向工业转型升级重大科技需求，实施高新技术产业倍增计划，培育壮大战略性新兴产业，重点支持产业关键共性技术研究、集成与重大产品的开发、应用示范；围绕传统产业升级，重点实施钢铁产业技术升级、制造业信息化等科技专项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研发一批产业发展急需的新技术、新工艺、新产品，高新技术应用示范及成果产业化能力不断增强，科技支撑高新技术产业倍增、改造提升传统产业能力增强。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 w:hint="eastAsia"/>
                <w:kern w:val="0"/>
              </w:rPr>
              <w:t>开发改造新产品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10</w:t>
            </w:r>
            <w:r>
              <w:rPr>
                <w:rFonts w:ascii="宋体" w:eastAsia="宋体" w:hAnsi="宋体" w:cs="Calibri" w:hint="eastAsia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9</w:t>
            </w:r>
            <w:r>
              <w:rPr>
                <w:rFonts w:ascii="宋体" w:eastAsia="宋体" w:hAnsi="宋体" w:cs="Calibri" w:hint="eastAsia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8</w:t>
            </w:r>
            <w:r>
              <w:rPr>
                <w:rFonts w:ascii="宋体" w:eastAsia="宋体" w:hAnsi="宋体" w:cs="Calibri" w:hint="eastAsia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3CD6" w:rsidRDefault="0064078B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kern w:val="0"/>
              </w:rPr>
            </w:pPr>
            <w:r>
              <w:rPr>
                <w:rFonts w:ascii="宋体" w:eastAsia="宋体" w:hAnsi="宋体" w:cs="Calibri"/>
                <w:kern w:val="0"/>
              </w:rPr>
              <w:t>5</w:t>
            </w:r>
            <w:r>
              <w:rPr>
                <w:rFonts w:ascii="宋体" w:eastAsia="宋体" w:hAnsi="宋体" w:cs="Calibri" w:hint="eastAsia"/>
                <w:kern w:val="0"/>
              </w:rPr>
              <w:t>0</w:t>
            </w:r>
          </w:p>
        </w:tc>
      </w:tr>
    </w:tbl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  <w:sectPr w:rsidR="004C3CD6">
          <w:pgSz w:w="16839" w:h="11907" w:orient="landscape"/>
          <w:pgMar w:top="1134" w:right="1020" w:bottom="1134" w:left="1020" w:header="851" w:footer="992" w:gutter="0"/>
          <w:cols w:space="0"/>
          <w:docGrid w:type="lines" w:linePitch="321"/>
        </w:sectPr>
      </w:pPr>
    </w:p>
    <w:p w:rsidR="004C3CD6" w:rsidRDefault="0064078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4C3CD6" w:rsidRDefault="0064078B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  <w:bookmarkStart w:id="2" w:name="_Toc471398468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按照政府采购相关法律法规要求，结合我局实际，201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年我局政府采购事项为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2万元，电脑5台，单价0.4万元，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本年拟用于政府采购微机等办公设备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电脑5台，单价0.4万元。</w:t>
      </w: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4C3CD6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4C3CD6" w:rsidRDefault="0064078B">
      <w:pPr>
        <w:spacing w:line="560" w:lineRule="exact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lastRenderedPageBreak/>
        <w:t>部门政府采购预算</w:t>
      </w:r>
      <w:bookmarkEnd w:id="2"/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94"/>
        <w:gridCol w:w="666"/>
        <w:gridCol w:w="783"/>
        <w:gridCol w:w="640"/>
        <w:gridCol w:w="549"/>
        <w:gridCol w:w="549"/>
        <w:gridCol w:w="564"/>
        <w:gridCol w:w="562"/>
        <w:gridCol w:w="562"/>
        <w:gridCol w:w="562"/>
        <w:gridCol w:w="511"/>
        <w:gridCol w:w="551"/>
        <w:gridCol w:w="551"/>
        <w:gridCol w:w="516"/>
      </w:tblGrid>
      <w:tr w:rsidR="004C3CD6">
        <w:trPr>
          <w:tblHeader/>
          <w:jc w:val="center"/>
        </w:trPr>
        <w:tc>
          <w:tcPr>
            <w:tcW w:w="524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C3CD6" w:rsidRDefault="0064078B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部门（单位）名称：乡镇企业局</w:t>
            </w:r>
          </w:p>
        </w:tc>
        <w:tc>
          <w:tcPr>
            <w:tcW w:w="38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4C3CD6">
        <w:trPr>
          <w:tblHeader/>
          <w:jc w:val="center"/>
        </w:trPr>
        <w:tc>
          <w:tcPr>
            <w:tcW w:w="2160" w:type="dxa"/>
            <w:gridSpan w:val="2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783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640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549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4C3CD6"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666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783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4C3CD6">
        <w:trPr>
          <w:tblHeader/>
          <w:jc w:val="center"/>
        </w:trPr>
        <w:tc>
          <w:tcPr>
            <w:tcW w:w="1494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66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783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4C3CD6" w:rsidRDefault="004C3CD6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4C3CD6">
        <w:trPr>
          <w:jc w:val="center"/>
        </w:trPr>
        <w:tc>
          <w:tcPr>
            <w:tcW w:w="1494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666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2</w:t>
            </w:r>
          </w:p>
        </w:tc>
        <w:tc>
          <w:tcPr>
            <w:tcW w:w="783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4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4C3CD6">
        <w:trPr>
          <w:jc w:val="center"/>
        </w:trPr>
        <w:tc>
          <w:tcPr>
            <w:tcW w:w="1494" w:type="dxa"/>
            <w:vAlign w:val="center"/>
          </w:tcPr>
          <w:p w:rsidR="004C3CD6" w:rsidRDefault="0064078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电脑</w:t>
            </w:r>
          </w:p>
        </w:tc>
        <w:tc>
          <w:tcPr>
            <w:tcW w:w="666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2</w:t>
            </w:r>
          </w:p>
        </w:tc>
        <w:tc>
          <w:tcPr>
            <w:tcW w:w="783" w:type="dxa"/>
            <w:vAlign w:val="center"/>
          </w:tcPr>
          <w:p w:rsidR="004C3CD6" w:rsidRDefault="0064078B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电脑</w:t>
            </w:r>
          </w:p>
        </w:tc>
        <w:tc>
          <w:tcPr>
            <w:tcW w:w="640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49" w:type="dxa"/>
            <w:vAlign w:val="center"/>
          </w:tcPr>
          <w:p w:rsidR="004C3CD6" w:rsidRDefault="0064078B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台</w:t>
            </w:r>
          </w:p>
        </w:tc>
        <w:tc>
          <w:tcPr>
            <w:tcW w:w="549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5</w:t>
            </w:r>
          </w:p>
        </w:tc>
        <w:tc>
          <w:tcPr>
            <w:tcW w:w="564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0.4</w:t>
            </w: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 w:rsidR="004C3CD6" w:rsidRDefault="0064078B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4C3CD6">
        <w:trPr>
          <w:jc w:val="center"/>
        </w:trPr>
        <w:tc>
          <w:tcPr>
            <w:tcW w:w="1494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6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783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40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  <w:tr w:rsidR="004C3CD6">
        <w:trPr>
          <w:jc w:val="center"/>
        </w:trPr>
        <w:tc>
          <w:tcPr>
            <w:tcW w:w="1494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6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783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40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4C3CD6" w:rsidRDefault="004C3CD6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4C3CD6" w:rsidRDefault="004C3CD6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</w:p>
    <w:p w:rsidR="004C3CD6" w:rsidRDefault="0064078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4C3CD6" w:rsidRDefault="0064078B">
      <w:pPr>
        <w:widowControl/>
        <w:spacing w:line="360" w:lineRule="auto"/>
        <w:ind w:leftChars="196" w:left="412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办公地点在政府综合大楼，固定资产所属成安县政府所有。</w:t>
      </w:r>
    </w:p>
    <w:tbl>
      <w:tblPr>
        <w:tblW w:w="9060" w:type="dxa"/>
        <w:tblInd w:w="-106" w:type="dxa"/>
        <w:tblLayout w:type="fixed"/>
        <w:tblLook w:val="04A0"/>
      </w:tblPr>
      <w:tblGrid>
        <w:gridCol w:w="4139"/>
        <w:gridCol w:w="855"/>
        <w:gridCol w:w="4066"/>
      </w:tblGrid>
      <w:tr w:rsidR="004C3CD6">
        <w:trPr>
          <w:trHeight w:val="70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4C3CD6" w:rsidRDefault="004C3CD6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4C3CD6" w:rsidRDefault="006407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部门固定资产占用情况表</w:t>
            </w:r>
          </w:p>
        </w:tc>
      </w:tr>
      <w:tr w:rsidR="004C3CD6">
        <w:trPr>
          <w:trHeight w:val="510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编制部门：乡镇企业局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D6" w:rsidRDefault="0064078B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C3CD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6407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D6" w:rsidRDefault="004C3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:rsidR="004C3CD6" w:rsidRDefault="0064078B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4C3CD6" w:rsidRDefault="0064078B">
      <w:pPr>
        <w:tabs>
          <w:tab w:val="left" w:pos="11490"/>
        </w:tabs>
        <w:ind w:firstLineChars="200" w:firstLine="48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照原规定用途继续使用的资金，或项目已完成等产生的结余资金。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4C3CD6" w:rsidRDefault="0064078B">
      <w:pPr>
        <w:tabs>
          <w:tab w:val="left" w:pos="11490"/>
        </w:tabs>
        <w:ind w:firstLineChars="200"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仿宋_GBK" w:hint="eastAsia"/>
          <w:bCs/>
          <w:sz w:val="32"/>
          <w:szCs w:val="32"/>
        </w:rPr>
        <w:t>无其它需要说明的事项。</w:t>
      </w:r>
    </w:p>
    <w:p w:rsidR="004C3CD6" w:rsidRDefault="004C3CD6">
      <w:pPr>
        <w:spacing w:line="560" w:lineRule="exact"/>
        <w:ind w:firstLine="645"/>
        <w:rPr>
          <w:rFonts w:ascii="黑体" w:eastAsia="黑体" w:hAnsi="黑体" w:cs="Times New Roman"/>
          <w:sz w:val="32"/>
          <w:szCs w:val="32"/>
        </w:rPr>
      </w:pPr>
    </w:p>
    <w:p w:rsidR="004C3CD6" w:rsidRDefault="004C3CD6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4C3CD6" w:rsidSect="00E94107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2A" w:rsidRDefault="0045392A">
      <w:r>
        <w:separator/>
      </w:r>
    </w:p>
  </w:endnote>
  <w:endnote w:type="continuationSeparator" w:id="0">
    <w:p w:rsidR="0045392A" w:rsidRDefault="0045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D6" w:rsidRDefault="00E94107">
    <w:pPr>
      <w:pStyle w:val="a3"/>
      <w:jc w:val="center"/>
      <w:rPr>
        <w:rFonts w:ascii="仿宋" w:eastAsia="仿宋" w:hAnsi="仿宋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 w:rsidR="0064078B"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DE370E" w:rsidRPr="00DE370E">
      <w:rPr>
        <w:rFonts w:ascii="仿宋" w:eastAsia="仿宋" w:hAnsi="仿宋" w:cs="仿宋"/>
        <w:noProof/>
        <w:sz w:val="32"/>
        <w:szCs w:val="32"/>
        <w:lang w:val="zh-CN"/>
      </w:rPr>
      <w:t>9</w:t>
    </w:r>
    <w:r>
      <w:rPr>
        <w:rFonts w:ascii="仿宋" w:eastAsia="仿宋" w:hAnsi="仿宋" w:cs="仿宋"/>
        <w:sz w:val="32"/>
        <w:szCs w:val="32"/>
      </w:rPr>
      <w:fldChar w:fldCharType="end"/>
    </w:r>
  </w:p>
  <w:p w:rsidR="004C3CD6" w:rsidRDefault="004C3C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2A" w:rsidRDefault="0045392A">
      <w:r>
        <w:separator/>
      </w:r>
    </w:p>
  </w:footnote>
  <w:footnote w:type="continuationSeparator" w:id="0">
    <w:p w:rsidR="0045392A" w:rsidRDefault="00453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AAA"/>
    <w:rsid w:val="000A796E"/>
    <w:rsid w:val="000D2767"/>
    <w:rsid w:val="00101C7A"/>
    <w:rsid w:val="00131928"/>
    <w:rsid w:val="001A3CB4"/>
    <w:rsid w:val="001E0232"/>
    <w:rsid w:val="00205DB4"/>
    <w:rsid w:val="00206B22"/>
    <w:rsid w:val="0022129C"/>
    <w:rsid w:val="002307B5"/>
    <w:rsid w:val="0024103C"/>
    <w:rsid w:val="002474A2"/>
    <w:rsid w:val="002C0317"/>
    <w:rsid w:val="002D2ED1"/>
    <w:rsid w:val="00325594"/>
    <w:rsid w:val="0037750D"/>
    <w:rsid w:val="003C4C5D"/>
    <w:rsid w:val="003D1126"/>
    <w:rsid w:val="003D1369"/>
    <w:rsid w:val="003D22B1"/>
    <w:rsid w:val="004159F8"/>
    <w:rsid w:val="0045392A"/>
    <w:rsid w:val="00453A06"/>
    <w:rsid w:val="004C3CD6"/>
    <w:rsid w:val="00524AAA"/>
    <w:rsid w:val="005412A2"/>
    <w:rsid w:val="005730D6"/>
    <w:rsid w:val="00594091"/>
    <w:rsid w:val="005F4345"/>
    <w:rsid w:val="00634EFD"/>
    <w:rsid w:val="0064078B"/>
    <w:rsid w:val="00680485"/>
    <w:rsid w:val="0068144F"/>
    <w:rsid w:val="006F1D76"/>
    <w:rsid w:val="006F2C57"/>
    <w:rsid w:val="00747D9E"/>
    <w:rsid w:val="007775CB"/>
    <w:rsid w:val="007B4EB3"/>
    <w:rsid w:val="007C1DEB"/>
    <w:rsid w:val="007C484E"/>
    <w:rsid w:val="007F0D2E"/>
    <w:rsid w:val="00825F97"/>
    <w:rsid w:val="008327A0"/>
    <w:rsid w:val="00881FCA"/>
    <w:rsid w:val="00933068"/>
    <w:rsid w:val="00973104"/>
    <w:rsid w:val="00990CB9"/>
    <w:rsid w:val="009B2D48"/>
    <w:rsid w:val="009C264C"/>
    <w:rsid w:val="009C6B03"/>
    <w:rsid w:val="009F0612"/>
    <w:rsid w:val="00A12AE7"/>
    <w:rsid w:val="00A15ADE"/>
    <w:rsid w:val="00A6455D"/>
    <w:rsid w:val="00A95F51"/>
    <w:rsid w:val="00AC6968"/>
    <w:rsid w:val="00B13EFE"/>
    <w:rsid w:val="00B50088"/>
    <w:rsid w:val="00B500A4"/>
    <w:rsid w:val="00B52395"/>
    <w:rsid w:val="00B667BB"/>
    <w:rsid w:val="00BA40C6"/>
    <w:rsid w:val="00BA6B82"/>
    <w:rsid w:val="00CD0F72"/>
    <w:rsid w:val="00D10EC5"/>
    <w:rsid w:val="00D27A25"/>
    <w:rsid w:val="00D312BA"/>
    <w:rsid w:val="00D73351"/>
    <w:rsid w:val="00D74B39"/>
    <w:rsid w:val="00D900E5"/>
    <w:rsid w:val="00DE370E"/>
    <w:rsid w:val="00E000C9"/>
    <w:rsid w:val="00E24B37"/>
    <w:rsid w:val="00E474B2"/>
    <w:rsid w:val="00E87B0C"/>
    <w:rsid w:val="00E91C36"/>
    <w:rsid w:val="00E94107"/>
    <w:rsid w:val="00EA1B01"/>
    <w:rsid w:val="00F06B14"/>
    <w:rsid w:val="00F14752"/>
    <w:rsid w:val="00F31021"/>
    <w:rsid w:val="00F311AF"/>
    <w:rsid w:val="00F359FD"/>
    <w:rsid w:val="00F66032"/>
    <w:rsid w:val="00FB5EA2"/>
    <w:rsid w:val="7153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7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410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E9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qFormat/>
    <w:locked/>
    <w:rsid w:val="00E9410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E94107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941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2BCC4-347E-4C7D-ADAD-901C961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creator>旭东</dc:creator>
  <cp:lastModifiedBy>Administrator</cp:lastModifiedBy>
  <cp:revision>19</cp:revision>
  <dcterms:created xsi:type="dcterms:W3CDTF">2017-11-10T09:22:00Z</dcterms:created>
  <dcterms:modified xsi:type="dcterms:W3CDTF">2023-08-21T01:58:00Z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