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信息公开指南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rPr>
          <w:color w:val="555555"/>
        </w:rPr>
      </w:pPr>
      <w:r>
        <w:rPr>
          <w:rFonts w:ascii="Arial" w:hAnsi="Arial" w:cs="Arial"/>
          <w:color w:val="555555"/>
          <w:sz w:val="24"/>
          <w:szCs w:val="24"/>
        </w:rPr>
        <w:t>为更好地开展我局信息公开工作，最大限度地保障公民、法人和其他组织方便、快捷地获取所需信息，根据《政府信息公开条例》，特编制本指南。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60"/>
        <w:rPr>
          <w:color w:val="555555"/>
        </w:rPr>
      </w:pPr>
      <w:r>
        <w:rPr>
          <w:color w:val="555555"/>
          <w:sz w:val="24"/>
          <w:szCs w:val="24"/>
        </w:rPr>
        <w:t>一、成安县应急管理局信息公开分类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color w:val="555555"/>
        </w:rPr>
      </w:pPr>
      <w:r>
        <w:rPr>
          <w:color w:val="555555"/>
          <w:sz w:val="24"/>
          <w:szCs w:val="24"/>
        </w:rPr>
        <w:t>信息分为三类：一是主动公开的信息，成安县应急管理局职责范围内依法应当主动公开的信息；二是依申请公开的信息，公民、法人或其他组织可根据需要申请</w:t>
      </w:r>
      <w:bookmarkStart w:id="0" w:name="_GoBack"/>
      <w:bookmarkEnd w:id="0"/>
      <w:r>
        <w:rPr>
          <w:color w:val="555555"/>
          <w:sz w:val="24"/>
          <w:szCs w:val="24"/>
        </w:rPr>
        <w:t>获取相</w:t>
      </w:r>
      <w:r>
        <w:rPr>
          <w:rFonts w:hint="default" w:ascii="Arial" w:hAnsi="Arial" w:cs="Arial"/>
          <w:color w:val="555555"/>
          <w:sz w:val="24"/>
          <w:szCs w:val="24"/>
        </w:rPr>
        <w:t>关信息；三是不公开的信息，依照《国家保密法》及其他相关法律、法规和国家有关规定，涉及国家秘密、商业秘密和个人隐私的信息不公开。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  </w:t>
      </w:r>
      <w:r>
        <w:rPr>
          <w:rFonts w:hint="default" w:ascii="Arial" w:hAnsi="Arial" w:cs="Arial"/>
          <w:color w:val="555555"/>
          <w:sz w:val="24"/>
          <w:szCs w:val="24"/>
        </w:rPr>
        <w:t>二、公开内容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4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1、应急管理局主动公开的信息为：概况信息、机构职能信息、领导活动信息、计划总结信息、公文信息、政务动态信息、公告公示信息、财政信息及政府事项类信息。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</w:t>
      </w:r>
      <w:r>
        <w:rPr>
          <w:rFonts w:hint="default" w:ascii="Arial" w:hAnsi="Arial" w:cs="Arial"/>
          <w:color w:val="555555"/>
          <w:sz w:val="24"/>
          <w:szCs w:val="24"/>
        </w:rPr>
        <w:t>       2、公开形式：主动公开和依申请公开。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 </w:t>
      </w:r>
      <w:r>
        <w:rPr>
          <w:rFonts w:hint="default" w:ascii="Arial" w:hAnsi="Arial" w:cs="Arial"/>
          <w:color w:val="555555"/>
          <w:sz w:val="24"/>
          <w:szCs w:val="24"/>
        </w:rPr>
        <w:t>3、公开时限：常年公开。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 </w:t>
      </w:r>
      <w:r>
        <w:rPr>
          <w:rFonts w:hint="default" w:ascii="Arial" w:hAnsi="Arial" w:cs="Arial"/>
          <w:color w:val="555555"/>
          <w:sz w:val="24"/>
          <w:szCs w:val="24"/>
        </w:rPr>
        <w:t>4、公开范围: 面向全社会公开。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</w:t>
      </w:r>
      <w:r>
        <w:rPr>
          <w:rFonts w:hint="default" w:ascii="Arial" w:hAnsi="Arial" w:cs="Arial"/>
          <w:color w:val="555555"/>
          <w:sz w:val="24"/>
          <w:szCs w:val="24"/>
        </w:rPr>
        <w:t>       5、公开程序：本单位内审核后公开。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 </w:t>
      </w:r>
      <w:r>
        <w:rPr>
          <w:rFonts w:hint="default" w:ascii="Arial" w:hAnsi="Arial" w:cs="Arial"/>
          <w:color w:val="555555"/>
          <w:sz w:val="24"/>
          <w:szCs w:val="24"/>
        </w:rPr>
        <w:t>6、责任部门：成安县应急管理局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40"/>
        <w:rPr>
          <w:color w:val="555555"/>
        </w:rPr>
      </w:pPr>
      <w:r>
        <w:rPr>
          <w:color w:val="555555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4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三、政府公开信息获取方式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（一）主动公开信息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 </w:t>
      </w:r>
      <w:r>
        <w:rPr>
          <w:rFonts w:hint="default" w:ascii="Arial" w:hAnsi="Arial" w:cs="Arial"/>
          <w:color w:val="555555"/>
          <w:sz w:val="24"/>
          <w:szCs w:val="24"/>
        </w:rPr>
        <w:t>    1、公开范围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成安县应急管理局向社会公开的信息范围参见《成安县应急管理局信息公开目录》（以下简称《公开目录》）。公民、法人和其他组织可以在成安县政府公众信息网站（ca.hd.gov.cn）上查阅《公开目录》，也可以到办公室领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 </w:t>
      </w:r>
      <w:r>
        <w:rPr>
          <w:rFonts w:hint="default" w:ascii="Arial" w:hAnsi="Arial" w:cs="Arial"/>
          <w:color w:val="555555"/>
          <w:sz w:val="24"/>
          <w:szCs w:val="24"/>
        </w:rPr>
        <w:t>    2、公开形式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  </w:t>
      </w:r>
      <w:r>
        <w:rPr>
          <w:rFonts w:hint="default" w:ascii="Arial" w:hAnsi="Arial" w:cs="Arial"/>
          <w:color w:val="555555"/>
          <w:sz w:val="24"/>
          <w:szCs w:val="24"/>
        </w:rPr>
        <w:t>对于主动公开信息，主要采取网上公开和在各公共查阅地点公开两种公开形式。具体网址为：ca.hd.gov.cn。信息查阅场所地点：办公室。（开放时间为周一至周五上午（8：30</w:t>
      </w:r>
      <w:r>
        <w:rPr>
          <w:rFonts w:hint="default" w:ascii="Arial" w:hAnsi="Arial" w:cs="Arial"/>
          <w:color w:val="555555"/>
          <w:sz w:val="24"/>
          <w:szCs w:val="24"/>
        </w:rPr>
        <w:t>—11：30，下午13：30—17：00）。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3、公开时限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 各类信息自形成或变更之日起20个工作日内予以公开。法律、法规对应急管理局信息公开的时限另有规定的，从其规定。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（二）依申请公开信息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 </w:t>
      </w:r>
      <w:r>
        <w:rPr>
          <w:rFonts w:hint="default" w:ascii="Arial" w:hAnsi="Arial" w:cs="Arial"/>
          <w:color w:val="555555"/>
          <w:sz w:val="24"/>
          <w:szCs w:val="24"/>
        </w:rPr>
        <w:t>公民、法人和其他组织根据自身生产、生活等特殊需要，可以向应急管理局申请获取相关信息。应急管理局依申请提供信息时，根据掌握该信息的实际状态进行提供，不对信息进行加工、统计、分析或者其他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b w:val="0"/>
          <w:bCs w:val="0"/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1、受理机构:应急管理局；办公地址：有所为路68号;</w:t>
      </w:r>
      <w:r>
        <w:rPr>
          <w:rFonts w:hint="default" w:ascii="Arial" w:hAnsi="Arial" w:cs="Arial"/>
          <w:color w:val="555555"/>
          <w:sz w:val="24"/>
          <w:szCs w:val="24"/>
        </w:rPr>
        <w:t>邮政编码：056700；办公时间：周一至周五上午</w:t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</w:rPr>
        <w:t>8：30—11：30，下午13：30—17：00；联系电话：7289029;电子邮箱：</w:t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  <w:u w:val="none"/>
        </w:rPr>
        <w:instrText xml:space="preserve"> HYPERLINK "mailto:aijianju7289209@163.com" </w:instrText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  <w:u w:val="none"/>
        </w:rPr>
        <w:fldChar w:fldCharType="separate"/>
      </w:r>
      <w:r>
        <w:rPr>
          <w:rStyle w:val="7"/>
          <w:rFonts w:hint="default" w:ascii="Arial" w:hAnsi="Arial" w:cs="Arial"/>
          <w:b w:val="0"/>
          <w:bCs w:val="0"/>
          <w:color w:val="555555"/>
          <w:sz w:val="24"/>
          <w:szCs w:val="24"/>
          <w:u w:val="none"/>
        </w:rPr>
        <w:t>aijianju7289209@163.com</w:t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b w:val="0"/>
          <w:bCs w:val="0"/>
          <w:color w:val="555555"/>
        </w:rPr>
      </w:pPr>
      <w:r>
        <w:rPr>
          <w:rFonts w:hint="default" w:ascii="Arial" w:hAnsi="Arial" w:cs="Arial"/>
          <w:b w:val="0"/>
          <w:bCs w:val="0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b w:val="0"/>
          <w:bCs w:val="0"/>
          <w:color w:val="555555"/>
          <w:sz w:val="24"/>
          <w:szCs w:val="24"/>
        </w:rPr>
        <w:t>2、公开范围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申请人需要成安县应急管理局主动公开以外且不属于《条例》第七条、第八条和第十四条关于不予公开的信息，可以申请获取。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</w:t>
      </w:r>
      <w:r>
        <w:rPr>
          <w:rFonts w:hint="default" w:ascii="Arial" w:hAnsi="Arial" w:cs="Arial"/>
          <w:color w:val="555555"/>
          <w:sz w:val="24"/>
          <w:szCs w:val="24"/>
        </w:rPr>
        <w:t>    3、公开程序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（1）申请的提出。申请人向应急管理局申请公开信息，应填写《成安县应急管理局信息公开申请表》（式样附后，以下简称《申请表》）。《申请表》复制有效，可以在受理地点领取。为了提高处理申请的效率，申请人对所需信息的描述应尽量详细、明确。若有可能，请提供该信息的标题、发布时间、发文字号或者其他有助于确定该信息的提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</w:t>
      </w:r>
      <w:r>
        <w:rPr>
          <w:rFonts w:hint="default" w:ascii="Arial" w:hAnsi="Arial" w:cs="Arial"/>
          <w:color w:val="555555"/>
          <w:sz w:val="24"/>
          <w:szCs w:val="24"/>
        </w:rPr>
        <w:t>（2）申请的方式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①通过互联网提出申请。申请人可以在成安县政府公众信息网站上填写电子版《申请表》，通过网站发送即可。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②通过信函、电报、传真申请，申请人通过网络下载或到受理机构领取申请表，填写后请在信封左下角注明“成安县应急管理局信息公开申请”字样。通过电报、传真方式提出申请的，请在适当位置注明“成安县应急管理局信息公开申请”字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③当面申请。申请人可以到受理机构处，当场提出申请。采用局面形式确有困难的，申请人可以口头提出，由本单位受理机构代为填写信息公开申请，并对申请人的基本情况（如申请人姓名、工作单位、家庭住址、证件名称及号码、联系方式等）和申请的主要内容做好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应急管理局不直接受理通过电话方式提出的申请，但申请人可以通过电话咨询相应的服务业务。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</w:t>
      </w:r>
      <w:r>
        <w:rPr>
          <w:rFonts w:hint="default" w:ascii="Arial" w:hAnsi="Arial" w:cs="Arial"/>
          <w:color w:val="555555"/>
          <w:sz w:val="24"/>
          <w:szCs w:val="24"/>
        </w:rPr>
        <w:t>（3）申请的办理流程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①审查。本单位受理机构收到申请后，应对申请的形式要件是否完备进行审查，对要件不完备的应及时告知申请人予以补正。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  </w:t>
      </w:r>
      <w:r>
        <w:rPr>
          <w:rFonts w:hint="default" w:ascii="Arial" w:hAnsi="Arial" w:cs="Arial"/>
          <w:color w:val="555555"/>
          <w:sz w:val="24"/>
          <w:szCs w:val="24"/>
        </w:rPr>
        <w:t>申请人单件申请中同时提出几项独立要求的，受理机构将全部处理完毕后统一答复。鉴于针对不同要求的答复部门可能不同，为提高处理效率，建议公开权利人就不同要求分别提出申请。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②登记。对于《申请表》填写完整且申请人提供了有效身份证明的申请应即时登记，并根据收到申请的先后顺序进行处理。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③答复。受理机构根据收到申请的先后次序答复申请。能够当场答复的，应当当场予以答复。不能当场答复的，应当自收到申请之日起20个工作日内按下列情形予以答复；如需延长答复期限的，延长20个工作日，并告知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一是属于公开范围的信息，告知申请人获取该信息的方式和途径；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二是属于不予公开信息，告知申请人不予公开的理由。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三是不属于本单位的信息，告辞申请人掌握该信息的机关名称及联系方式。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四是申请公开的政府信息不存在的，告知申请人实际情况并做好解释工作。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rFonts w:hint="default" w:ascii="Arial" w:hAnsi="Arial" w:cs="Arial"/>
          <w:color w:val="555555"/>
          <w:sz w:val="24"/>
          <w:szCs w:val="24"/>
        </w:rPr>
        <w:t>    </w:t>
      </w:r>
      <w:r>
        <w:rPr>
          <w:rFonts w:hint="default" w:ascii="Arial" w:hAnsi="Arial" w:cs="Arial"/>
          <w:color w:val="555555"/>
          <w:sz w:val="24"/>
          <w:szCs w:val="24"/>
        </w:rPr>
        <w:t>五是申请内容不明确的，应当告知申请人作出更改、补充。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color w:val="555555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  <w:r>
        <w:rPr>
          <w:color w:val="555555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506" w:firstLine="442"/>
        <w:jc w:val="center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506"/>
        <w:jc w:val="both"/>
        <w:rPr>
          <w:color w:val="555555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color w:val="555555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555555"/>
        </w:rPr>
      </w:pPr>
      <w:r>
        <w:rPr>
          <w:color w:val="555555"/>
          <w:sz w:val="18"/>
          <w:szCs w:val="18"/>
        </w:rPr>
        <w:t> </w:t>
      </w:r>
    </w:p>
    <w:tbl>
      <w:tblPr>
        <w:tblStyle w:val="3"/>
        <w:tblW w:w="512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506" w:firstLine="442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44"/>
                <w:szCs w:val="44"/>
              </w:rPr>
              <w:t>信息公开申请表</w:t>
            </w:r>
          </w:p>
          <w:tbl>
            <w:tblPr>
              <w:tblStyle w:val="3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"/>
              <w:gridCol w:w="647"/>
              <w:gridCol w:w="24"/>
              <w:gridCol w:w="991"/>
              <w:gridCol w:w="2505"/>
              <w:gridCol w:w="1142"/>
              <w:gridCol w:w="225"/>
              <w:gridCol w:w="15"/>
              <w:gridCol w:w="840"/>
              <w:gridCol w:w="164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申请人信息</w:t>
                  </w:r>
                </w:p>
              </w:tc>
              <w:tc>
                <w:tcPr>
                  <w:tcW w:w="192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申请人姓名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（个人）</w:t>
                  </w:r>
                </w:p>
              </w:tc>
              <w:tc>
                <w:tcPr>
                  <w:tcW w:w="2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pacing w:val="-20"/>
                      <w:sz w:val="24"/>
                      <w:szCs w:val="24"/>
                    </w:rPr>
                    <w:t>单位或职业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法人或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其他组织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机  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名  称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法人代表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9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pacing w:val="-20"/>
                      <w:sz w:val="24"/>
                      <w:szCs w:val="24"/>
                    </w:rPr>
                    <w:t>联系人或代 理 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80" w:lineRule="atLeast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姓   名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pacing w:val="-20"/>
                      <w:sz w:val="24"/>
                      <w:szCs w:val="24"/>
                    </w:rPr>
                    <w:t>单位或职业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证件名称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传    真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电子信箱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联系地址</w:t>
                  </w:r>
                </w:p>
              </w:tc>
              <w:tc>
                <w:tcPr>
                  <w:tcW w:w="7290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45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申请信息情况</w:t>
                  </w: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内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容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文  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名  称</w:t>
                  </w:r>
                </w:p>
              </w:tc>
              <w:tc>
                <w:tcPr>
                  <w:tcW w:w="454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both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both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文号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both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1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8325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-88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内容描述：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所需信息的形式</w:t>
                  </w:r>
                </w:p>
              </w:tc>
              <w:tc>
                <w:tcPr>
                  <w:tcW w:w="7290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纸制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电子邮件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告知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4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获取信息的方式</w:t>
                  </w:r>
                </w:p>
              </w:tc>
              <w:tc>
                <w:tcPr>
                  <w:tcW w:w="7290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20" w:lineRule="atLeast"/>
                    <w:jc w:val="left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邮寄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电子邮件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传真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自行领取  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电话告知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  <w:jc w:val="center"/>
              </w:trPr>
              <w:tc>
                <w:tcPr>
                  <w:tcW w:w="237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申请人或代理人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签 名（盖章）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申请时间</w:t>
                  </w:r>
                </w:p>
              </w:tc>
              <w:tc>
                <w:tcPr>
                  <w:tcW w:w="2970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ind w:left="0" w:firstLine="840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年    月    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37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提出申请方式</w:t>
                  </w:r>
                </w:p>
              </w:tc>
              <w:tc>
                <w:tcPr>
                  <w:tcW w:w="7290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-5" w:right="0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邮寄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网络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 xml:space="preserve">传真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32"/>
                      <w:szCs w:val="32"/>
                    </w:rPr>
                    <w:t>□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当面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37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收到时间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Arial" w:hAnsi="Arial" w:cs="Arial"/>
                      <w:color w:val="555555"/>
                      <w:sz w:val="24"/>
                      <w:szCs w:val="24"/>
                    </w:rPr>
                    <w:t xml:space="preserve">     </w:t>
                  </w: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年    月     日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color w:val="555555"/>
                      <w:sz w:val="24"/>
                      <w:szCs w:val="24"/>
                    </w:rPr>
                    <w:t>受理编号</w:t>
                  </w:r>
                </w:p>
              </w:tc>
              <w:tc>
                <w:tcPr>
                  <w:tcW w:w="2970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default" w:ascii="Arial" w:hAnsi="Arial" w:cs="Arial"/>
                      <w:color w:val="555555"/>
                      <w:sz w:val="24"/>
                      <w:szCs w:val="24"/>
                    </w:rPr>
                    <w:t>        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color w:val="555555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203B"/>
    <w:rsid w:val="2A604B28"/>
    <w:rsid w:val="3AA84E14"/>
    <w:rsid w:val="3C56203B"/>
    <w:rsid w:val="76B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9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2021-01-08T01:45:00Z</dcterms:created>
  <dc:creator>Administrator</dc:creator>
  <cp:lastModifiedBy>Administrator</cp:lastModifiedBy>
  <cp:lastPrinted>2021-01-08T01:49:00Z</cp:lastPrinted>
  <dcterms:modified xsi:type="dcterms:W3CDTF">2021-01-08T02:07:22Z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